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7BF18">
      <w:pPr>
        <w:pStyle w:val="3"/>
        <w:widowControl/>
        <w:spacing w:line="360" w:lineRule="auto"/>
        <w:jc w:val="center"/>
        <w:rPr>
          <w:rFonts w:ascii="方正小标宋简体" w:hAnsi="方正小标宋简体" w:eastAsia="方正小标宋简体" w:cs="方正小标宋简体"/>
          <w:color w:val="333333"/>
          <w:sz w:val="30"/>
          <w:szCs w:val="30"/>
        </w:rPr>
      </w:pPr>
      <w:r>
        <w:rPr>
          <w:rFonts w:ascii="方正小标宋简体" w:hAnsi="方正小标宋简体" w:eastAsia="方正小标宋简体" w:cs="方正小标宋简体"/>
          <w:color w:val="333333"/>
          <w:sz w:val="30"/>
          <w:szCs w:val="30"/>
        </w:rPr>
        <w:t>关于</w:t>
      </w:r>
      <w:r>
        <w:rPr>
          <w:rFonts w:hint="eastAsia" w:ascii="方正小标宋简体" w:hAnsi="方正小标宋简体" w:eastAsia="方正小标宋简体" w:cs="方正小标宋简体"/>
          <w:color w:val="333333"/>
          <w:sz w:val="30"/>
          <w:szCs w:val="30"/>
        </w:rPr>
        <w:t>202</w:t>
      </w:r>
      <w:r>
        <w:rPr>
          <w:rFonts w:hint="eastAsia" w:ascii="方正小标宋简体" w:hAnsi="方正小标宋简体" w:eastAsia="方正小标宋简体" w:cs="方正小标宋简体"/>
          <w:color w:val="333333"/>
          <w:sz w:val="30"/>
          <w:szCs w:val="30"/>
          <w:lang w:val="en-US" w:eastAsia="zh-CN"/>
        </w:rPr>
        <w:t>6</w:t>
      </w:r>
      <w:r>
        <w:rPr>
          <w:rFonts w:hint="eastAsia" w:ascii="方正小标宋简体" w:hAnsi="方正小标宋简体" w:eastAsia="方正小标宋简体" w:cs="方正小标宋简体"/>
          <w:color w:val="333333"/>
          <w:sz w:val="30"/>
          <w:szCs w:val="30"/>
        </w:rPr>
        <w:t>年</w:t>
      </w:r>
      <w:r>
        <w:rPr>
          <w:rFonts w:hint="eastAsia" w:ascii="方正小标宋简体" w:hAnsi="方正小标宋简体" w:eastAsia="方正小标宋简体" w:cs="方正小标宋简体"/>
          <w:color w:val="333333"/>
          <w:sz w:val="30"/>
          <w:szCs w:val="30"/>
          <w:lang w:val="en-US" w:eastAsia="zh-CN"/>
        </w:rPr>
        <w:t>9</w:t>
      </w:r>
      <w:r>
        <w:rPr>
          <w:rFonts w:hint="eastAsia" w:ascii="方正小标宋简体" w:hAnsi="方正小标宋简体" w:eastAsia="方正小标宋简体" w:cs="方正小标宋简体"/>
          <w:color w:val="333333"/>
          <w:sz w:val="30"/>
          <w:szCs w:val="30"/>
        </w:rPr>
        <w:t>月</w:t>
      </w:r>
      <w:r>
        <w:rPr>
          <w:rFonts w:hint="eastAsia" w:ascii="方正小标宋简体" w:hAnsi="方正小标宋简体" w:eastAsia="方正小标宋简体" w:cs="方正小标宋简体"/>
          <w:color w:val="333333"/>
          <w:sz w:val="30"/>
          <w:szCs w:val="30"/>
          <w:lang w:val="en-US" w:eastAsia="zh-CN"/>
        </w:rPr>
        <w:t>21</w:t>
      </w:r>
      <w:bookmarkStart w:id="2" w:name="_GoBack"/>
      <w:bookmarkEnd w:id="2"/>
      <w:r>
        <w:rPr>
          <w:rFonts w:ascii="方正小标宋简体" w:hAnsi="方正小标宋简体" w:eastAsia="方正小标宋简体" w:cs="方正小标宋简体"/>
          <w:color w:val="333333"/>
          <w:sz w:val="30"/>
          <w:szCs w:val="30"/>
        </w:rPr>
        <w:t>日</w:t>
      </w:r>
      <w:r>
        <w:rPr>
          <w:rFonts w:hint="eastAsia" w:ascii="方正小标宋简体" w:hAnsi="方正小标宋简体" w:eastAsia="方正小标宋简体" w:cs="方正小标宋简体"/>
          <w:color w:val="333333"/>
          <w:sz w:val="30"/>
          <w:szCs w:val="30"/>
        </w:rPr>
        <w:t>拟作出的建设项目</w:t>
      </w:r>
      <w:r>
        <w:rPr>
          <w:rFonts w:hint="eastAsia" w:ascii="方正小标宋简体" w:hAnsi="方正小标宋简体" w:eastAsia="方正小标宋简体" w:cs="方正小标宋简体"/>
          <w:color w:val="333333"/>
          <w:sz w:val="30"/>
          <w:szCs w:val="30"/>
          <w:lang w:val="en-US" w:eastAsia="zh-CN"/>
        </w:rPr>
        <w:t>生态</w:t>
      </w:r>
      <w:r>
        <w:rPr>
          <w:rFonts w:hint="eastAsia" w:ascii="方正小标宋简体" w:hAnsi="方正小标宋简体" w:eastAsia="方正小标宋简体" w:cs="方正小标宋简体"/>
          <w:color w:val="333333"/>
          <w:sz w:val="30"/>
          <w:szCs w:val="30"/>
        </w:rPr>
        <w:t>环境影响评价文件</w:t>
      </w:r>
    </w:p>
    <w:p w14:paraId="7C5DCEEF">
      <w:pPr>
        <w:pStyle w:val="3"/>
        <w:widowControl/>
        <w:spacing w:line="360" w:lineRule="auto"/>
        <w:jc w:val="center"/>
        <w:rPr>
          <w:rFonts w:ascii="方正小标宋简体" w:hAnsi="方正小标宋简体" w:eastAsia="方正小标宋简体" w:cs="方正小标宋简体"/>
          <w:color w:val="333333"/>
          <w:sz w:val="30"/>
          <w:szCs w:val="30"/>
        </w:rPr>
      </w:pPr>
      <w:r>
        <w:rPr>
          <w:rFonts w:hint="eastAsia" w:ascii="方正小标宋简体" w:hAnsi="方正小标宋简体" w:eastAsia="方正小标宋简体" w:cs="方正小标宋简体"/>
          <w:color w:val="333333"/>
          <w:sz w:val="30"/>
          <w:szCs w:val="30"/>
        </w:rPr>
        <w:t>批</w:t>
      </w:r>
      <w:r>
        <w:rPr>
          <w:rFonts w:hint="eastAsia" w:ascii="方正小标宋简体" w:hAnsi="方正小标宋简体" w:eastAsia="方正小标宋简体" w:cs="方正小标宋简体"/>
          <w:color w:val="333333"/>
          <w:sz w:val="30"/>
          <w:szCs w:val="30"/>
          <w:lang w:val="en-US" w:eastAsia="zh-CN"/>
        </w:rPr>
        <w:t>准</w:t>
      </w:r>
      <w:r>
        <w:rPr>
          <w:rFonts w:hint="eastAsia" w:ascii="方正小标宋简体" w:hAnsi="方正小标宋简体" w:eastAsia="方正小标宋简体" w:cs="方正小标宋简体"/>
          <w:color w:val="333333"/>
          <w:sz w:val="30"/>
          <w:szCs w:val="30"/>
        </w:rPr>
        <w:t>决定的公示</w:t>
      </w:r>
    </w:p>
    <w:p w14:paraId="794A2676">
      <w:pPr>
        <w:pStyle w:val="3"/>
        <w:widowControl/>
        <w:shd w:val="clear" w:color="auto" w:fill="FFFFFF"/>
        <w:spacing w:before="75" w:beforeAutospacing="0" w:after="75" w:afterAutospacing="0"/>
        <w:rPr>
          <w:rFonts w:ascii="sans-serif" w:hAnsi="sans-serif" w:eastAsia="sans-serif" w:cs="sans-serif"/>
          <w:color w:val="000000"/>
        </w:rPr>
      </w:pPr>
      <w:r>
        <w:rPr>
          <w:rFonts w:hint="eastAsia" w:ascii="宋体" w:hAnsi="宋体" w:eastAsia="宋体" w:cs="宋体"/>
          <w:color w:val="333333"/>
          <w:sz w:val="19"/>
          <w:szCs w:val="19"/>
          <w:shd w:val="clear" w:color="auto" w:fill="FFFFFF"/>
        </w:rPr>
        <w:t>  </w:t>
      </w:r>
      <w:r>
        <w:rPr>
          <w:rFonts w:hint="eastAsia" w:ascii="宋体" w:hAnsi="宋体" w:eastAsia="宋体" w:cs="宋体"/>
          <w:color w:val="000000"/>
          <w:sz w:val="21"/>
          <w:szCs w:val="21"/>
          <w:shd w:val="clear" w:color="auto" w:fill="FFFFFF"/>
        </w:rPr>
        <w:t>根据建设项目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环境影响评价审批程序的有关规定，经审议，我局拟对1个建设项目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环境影响评价文件作出审批意见。为保证审批意见的严肃性和公正性，现将各建设项目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环境影响评价文件的基本情况予以公示。如有异议，请在公示期内反馈我局环评科。公示期为202</w:t>
      </w:r>
      <w:r>
        <w:rPr>
          <w:rFonts w:hint="eastAsia" w:ascii="宋体" w:hAnsi="宋体" w:eastAsia="宋体" w:cs="宋体"/>
          <w:color w:val="000000"/>
          <w:sz w:val="21"/>
          <w:szCs w:val="21"/>
          <w:shd w:val="clear" w:color="auto" w:fill="FFFFFF"/>
          <w:lang w:val="en-US" w:eastAsia="zh-CN"/>
        </w:rPr>
        <w:t>6</w:t>
      </w:r>
      <w:r>
        <w:rPr>
          <w:rFonts w:hint="eastAsia" w:ascii="宋体" w:hAnsi="宋体" w:eastAsia="宋体" w:cs="宋体"/>
          <w:color w:val="000000"/>
          <w:sz w:val="21"/>
          <w:szCs w:val="21"/>
          <w:shd w:val="clear" w:color="auto" w:fill="FFFFFF"/>
        </w:rPr>
        <w:t>年</w:t>
      </w:r>
      <w:r>
        <w:rPr>
          <w:rFonts w:hint="eastAsia" w:ascii="宋体" w:hAnsi="宋体" w:eastAsia="宋体" w:cs="宋体"/>
          <w:color w:val="000000"/>
          <w:sz w:val="21"/>
          <w:szCs w:val="21"/>
          <w:shd w:val="clear" w:color="auto" w:fill="FFFFFF"/>
          <w:lang w:val="en-US" w:eastAsia="zh-CN"/>
        </w:rPr>
        <w:t>9</w:t>
      </w:r>
      <w:r>
        <w:rPr>
          <w:rFonts w:hint="eastAsia" w:ascii="宋体" w:hAnsi="宋体" w:eastAsia="宋体" w:cs="宋体"/>
          <w:color w:val="000000"/>
          <w:sz w:val="21"/>
          <w:szCs w:val="21"/>
          <w:shd w:val="clear" w:color="auto" w:fill="FFFFFF"/>
        </w:rPr>
        <w:t>月</w:t>
      </w:r>
      <w:r>
        <w:rPr>
          <w:rFonts w:hint="eastAsia" w:ascii="宋体" w:hAnsi="宋体" w:eastAsia="宋体" w:cs="宋体"/>
          <w:color w:val="000000"/>
          <w:sz w:val="21"/>
          <w:szCs w:val="21"/>
          <w:shd w:val="clear" w:color="auto" w:fill="FFFFFF"/>
          <w:lang w:val="en-US" w:eastAsia="zh-CN"/>
        </w:rPr>
        <w:t>21</w:t>
      </w:r>
      <w:r>
        <w:rPr>
          <w:rFonts w:hint="eastAsia" w:ascii="宋体" w:hAnsi="宋体" w:eastAsia="宋体" w:cs="宋体"/>
          <w:color w:val="000000"/>
          <w:sz w:val="21"/>
          <w:szCs w:val="21"/>
          <w:shd w:val="clear" w:color="auto" w:fill="FFFFFF"/>
        </w:rPr>
        <w:t>日－202</w:t>
      </w:r>
      <w:r>
        <w:rPr>
          <w:rFonts w:hint="eastAsia" w:ascii="宋体" w:hAnsi="宋体" w:eastAsia="宋体" w:cs="宋体"/>
          <w:color w:val="000000"/>
          <w:sz w:val="21"/>
          <w:szCs w:val="21"/>
          <w:shd w:val="clear" w:color="auto" w:fill="FFFFFF"/>
          <w:lang w:val="en-US" w:eastAsia="zh-CN"/>
        </w:rPr>
        <w:t>6</w:t>
      </w:r>
      <w:r>
        <w:rPr>
          <w:rFonts w:hint="eastAsia" w:ascii="宋体" w:hAnsi="宋体" w:eastAsia="宋体" w:cs="宋体"/>
          <w:color w:val="000000"/>
          <w:sz w:val="21"/>
          <w:szCs w:val="21"/>
          <w:shd w:val="clear" w:color="auto" w:fill="FFFFFF"/>
        </w:rPr>
        <w:t>年</w:t>
      </w:r>
      <w:r>
        <w:rPr>
          <w:rFonts w:hint="eastAsia" w:ascii="宋体" w:hAnsi="宋体" w:eastAsia="宋体" w:cs="宋体"/>
          <w:color w:val="000000"/>
          <w:sz w:val="21"/>
          <w:szCs w:val="21"/>
          <w:shd w:val="clear" w:color="auto" w:fill="FFFFFF"/>
          <w:lang w:val="en-US" w:eastAsia="zh-CN"/>
        </w:rPr>
        <w:t>9</w:t>
      </w:r>
      <w:r>
        <w:rPr>
          <w:rFonts w:hint="eastAsia" w:ascii="宋体" w:hAnsi="宋体" w:eastAsia="宋体" w:cs="宋体"/>
          <w:color w:val="000000"/>
          <w:sz w:val="21"/>
          <w:szCs w:val="21"/>
          <w:shd w:val="clear" w:color="auto" w:fill="FFFFFF"/>
        </w:rPr>
        <w:t>月</w:t>
      </w:r>
      <w:r>
        <w:rPr>
          <w:rFonts w:hint="eastAsia" w:ascii="宋体" w:hAnsi="宋体" w:eastAsia="宋体" w:cs="宋体"/>
          <w:color w:val="000000"/>
          <w:sz w:val="21"/>
          <w:szCs w:val="21"/>
          <w:shd w:val="clear" w:color="auto" w:fill="FFFFFF"/>
          <w:lang w:val="en-US" w:eastAsia="zh-CN"/>
        </w:rPr>
        <w:t>28</w:t>
      </w:r>
      <w:r>
        <w:rPr>
          <w:rFonts w:hint="eastAsia" w:ascii="宋体" w:hAnsi="宋体" w:eastAsia="宋体" w:cs="宋体"/>
          <w:color w:val="000000"/>
          <w:sz w:val="21"/>
          <w:szCs w:val="21"/>
          <w:shd w:val="clear" w:color="auto" w:fill="FFFFFF"/>
        </w:rPr>
        <w:t>日（5个工作日）。</w:t>
      </w:r>
    </w:p>
    <w:p w14:paraId="6AF4FD29">
      <w:pPr>
        <w:pStyle w:val="3"/>
        <w:widowControl/>
        <w:shd w:val="clear" w:color="auto" w:fill="FFFFFF"/>
        <w:spacing w:before="75" w:beforeAutospacing="0" w:after="75" w:afterAutospacing="0"/>
        <w:ind w:firstLine="420" w:firstLineChars="200"/>
        <w:rPr>
          <w:rFonts w:ascii="sans-serif" w:hAnsi="sans-serif" w:eastAsia="sans-serif" w:cs="sans-serif"/>
          <w:color w:val="000000"/>
        </w:rPr>
      </w:pPr>
      <w:r>
        <w:rPr>
          <w:rFonts w:hint="eastAsia" w:ascii="宋体" w:hAnsi="宋体" w:eastAsia="宋体" w:cs="宋体"/>
          <w:color w:val="000000"/>
          <w:sz w:val="21"/>
          <w:szCs w:val="21"/>
          <w:shd w:val="clear" w:color="auto" w:fill="FFFFFF"/>
        </w:rPr>
        <w:t>电话：0372—8181590</w:t>
      </w:r>
    </w:p>
    <w:p w14:paraId="1C809872">
      <w:pPr>
        <w:pStyle w:val="3"/>
        <w:widowControl/>
        <w:spacing w:before="75" w:beforeAutospacing="0" w:after="75" w:afterAutospacing="0"/>
        <w:ind w:firstLine="420" w:firstLineChars="200"/>
        <w:rPr>
          <w:rFonts w:ascii="sans-serif" w:hAnsi="sans-serif" w:eastAsia="sans-serif" w:cs="sans-serif"/>
          <w:color w:val="000000"/>
        </w:rPr>
      </w:pPr>
      <w:r>
        <w:rPr>
          <w:rFonts w:hint="eastAsia" w:ascii="宋体" w:hAnsi="宋体" w:eastAsia="宋体" w:cs="宋体"/>
          <w:color w:val="000000"/>
          <w:sz w:val="21"/>
          <w:szCs w:val="21"/>
        </w:rPr>
        <w:t>通讯地址：</w:t>
      </w:r>
      <w:r>
        <w:rPr>
          <w:rFonts w:hint="eastAsia"/>
          <w:color w:val="000000"/>
          <w:sz w:val="21"/>
          <w:szCs w:val="21"/>
        </w:rPr>
        <w:t>滑县创业大道与欧阳路交叉口</w:t>
      </w:r>
      <w:r>
        <w:rPr>
          <w:rFonts w:hint="eastAsia"/>
          <w:color w:val="000000"/>
          <w:sz w:val="21"/>
          <w:szCs w:val="21"/>
          <w:lang w:val="en-US" w:eastAsia="zh-CN"/>
        </w:rPr>
        <w:t>东北角</w:t>
      </w:r>
      <w:r>
        <w:rPr>
          <w:rFonts w:hint="eastAsia" w:ascii="宋体" w:hAnsi="宋体" w:eastAsia="宋体" w:cs="宋体"/>
          <w:color w:val="000000"/>
          <w:sz w:val="21"/>
          <w:szCs w:val="21"/>
        </w:rPr>
        <w:t>（456400）</w:t>
      </w:r>
    </w:p>
    <w:p w14:paraId="1BA871D8">
      <w:pPr>
        <w:pStyle w:val="3"/>
        <w:widowControl/>
        <w:shd w:val="clear" w:color="auto" w:fill="FFFFFF"/>
        <w:spacing w:before="75" w:beforeAutospacing="0" w:after="75" w:afterAutospacing="0"/>
        <w:ind w:firstLine="420" w:firstLineChars="200"/>
        <w:rPr>
          <w:rFonts w:ascii="sans-serif" w:hAnsi="sans-serif" w:eastAsia="sans-serif" w:cs="sans-serif"/>
          <w:color w:val="000000"/>
        </w:rPr>
      </w:pPr>
      <w:r>
        <w:rPr>
          <w:rFonts w:hint="eastAsia" w:ascii="宋体" w:hAnsi="宋体" w:eastAsia="宋体" w:cs="宋体"/>
          <w:color w:val="000000"/>
          <w:sz w:val="21"/>
          <w:szCs w:val="21"/>
          <w:shd w:val="clear" w:color="auto" w:fill="FFFFFF"/>
        </w:rPr>
        <w:t>听证告知：依据《中华人民共和国行政许可法》，自公示起五个工作日内申请人、有重大利益关系的利害关系人可对以下拟作出的建设项目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环境影响评价文件批复决定要求听证。</w:t>
      </w:r>
    </w:p>
    <w:p w14:paraId="18B1375B">
      <w:pPr>
        <w:pStyle w:val="3"/>
        <w:widowControl/>
        <w:shd w:val="clear" w:color="auto" w:fill="FFFFFF"/>
        <w:spacing w:before="75" w:beforeAutospacing="0" w:after="75" w:afterAutospacing="0"/>
        <w:jc w:val="both"/>
        <w:rPr>
          <w:rFonts w:ascii="sans-serif" w:hAnsi="sans-serif" w:eastAsia="sans-serif" w:cs="sans-serif"/>
          <w:color w:val="000000"/>
        </w:rPr>
      </w:pPr>
      <w:r>
        <w:rPr>
          <w:rFonts w:hint="eastAsia" w:ascii="宋体" w:hAnsi="宋体" w:eastAsia="宋体" w:cs="宋体"/>
          <w:color w:val="000000"/>
          <w:sz w:val="21"/>
          <w:szCs w:val="21"/>
          <w:shd w:val="clear" w:color="auto" w:fill="FFFFFF"/>
        </w:rPr>
        <w:t>拟审批的建设项目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环境影响文件</w:t>
      </w:r>
    </w:p>
    <w:tbl>
      <w:tblPr>
        <w:tblStyle w:val="4"/>
        <w:tblW w:w="8115" w:type="dxa"/>
        <w:tblInd w:w="0" w:type="dxa"/>
        <w:tblLayout w:type="autofit"/>
        <w:tblCellMar>
          <w:top w:w="15" w:type="dxa"/>
          <w:left w:w="15" w:type="dxa"/>
          <w:bottom w:w="15" w:type="dxa"/>
          <w:right w:w="15" w:type="dxa"/>
        </w:tblCellMar>
      </w:tblPr>
      <w:tblGrid>
        <w:gridCol w:w="399"/>
        <w:gridCol w:w="389"/>
        <w:gridCol w:w="997"/>
        <w:gridCol w:w="1103"/>
        <w:gridCol w:w="714"/>
        <w:gridCol w:w="860"/>
        <w:gridCol w:w="3653"/>
      </w:tblGrid>
      <w:tr w14:paraId="65ACC274">
        <w:tblPrEx>
          <w:tblCellMar>
            <w:top w:w="15" w:type="dxa"/>
            <w:left w:w="15" w:type="dxa"/>
            <w:bottom w:w="15" w:type="dxa"/>
            <w:right w:w="15" w:type="dxa"/>
          </w:tblCellMar>
        </w:tblPrEx>
        <w:trPr>
          <w:trHeight w:val="90" w:hRule="atLeast"/>
        </w:trPr>
        <w:tc>
          <w:tcPr>
            <w:tcW w:w="399" w:type="dxa"/>
            <w:tcBorders>
              <w:top w:val="single" w:color="auto" w:sz="6" w:space="0"/>
              <w:left w:val="single" w:color="auto" w:sz="6" w:space="0"/>
              <w:bottom w:val="single" w:color="auto" w:sz="4" w:space="0"/>
              <w:right w:val="single" w:color="auto" w:sz="6" w:space="0"/>
            </w:tcBorders>
            <w:shd w:val="clear" w:color="auto" w:fill="auto"/>
            <w:tcMar>
              <w:top w:w="0" w:type="dxa"/>
              <w:left w:w="0" w:type="dxa"/>
              <w:bottom w:w="0" w:type="dxa"/>
              <w:right w:w="0" w:type="dxa"/>
            </w:tcMar>
            <w:vAlign w:val="center"/>
          </w:tcPr>
          <w:p w14:paraId="4A6B5694">
            <w:pPr>
              <w:pStyle w:val="3"/>
              <w:widowControl/>
              <w:spacing w:beforeAutospacing="0" w:afterAutospacing="0" w:line="300" w:lineRule="atLeast"/>
              <w:jc w:val="center"/>
            </w:pPr>
            <w:r>
              <w:rPr>
                <w:rStyle w:val="6"/>
                <w:rFonts w:hint="eastAsia" w:ascii="宋体" w:hAnsi="宋体" w:eastAsia="宋体" w:cs="宋体"/>
                <w:color w:val="000000"/>
                <w:sz w:val="18"/>
                <w:szCs w:val="18"/>
              </w:rPr>
              <w:t>序号</w:t>
            </w:r>
          </w:p>
        </w:tc>
        <w:tc>
          <w:tcPr>
            <w:tcW w:w="389"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3C8903E9">
            <w:pPr>
              <w:pStyle w:val="3"/>
              <w:widowControl/>
              <w:spacing w:beforeAutospacing="0" w:afterAutospacing="0" w:line="300" w:lineRule="atLeast"/>
              <w:jc w:val="center"/>
            </w:pPr>
            <w:r>
              <w:rPr>
                <w:rStyle w:val="6"/>
                <w:rFonts w:hint="eastAsia" w:ascii="宋体" w:hAnsi="宋体" w:eastAsia="宋体" w:cs="宋体"/>
                <w:color w:val="000000"/>
                <w:sz w:val="18"/>
                <w:szCs w:val="18"/>
              </w:rPr>
              <w:t>建设</w:t>
            </w:r>
          </w:p>
          <w:p w14:paraId="30286E85">
            <w:pPr>
              <w:pStyle w:val="3"/>
              <w:widowControl/>
              <w:spacing w:beforeAutospacing="0" w:afterAutospacing="0" w:line="300" w:lineRule="atLeast"/>
              <w:jc w:val="center"/>
            </w:pPr>
            <w:r>
              <w:rPr>
                <w:rStyle w:val="6"/>
                <w:rFonts w:hint="eastAsia" w:ascii="宋体" w:hAnsi="宋体" w:eastAsia="宋体" w:cs="宋体"/>
                <w:color w:val="000000"/>
                <w:sz w:val="18"/>
                <w:szCs w:val="18"/>
              </w:rPr>
              <w:t>单位</w:t>
            </w:r>
          </w:p>
        </w:tc>
        <w:tc>
          <w:tcPr>
            <w:tcW w:w="997"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7E8BB7E7">
            <w:pPr>
              <w:pStyle w:val="3"/>
              <w:widowControl/>
              <w:spacing w:beforeAutospacing="0" w:afterAutospacing="0" w:line="300" w:lineRule="atLeast"/>
              <w:jc w:val="center"/>
            </w:pPr>
            <w:r>
              <w:rPr>
                <w:rStyle w:val="6"/>
                <w:rFonts w:hint="eastAsia" w:ascii="宋体" w:hAnsi="宋体" w:eastAsia="宋体" w:cs="宋体"/>
                <w:color w:val="000000"/>
                <w:sz w:val="18"/>
                <w:szCs w:val="18"/>
              </w:rPr>
              <w:t>项目</w:t>
            </w:r>
          </w:p>
          <w:p w14:paraId="7F0822BE">
            <w:pPr>
              <w:pStyle w:val="3"/>
              <w:widowControl/>
              <w:spacing w:beforeAutospacing="0" w:afterAutospacing="0" w:line="300" w:lineRule="atLeast"/>
              <w:jc w:val="center"/>
            </w:pPr>
            <w:r>
              <w:rPr>
                <w:rStyle w:val="6"/>
                <w:rFonts w:hint="eastAsia" w:ascii="宋体" w:hAnsi="宋体" w:eastAsia="宋体" w:cs="宋体"/>
                <w:color w:val="000000"/>
                <w:sz w:val="18"/>
                <w:szCs w:val="18"/>
              </w:rPr>
              <w:t>名称</w:t>
            </w:r>
          </w:p>
        </w:tc>
        <w:tc>
          <w:tcPr>
            <w:tcW w:w="1103"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05EA3DE2">
            <w:pPr>
              <w:pStyle w:val="3"/>
              <w:widowControl/>
              <w:spacing w:beforeAutospacing="0" w:afterAutospacing="0" w:line="300" w:lineRule="atLeast"/>
              <w:jc w:val="center"/>
            </w:pPr>
            <w:r>
              <w:rPr>
                <w:rStyle w:val="6"/>
                <w:rFonts w:hint="eastAsia" w:ascii="宋体" w:hAnsi="宋体" w:eastAsia="宋体" w:cs="宋体"/>
                <w:color w:val="000000"/>
                <w:sz w:val="18"/>
                <w:szCs w:val="18"/>
              </w:rPr>
              <w:t>建设</w:t>
            </w:r>
          </w:p>
          <w:p w14:paraId="62603EDB">
            <w:pPr>
              <w:pStyle w:val="3"/>
              <w:widowControl/>
              <w:spacing w:beforeAutospacing="0" w:afterAutospacing="0" w:line="300" w:lineRule="atLeast"/>
              <w:jc w:val="center"/>
            </w:pPr>
            <w:r>
              <w:rPr>
                <w:rStyle w:val="6"/>
                <w:rFonts w:hint="eastAsia" w:ascii="宋体" w:hAnsi="宋体" w:eastAsia="宋体" w:cs="宋体"/>
                <w:color w:val="000000"/>
                <w:sz w:val="18"/>
                <w:szCs w:val="18"/>
              </w:rPr>
              <w:t>地点</w:t>
            </w:r>
          </w:p>
        </w:tc>
        <w:tc>
          <w:tcPr>
            <w:tcW w:w="714"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6D1630E2">
            <w:pPr>
              <w:pStyle w:val="3"/>
              <w:widowControl/>
              <w:spacing w:beforeAutospacing="0" w:afterAutospacing="0" w:line="300" w:lineRule="atLeast"/>
              <w:jc w:val="center"/>
            </w:pPr>
            <w:r>
              <w:rPr>
                <w:rStyle w:val="6"/>
                <w:rFonts w:hint="eastAsia" w:ascii="宋体" w:hAnsi="宋体" w:eastAsia="宋体" w:cs="宋体"/>
                <w:color w:val="000000"/>
                <w:sz w:val="18"/>
                <w:szCs w:val="18"/>
                <w:shd w:val="clear" w:color="auto" w:fill="FFFFFF"/>
              </w:rPr>
              <w:t>环境影响评价机构</w:t>
            </w:r>
          </w:p>
        </w:tc>
        <w:tc>
          <w:tcPr>
            <w:tcW w:w="860"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0D7BEF97">
            <w:pPr>
              <w:pStyle w:val="3"/>
              <w:widowControl/>
              <w:spacing w:beforeAutospacing="0" w:afterAutospacing="0" w:line="300" w:lineRule="atLeast"/>
              <w:jc w:val="center"/>
            </w:pPr>
            <w:r>
              <w:rPr>
                <w:rStyle w:val="6"/>
                <w:rFonts w:hint="eastAsia" w:ascii="宋体" w:hAnsi="宋体" w:eastAsia="宋体" w:cs="宋体"/>
                <w:color w:val="000000"/>
                <w:sz w:val="18"/>
                <w:szCs w:val="18"/>
                <w:shd w:val="clear" w:color="auto" w:fill="FFFFFF"/>
              </w:rPr>
              <w:t>建设项目</w:t>
            </w:r>
          </w:p>
          <w:p w14:paraId="2DE72757">
            <w:pPr>
              <w:pStyle w:val="3"/>
              <w:widowControl/>
              <w:spacing w:beforeAutospacing="0" w:afterAutospacing="0" w:line="300" w:lineRule="atLeast"/>
              <w:jc w:val="center"/>
            </w:pPr>
            <w:r>
              <w:rPr>
                <w:rStyle w:val="6"/>
                <w:rFonts w:hint="eastAsia" w:ascii="宋体" w:hAnsi="宋体" w:eastAsia="宋体" w:cs="宋体"/>
                <w:color w:val="000000"/>
                <w:sz w:val="18"/>
                <w:szCs w:val="18"/>
                <w:shd w:val="clear" w:color="auto" w:fill="FFFFFF"/>
              </w:rPr>
              <w:t>概况</w:t>
            </w:r>
          </w:p>
        </w:tc>
        <w:tc>
          <w:tcPr>
            <w:tcW w:w="3653"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168E59E6">
            <w:pPr>
              <w:pStyle w:val="3"/>
              <w:widowControl/>
              <w:spacing w:beforeAutospacing="0" w:afterAutospacing="0" w:line="300" w:lineRule="atLeast"/>
              <w:jc w:val="center"/>
            </w:pPr>
            <w:r>
              <w:rPr>
                <w:rStyle w:val="6"/>
                <w:rFonts w:hint="eastAsia" w:ascii="宋体" w:hAnsi="宋体" w:eastAsia="宋体" w:cs="宋体"/>
                <w:color w:val="000000"/>
                <w:sz w:val="18"/>
                <w:szCs w:val="18"/>
                <w:shd w:val="clear" w:color="auto" w:fill="FFFFFF"/>
              </w:rPr>
              <w:t>主要环境影响及预防或减轻不良环境影响的对策和措施</w:t>
            </w:r>
          </w:p>
        </w:tc>
      </w:tr>
      <w:tr w14:paraId="5F3322A4">
        <w:tblPrEx>
          <w:tblCellMar>
            <w:top w:w="15" w:type="dxa"/>
            <w:left w:w="15" w:type="dxa"/>
            <w:bottom w:w="15" w:type="dxa"/>
            <w:right w:w="15" w:type="dxa"/>
          </w:tblCellMar>
        </w:tblPrEx>
        <w:trPr>
          <w:trHeight w:val="90" w:hRule="atLeast"/>
        </w:trPr>
        <w:tc>
          <w:tcPr>
            <w:tcW w:w="399" w:type="dxa"/>
            <w:tcBorders>
              <w:top w:val="single" w:color="auto" w:sz="4" w:space="0"/>
              <w:left w:val="single" w:color="auto" w:sz="4" w:space="0"/>
              <w:bottom w:val="single" w:color="auto" w:sz="4" w:space="0"/>
              <w:right w:val="single" w:color="auto" w:sz="6" w:space="0"/>
            </w:tcBorders>
            <w:shd w:val="clear" w:color="auto" w:fill="auto"/>
            <w:tcMar>
              <w:top w:w="0" w:type="dxa"/>
              <w:left w:w="0" w:type="dxa"/>
              <w:bottom w:w="0" w:type="dxa"/>
              <w:right w:w="0" w:type="dxa"/>
            </w:tcMar>
            <w:vAlign w:val="center"/>
          </w:tcPr>
          <w:p w14:paraId="3A898CFE">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1.</w:t>
            </w:r>
          </w:p>
        </w:tc>
        <w:tc>
          <w:tcPr>
            <w:tcW w:w="389"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527F499E">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lang w:val="en-US" w:eastAsia="zh-CN"/>
              </w:rPr>
              <w:t>航城科技（河南）有限公司</w:t>
            </w:r>
          </w:p>
        </w:tc>
        <w:tc>
          <w:tcPr>
            <w:tcW w:w="997"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4FC045AC">
            <w:pPr>
              <w:pStyle w:val="3"/>
              <w:widowControl/>
              <w:spacing w:beforeAutospacing="0" w:afterAutospacing="0" w:line="300" w:lineRule="atLeast"/>
              <w:jc w:val="center"/>
              <w:rPr>
                <w:rFonts w:hint="eastAsia" w:ascii="Times New Roman" w:hAnsi="Times New Roman"/>
                <w:color w:val="000000"/>
                <w:sz w:val="18"/>
                <w:szCs w:val="18"/>
                <w:lang w:val="en-US" w:eastAsia="zh-CN"/>
              </w:rPr>
            </w:pPr>
            <w:r>
              <w:rPr>
                <w:rFonts w:hint="eastAsia" w:ascii="Times New Roman" w:hAnsi="Times New Roman"/>
                <w:color w:val="000000"/>
                <w:sz w:val="18"/>
                <w:szCs w:val="18"/>
                <w:lang w:val="en-US" w:eastAsia="zh-CN"/>
              </w:rPr>
              <w:t>智能装备和</w:t>
            </w:r>
          </w:p>
          <w:p w14:paraId="23F3A9C8">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lang w:val="en-US" w:eastAsia="zh-CN"/>
              </w:rPr>
              <w:t>专用材料及配件项目</w:t>
            </w:r>
          </w:p>
        </w:tc>
        <w:tc>
          <w:tcPr>
            <w:tcW w:w="1103"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03A0EC25">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lang w:val="en-US" w:eastAsia="zh-CN"/>
              </w:rPr>
              <w:t>滑县先进制造业开发区白马路与漓江路交叉口向南150米路西</w:t>
            </w:r>
          </w:p>
        </w:tc>
        <w:tc>
          <w:tcPr>
            <w:tcW w:w="714"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703EB121">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lang w:val="en-US" w:eastAsia="zh-CN"/>
              </w:rPr>
              <w:t>河南邦驰环保科技有限公司</w:t>
            </w:r>
          </w:p>
        </w:tc>
        <w:tc>
          <w:tcPr>
            <w:tcW w:w="860"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328A543A">
            <w:pPr>
              <w:pStyle w:val="3"/>
              <w:widowControl/>
              <w:spacing w:beforeAutospacing="0" w:afterAutospacing="0" w:line="300" w:lineRule="atLeast"/>
              <w:jc w:val="center"/>
              <w:rPr>
                <w:rFonts w:ascii="Times New Roman" w:hAnsi="Times New Roman"/>
                <w:color w:val="000000"/>
                <w:sz w:val="18"/>
                <w:szCs w:val="18"/>
              </w:rPr>
            </w:pPr>
            <w:r>
              <w:rPr>
                <w:rFonts w:ascii="Times New Roman" w:hAnsi="Times New Roman"/>
                <w:color w:val="000000"/>
                <w:sz w:val="18"/>
                <w:szCs w:val="18"/>
              </w:rPr>
              <w:t>总投资</w:t>
            </w:r>
            <w:r>
              <w:rPr>
                <w:rFonts w:hint="eastAsia" w:ascii="Times New Roman" w:hAnsi="Times New Roman"/>
                <w:color w:val="000000"/>
                <w:sz w:val="18"/>
                <w:szCs w:val="18"/>
                <w:lang w:val="en-US" w:eastAsia="zh-CN"/>
              </w:rPr>
              <w:t>1000</w:t>
            </w:r>
            <w:r>
              <w:rPr>
                <w:rFonts w:ascii="Times New Roman" w:hAnsi="Times New Roman"/>
                <w:color w:val="000000"/>
                <w:sz w:val="18"/>
                <w:szCs w:val="18"/>
              </w:rPr>
              <w:t>万元，环保投资</w:t>
            </w:r>
            <w:r>
              <w:rPr>
                <w:rFonts w:hint="eastAsia" w:ascii="Times New Roman" w:hAnsi="Times New Roman"/>
                <w:color w:val="000000"/>
                <w:sz w:val="18"/>
                <w:szCs w:val="18"/>
                <w:lang w:val="en-US" w:eastAsia="zh-CN"/>
              </w:rPr>
              <w:t>47</w:t>
            </w:r>
            <w:r>
              <w:rPr>
                <w:rFonts w:ascii="Times New Roman" w:hAnsi="Times New Roman"/>
                <w:color w:val="000000"/>
                <w:sz w:val="18"/>
                <w:szCs w:val="18"/>
              </w:rPr>
              <w:t>万元。</w:t>
            </w:r>
          </w:p>
        </w:tc>
        <w:tc>
          <w:tcPr>
            <w:tcW w:w="3653" w:type="dxa"/>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14:paraId="6DECB636">
            <w:pPr>
              <w:keepNext w:val="0"/>
              <w:keepLines w:val="0"/>
              <w:widowControl/>
              <w:numPr>
                <w:ilvl w:val="0"/>
                <w:numId w:val="0"/>
              </w:numPr>
              <w:suppressLineNumbers w:val="0"/>
              <w:ind w:leftChars="0" w:firstLine="360" w:firstLineChars="200"/>
              <w:jc w:val="left"/>
              <w:rPr>
                <w:rFonts w:hint="default" w:ascii="Times New Roman" w:hAnsi="Times New Roman"/>
                <w:color w:val="000000"/>
                <w:sz w:val="18"/>
                <w:szCs w:val="18"/>
                <w:lang w:val="en-US" w:eastAsia="zh-CN"/>
              </w:rPr>
            </w:pPr>
            <w:bookmarkStart w:id="0" w:name="OLE_LINK15"/>
            <w:bookmarkStart w:id="1" w:name="OLE_LINK16"/>
            <w:r>
              <w:rPr>
                <w:rFonts w:ascii="Times New Roman" w:hAnsi="Times New Roman"/>
                <w:color w:val="000000"/>
                <w:sz w:val="18"/>
                <w:szCs w:val="18"/>
              </w:rPr>
              <w:t>1.</w:t>
            </w:r>
            <w:r>
              <w:rPr>
                <w:rFonts w:hint="eastAsia" w:ascii="Times New Roman" w:hAnsi="Times New Roman"/>
                <w:color w:val="000000"/>
                <w:sz w:val="18"/>
                <w:szCs w:val="18"/>
              </w:rPr>
              <w:t xml:space="preserve"> </w:t>
            </w:r>
            <w:r>
              <w:rPr>
                <w:rFonts w:ascii="Times New Roman" w:hAnsi="Times New Roman"/>
                <w:color w:val="000000"/>
                <w:sz w:val="18"/>
                <w:szCs w:val="18"/>
              </w:rPr>
              <w:t>废</w:t>
            </w:r>
            <w:r>
              <w:rPr>
                <w:rFonts w:hint="eastAsia" w:ascii="Times New Roman" w:hAnsi="Times New Roman"/>
                <w:color w:val="000000"/>
                <w:sz w:val="18"/>
                <w:szCs w:val="18"/>
                <w:lang w:val="en-US" w:eastAsia="zh-CN"/>
              </w:rPr>
              <w:t>气：</w:t>
            </w:r>
            <w:r>
              <w:rPr>
                <w:rFonts w:hint="eastAsia" w:ascii="Times New Roman" w:hAnsi="Times New Roman"/>
                <w:color w:val="000000"/>
                <w:sz w:val="18"/>
                <w:szCs w:val="18"/>
              </w:rPr>
              <w:t>挤出设备车间</w:t>
            </w:r>
            <w:r>
              <w:rPr>
                <w:rFonts w:hint="eastAsia" w:ascii="Times New Roman" w:hAnsi="Times New Roman"/>
                <w:color w:val="000000"/>
                <w:sz w:val="18"/>
                <w:szCs w:val="18"/>
                <w:lang w:val="en-US" w:eastAsia="zh-CN"/>
              </w:rPr>
              <w:t>二次密闭，废气经集气罩收集至</w:t>
            </w:r>
            <w:r>
              <w:rPr>
                <w:rFonts w:hint="eastAsia" w:ascii="Times New Roman" w:hAnsi="Times New Roman"/>
                <w:color w:val="000000"/>
                <w:sz w:val="18"/>
                <w:szCs w:val="18"/>
                <w:lang w:eastAsia="zh-CN"/>
              </w:rPr>
              <w:t>活性炭吸附</w:t>
            </w:r>
            <w:r>
              <w:rPr>
                <w:rFonts w:hint="eastAsia" w:ascii="Times New Roman" w:hAnsi="Times New Roman"/>
                <w:color w:val="000000"/>
                <w:sz w:val="18"/>
                <w:szCs w:val="18"/>
                <w:lang w:val="en-US" w:eastAsia="zh-CN"/>
              </w:rPr>
              <w:t>装置处理后通过15m高排气筒排放；破碎废气负压抽风收集与切割、焊接废气收集至袋式除尘器处理后通过15m高排气筒排放；喷房底部设置斗式集尘口，喷涂过程中未附着的塑粉，经喷房底部斗式集尘口抽至喷塑线配套的二级回收装置（滤筒+覆膜袋式除尘器）处理后，通过15m高排气筒排放；烘干废气经集气罩收集至</w:t>
            </w:r>
            <w:r>
              <w:rPr>
                <w:rFonts w:hint="eastAsia" w:ascii="Times New Roman" w:hAnsi="Times New Roman"/>
                <w:color w:val="000000"/>
                <w:sz w:val="18"/>
                <w:szCs w:val="18"/>
                <w:lang w:eastAsia="zh-CN"/>
              </w:rPr>
              <w:t>活性炭吸附</w:t>
            </w:r>
            <w:r>
              <w:rPr>
                <w:rFonts w:hint="eastAsia" w:ascii="Times New Roman" w:hAnsi="Times New Roman"/>
                <w:color w:val="000000"/>
                <w:sz w:val="18"/>
                <w:szCs w:val="18"/>
                <w:lang w:val="en-US" w:eastAsia="zh-CN"/>
              </w:rPr>
              <w:t>装置处理后通过15m高排气筒排放。废气排放须满足《合成树脂工业污染物排放标准》（GB31572-2015，含2024年修改单）、《大气污染物综合排放标准》（GB16297-1996）、《工业涂装工序挥发性有机物排放标准》（DB41/1951-2020）设备制造业、《工业炉窑大气污染物排放标准》（DB41/ 1066-2020）、《挥发性有机物无组织排放控制标准》（GB37822-2019）表A.1特别排放限值、《河南省重点行业绩效分级指南（2024年修订版）》塑料制品A级企业要求、《重污染天气重点行业应急减排措施制定技术指南》（环办大气函〔2020〕340号）工程机械整机制造A级企业要求、《2019年推进全市工业企业超低排放深度治理实施方案》（安环攻坚办〔2019〕205号、《关于全省开展工业企业挥发性有机物专项治理工作中排放建议值的通知》（豫环攻坚办〔2017〕162号）相关要求及《关于印发安阳市2019年工业大气污染治理5个专项实施方案的通知》（安环攻坚办〔2019〕196号）相关要求。</w:t>
            </w:r>
          </w:p>
          <w:p w14:paraId="6986A49B">
            <w:pPr>
              <w:keepNext w:val="0"/>
              <w:keepLines w:val="0"/>
              <w:widowControl/>
              <w:numPr>
                <w:ilvl w:val="0"/>
                <w:numId w:val="0"/>
              </w:numPr>
              <w:suppressLineNumbers w:val="0"/>
              <w:ind w:leftChars="0" w:firstLine="360" w:firstLineChars="200"/>
              <w:jc w:val="left"/>
              <w:rPr>
                <w:rFonts w:hint="default" w:ascii="Times New Roman" w:hAnsi="Times New Roman"/>
                <w:color w:val="000000"/>
                <w:sz w:val="18"/>
                <w:szCs w:val="18"/>
                <w:lang w:val="en-US" w:eastAsia="zh-CN"/>
              </w:rPr>
            </w:pPr>
            <w:r>
              <w:rPr>
                <w:rFonts w:hint="eastAsia" w:ascii="Times New Roman" w:hAnsi="Times New Roman"/>
                <w:color w:val="000000"/>
                <w:sz w:val="18"/>
                <w:szCs w:val="18"/>
                <w:lang w:val="en-US" w:eastAsia="zh-CN"/>
              </w:rPr>
              <w:t>2. 废水：挤出成型工序冷却水经50m3循环水池循环使用，不外排；生活污水经现有化粪池（20m3）处理后进入市政污水管网，排入产业集聚区污水处理厂处理。废水排放须满足《污水综合排放标准》（GB8978-1996）表4三级标准及产业集聚区污水处理厂收水水质要求。</w:t>
            </w:r>
          </w:p>
          <w:p w14:paraId="7915137D">
            <w:pPr>
              <w:keepNext w:val="0"/>
              <w:keepLines w:val="0"/>
              <w:widowControl/>
              <w:numPr>
                <w:ilvl w:val="0"/>
                <w:numId w:val="0"/>
              </w:numPr>
              <w:suppressLineNumbers w:val="0"/>
              <w:ind w:leftChars="0" w:firstLine="360" w:firstLineChars="200"/>
              <w:jc w:val="left"/>
              <w:rPr>
                <w:rFonts w:hint="eastAsia" w:ascii="Times New Roman" w:hAnsi="Times New Roman"/>
                <w:color w:val="000000"/>
                <w:sz w:val="18"/>
                <w:szCs w:val="18"/>
                <w:lang w:val="en-US" w:eastAsia="zh-CN"/>
              </w:rPr>
            </w:pPr>
            <w:r>
              <w:rPr>
                <w:rFonts w:hint="eastAsia" w:ascii="Times New Roman" w:hAnsi="Times New Roman"/>
                <w:color w:val="000000"/>
                <w:sz w:val="18"/>
                <w:szCs w:val="18"/>
                <w:lang w:val="en-US" w:eastAsia="zh-CN"/>
              </w:rPr>
              <w:t>3. 噪声：经采取选用低噪声设备、基础减震、厂房隔声降噪措施后，厂界噪声须满足《工业企业厂界环境噪声排放标准》（GB12348-2008）3类标准。</w:t>
            </w:r>
          </w:p>
          <w:p w14:paraId="22905541">
            <w:pPr>
              <w:keepNext w:val="0"/>
              <w:keepLines w:val="0"/>
              <w:widowControl/>
              <w:numPr>
                <w:ilvl w:val="0"/>
                <w:numId w:val="0"/>
              </w:numPr>
              <w:suppressLineNumbers w:val="0"/>
              <w:ind w:leftChars="0" w:firstLine="360" w:firstLineChars="200"/>
              <w:jc w:val="left"/>
              <w:rPr>
                <w:rFonts w:hint="eastAsia" w:ascii="Times New Roman" w:hAnsi="Times New Roman"/>
                <w:color w:val="000000"/>
                <w:sz w:val="18"/>
                <w:szCs w:val="18"/>
                <w:lang w:val="en-US" w:eastAsia="zh-CN"/>
              </w:rPr>
            </w:pPr>
            <w:r>
              <w:rPr>
                <w:rFonts w:hint="eastAsia" w:ascii="Times New Roman" w:hAnsi="Times New Roman"/>
                <w:color w:val="000000"/>
                <w:sz w:val="18"/>
                <w:szCs w:val="18"/>
                <w:lang w:val="en-US" w:eastAsia="zh-CN"/>
              </w:rPr>
              <w:t>4. 固体废物：</w:t>
            </w:r>
            <w:bookmarkEnd w:id="0"/>
            <w:bookmarkEnd w:id="1"/>
            <w:r>
              <w:rPr>
                <w:rFonts w:hint="eastAsia" w:ascii="Times New Roman" w:hAnsi="Times New Roman"/>
                <w:color w:val="000000"/>
                <w:sz w:val="18"/>
                <w:szCs w:val="18"/>
                <w:lang w:val="en-US" w:eastAsia="zh-CN"/>
              </w:rPr>
              <w:t>生活垃圾经垃圾箱收集后交环卫部门处置。废边角料和不合格品（塑料）在厂房内暂存区暂存后定期破碎，回用于生产。废包装袋、废滤袋、除尘灰、废边角料和不合格品（钢材）暂存在一般固废间（20m2），定期外售。废活性炭暂存在危废暂存间（5m2），定期交由有资质单位处置。一般固体废物暂存应满足《一般工业固体废物贮存和填埋污染控制标准》（GB18599-2020）要求，危险废物暂存应满足《危险废物贮存污染控制标准》（GB18597-2023）要求。</w:t>
            </w:r>
          </w:p>
          <w:p w14:paraId="0F0EF46C">
            <w:pPr>
              <w:keepNext w:val="0"/>
              <w:keepLines w:val="0"/>
              <w:widowControl/>
              <w:numPr>
                <w:ilvl w:val="0"/>
                <w:numId w:val="0"/>
              </w:numPr>
              <w:suppressLineNumbers w:val="0"/>
              <w:ind w:leftChars="0" w:firstLine="360" w:firstLineChars="200"/>
              <w:jc w:val="left"/>
              <w:rPr>
                <w:rFonts w:ascii="Times New Roman" w:hAnsi="Times New Roman"/>
                <w:color w:val="000000"/>
                <w:sz w:val="18"/>
                <w:szCs w:val="18"/>
              </w:rPr>
            </w:pPr>
          </w:p>
        </w:tc>
      </w:tr>
    </w:tbl>
    <w:p w14:paraId="4C4935B6">
      <w:pPr>
        <w:pStyle w:val="3"/>
        <w:widowControl/>
        <w:spacing w:beforeAutospacing="0" w:afterAutospacing="0" w:line="300" w:lineRule="atLeast"/>
        <w:jc w:val="center"/>
        <w:rPr>
          <w:rFonts w:ascii="Times New Roman" w:hAnsi="Times New Roman"/>
          <w:color w:val="000000"/>
          <w:sz w:val="18"/>
          <w:szCs w:val="18"/>
        </w:rPr>
      </w:pPr>
    </w:p>
    <w:p w14:paraId="7C68DD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37E13"/>
    <w:rsid w:val="0E495232"/>
    <w:rsid w:val="1C737F5D"/>
    <w:rsid w:val="281A1584"/>
    <w:rsid w:val="31B903F4"/>
    <w:rsid w:val="549E000C"/>
    <w:rsid w:val="6B7035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lock Text"/>
    <w:basedOn w:val="1"/>
    <w:next w:val="1"/>
    <w:qFormat/>
    <w:uiPriority w:val="0"/>
    <w:pPr>
      <w:spacing w:line="320" w:lineRule="exact"/>
      <w:ind w:left="113" w:right="113"/>
      <w:jc w:val="center"/>
    </w:pPr>
    <w:rPr>
      <w:b/>
      <w:sz w:val="13"/>
      <w:szCs w:val="15"/>
    </w:rPr>
  </w:style>
  <w:style w:type="paragraph" w:styleId="3">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852</Words>
  <Characters>968</Characters>
  <Lines>0</Lines>
  <Paragraphs>0</Paragraphs>
  <TotalTime>2</TotalTime>
  <ScaleCrop>false</ScaleCrop>
  <LinksUpToDate>false</LinksUpToDate>
  <CharactersWithSpaces>977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墨染秋凉</cp:lastModifiedBy>
  <dcterms:modified xsi:type="dcterms:W3CDTF">2026-09-30T00:12:48Z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eyJoZGlkIjoiYjBjYTBhZThlNzU1YzE4MTAxZTVkY2IyYzEzZGQxMDYiLCJ1c2VySWQiOiI0MzY3NTg1OTAifQ==</vt:lpwstr>
  </property>
  <property fmtid="{D5CDD505-2E9C-101B-9397-08002B2CF9AE}" pid="4" name="ICV">
    <vt:lpwstr>B5F097A043484BA581BD1FE88BE91772_12</vt:lpwstr>
  </property>
</Properties>
</file>