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2"/>
        <w:widowControl/>
        <w:spacing w:line="360" w:lineRule="auto"/>
        <w:jc w:val="center"/>
        <w:rPr>
          <w:rFonts w:ascii="方正小标宋简体" w:hAnsi="方正小标宋简体" w:eastAsia="方正小标宋简体" w:cs="方正小标宋简体"/>
          <w:color w:val="333333"/>
          <w:sz w:val="30"/>
          <w:szCs w:val="30"/>
        </w:rPr>
      </w:pPr>
      <w:bookmarkStart w:id="2" w:name="_GoBack"/>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8</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18</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w:t>
      </w:r>
      <w:r>
        <w:rPr>
          <w:rFonts w:hint="eastAsia" w:ascii="方正小标宋简体" w:hAnsi="方正小标宋简体" w:eastAsia="方正小标宋简体" w:cs="方正小标宋简体"/>
          <w:color w:val="333333"/>
          <w:sz w:val="30"/>
          <w:szCs w:val="30"/>
          <w:lang w:val="en-US" w:eastAsia="zh-CN"/>
        </w:rPr>
        <w:t>生态</w:t>
      </w:r>
      <w:r>
        <w:rPr>
          <w:rFonts w:hint="eastAsia" w:ascii="方正小标宋简体" w:hAnsi="方正小标宋简体" w:eastAsia="方正小标宋简体" w:cs="方正小标宋简体"/>
          <w:color w:val="333333"/>
          <w:sz w:val="30"/>
          <w:szCs w:val="30"/>
        </w:rPr>
        <w:t>环境影响评价文件</w:t>
      </w:r>
    </w:p>
    <w:p w14:paraId="7C5DCEEF">
      <w:pPr>
        <w:pStyle w:val="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bookmarkEnd w:id="2"/>
    <w:p w14:paraId="794A2676">
      <w:pPr>
        <w:pStyle w:val="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环境影响评价文件作出审批意见。为保证审批意见的严肃性和公正性，现将各建设项目</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18</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24</w:t>
      </w:r>
      <w:r>
        <w:rPr>
          <w:rFonts w:hint="eastAsia" w:ascii="宋体" w:hAnsi="宋体" w:eastAsia="宋体" w:cs="宋体"/>
          <w:color w:val="000000"/>
          <w:sz w:val="21"/>
          <w:szCs w:val="21"/>
          <w:shd w:val="clear" w:color="auto" w:fill="FFFFFF"/>
        </w:rPr>
        <w:t>日（5个工作日）。</w:t>
      </w:r>
    </w:p>
    <w:p w14:paraId="6AF4FD29">
      <w:pPr>
        <w:pStyle w:val="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建设项目环境影响评价文件批复决定要求听证。</w:t>
      </w:r>
    </w:p>
    <w:p w14:paraId="18B1375B">
      <w:pPr>
        <w:pStyle w:val="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环境影响文件</w:t>
      </w:r>
    </w:p>
    <w:tbl>
      <w:tblPr>
        <w:tblStyle w:val="3"/>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2"/>
              <w:widowControl/>
              <w:spacing w:beforeAutospacing="0" w:afterAutospacing="0" w:line="300" w:lineRule="atLeast"/>
              <w:jc w:val="center"/>
            </w:pPr>
            <w:r>
              <w:rPr>
                <w:rStyle w:val="5"/>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2"/>
              <w:widowControl/>
              <w:spacing w:beforeAutospacing="0" w:afterAutospacing="0" w:line="300" w:lineRule="atLeast"/>
              <w:jc w:val="center"/>
            </w:pPr>
            <w:r>
              <w:rPr>
                <w:rStyle w:val="5"/>
                <w:rFonts w:hint="eastAsia" w:ascii="宋体" w:hAnsi="宋体" w:eastAsia="宋体" w:cs="宋体"/>
                <w:color w:val="000000"/>
                <w:sz w:val="18"/>
                <w:szCs w:val="18"/>
              </w:rPr>
              <w:t>建设</w:t>
            </w:r>
          </w:p>
          <w:p w14:paraId="30286E85">
            <w:pPr>
              <w:pStyle w:val="2"/>
              <w:widowControl/>
              <w:spacing w:beforeAutospacing="0" w:afterAutospacing="0" w:line="300" w:lineRule="atLeast"/>
              <w:jc w:val="center"/>
            </w:pPr>
            <w:r>
              <w:rPr>
                <w:rStyle w:val="5"/>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2"/>
              <w:widowControl/>
              <w:spacing w:beforeAutospacing="0" w:afterAutospacing="0" w:line="300" w:lineRule="atLeast"/>
              <w:jc w:val="center"/>
            </w:pPr>
            <w:r>
              <w:rPr>
                <w:rStyle w:val="5"/>
                <w:rFonts w:hint="eastAsia" w:ascii="宋体" w:hAnsi="宋体" w:eastAsia="宋体" w:cs="宋体"/>
                <w:color w:val="000000"/>
                <w:sz w:val="18"/>
                <w:szCs w:val="18"/>
              </w:rPr>
              <w:t>项目</w:t>
            </w:r>
          </w:p>
          <w:p w14:paraId="7F0822BE">
            <w:pPr>
              <w:pStyle w:val="2"/>
              <w:widowControl/>
              <w:spacing w:beforeAutospacing="0" w:afterAutospacing="0" w:line="300" w:lineRule="atLeast"/>
              <w:jc w:val="center"/>
            </w:pPr>
            <w:r>
              <w:rPr>
                <w:rStyle w:val="5"/>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2"/>
              <w:widowControl/>
              <w:spacing w:beforeAutospacing="0" w:afterAutospacing="0" w:line="300" w:lineRule="atLeast"/>
              <w:jc w:val="center"/>
            </w:pPr>
            <w:r>
              <w:rPr>
                <w:rStyle w:val="5"/>
                <w:rFonts w:hint="eastAsia" w:ascii="宋体" w:hAnsi="宋体" w:eastAsia="宋体" w:cs="宋体"/>
                <w:color w:val="000000"/>
                <w:sz w:val="18"/>
                <w:szCs w:val="18"/>
              </w:rPr>
              <w:t>建设</w:t>
            </w:r>
          </w:p>
          <w:p w14:paraId="62603EDB">
            <w:pPr>
              <w:pStyle w:val="2"/>
              <w:widowControl/>
              <w:spacing w:beforeAutospacing="0" w:afterAutospacing="0" w:line="300" w:lineRule="atLeast"/>
              <w:jc w:val="center"/>
            </w:pPr>
            <w:r>
              <w:rPr>
                <w:rStyle w:val="5"/>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建设项目</w:t>
            </w:r>
          </w:p>
          <w:p w14:paraId="2DE72757">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2"/>
              <w:widowControl/>
              <w:spacing w:beforeAutospacing="0" w:afterAutospacing="0" w:line="300" w:lineRule="atLeast"/>
              <w:jc w:val="center"/>
              <w:rPr>
                <w:rFonts w:ascii="Times New Roman" w:hAnsi="Times New Roman"/>
                <w:color w:val="000000"/>
                <w:sz w:val="18"/>
                <w:szCs w:val="18"/>
              </w:rPr>
            </w:pPr>
            <w:r>
              <w:rPr>
                <w:rFonts w:hint="default" w:ascii="Times New Roman" w:hAnsi="Times New Roman"/>
                <w:color w:val="000000"/>
                <w:sz w:val="18"/>
                <w:szCs w:val="18"/>
                <w:lang w:val="en-US" w:eastAsia="zh-CN"/>
              </w:rPr>
              <w:t>滑县国粹文体厂</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5D12E1CC">
            <w:pPr>
              <w:pStyle w:val="2"/>
              <w:widowControl/>
              <w:spacing w:beforeAutospacing="0" w:afterAutospacing="0" w:line="300" w:lineRule="atLeast"/>
              <w:jc w:val="center"/>
              <w:rPr>
                <w:rFonts w:hint="default" w:ascii="Times New Roman" w:hAnsi="Times New Roman"/>
                <w:color w:val="000000"/>
                <w:sz w:val="18"/>
                <w:szCs w:val="18"/>
                <w:lang w:val="en-US" w:eastAsia="zh-CN"/>
              </w:rPr>
            </w:pPr>
            <w:r>
              <w:rPr>
                <w:rFonts w:hint="default" w:ascii="Times New Roman" w:hAnsi="Times New Roman"/>
                <w:color w:val="000000"/>
                <w:sz w:val="18"/>
                <w:szCs w:val="18"/>
                <w:lang w:val="en-US" w:eastAsia="zh-CN"/>
              </w:rPr>
              <w:t>年生产文化用品5万套</w:t>
            </w:r>
          </w:p>
          <w:p w14:paraId="21C5A1FC">
            <w:pPr>
              <w:pStyle w:val="2"/>
              <w:widowControl/>
              <w:spacing w:beforeAutospacing="0" w:afterAutospacing="0" w:line="300" w:lineRule="atLeast"/>
              <w:jc w:val="center"/>
              <w:rPr>
                <w:rFonts w:ascii="Times New Roman" w:hAnsi="Times New Roman"/>
                <w:color w:val="000000"/>
                <w:sz w:val="18"/>
                <w:szCs w:val="18"/>
              </w:rPr>
            </w:pPr>
            <w:r>
              <w:rPr>
                <w:rFonts w:hint="default" w:ascii="Times New Roman" w:hAnsi="Times New Roman"/>
                <w:color w:val="000000"/>
                <w:sz w:val="18"/>
                <w:szCs w:val="18"/>
                <w:lang w:val="en-US" w:eastAsia="zh-CN"/>
              </w:rPr>
              <w:t>建设项目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滑县八里营镇西郭庄村西头中心小学东150米路北88号</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河南邦驰环保科技有限公司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占地面积800m</w:t>
            </w:r>
            <w:r>
              <w:rPr>
                <w:rFonts w:hint="eastAsia" w:ascii="Times New Roman" w:hAnsi="Times New Roman"/>
                <w:color w:val="000000"/>
                <w:sz w:val="18"/>
                <w:szCs w:val="18"/>
                <w:vertAlign w:val="superscript"/>
                <w:lang w:val="en-US" w:eastAsia="zh-CN"/>
              </w:rPr>
              <w:t>2</w:t>
            </w:r>
            <w:r>
              <w:rPr>
                <w:rFonts w:hint="eastAsia" w:ascii="Times New Roman" w:hAnsi="Times New Roman"/>
                <w:color w:val="000000"/>
                <w:sz w:val="18"/>
                <w:szCs w:val="18"/>
                <w:lang w:val="en-US" w:eastAsia="zh-CN"/>
              </w:rPr>
              <w:t>，</w:t>
            </w:r>
            <w:r>
              <w:rPr>
                <w:rFonts w:ascii="Times New Roman" w:hAnsi="Times New Roman"/>
                <w:color w:val="000000"/>
                <w:sz w:val="18"/>
                <w:szCs w:val="18"/>
              </w:rPr>
              <w:t>总投资</w:t>
            </w:r>
            <w:r>
              <w:rPr>
                <w:rFonts w:hint="eastAsia" w:ascii="Times New Roman" w:hAnsi="Times New Roman"/>
                <w:color w:val="000000"/>
                <w:sz w:val="18"/>
                <w:szCs w:val="18"/>
                <w:lang w:val="en-US" w:eastAsia="zh-CN"/>
              </w:rPr>
              <w:t>30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10</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E47885B">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bookmarkStart w:id="0" w:name="OLE_LINK15"/>
            <w:bookmarkStart w:id="1" w:name="OLE_LINK16"/>
            <w:r>
              <w:rPr>
                <w:rFonts w:hint="eastAsia" w:ascii="Times New Roman" w:hAnsi="Times New Roman"/>
                <w:color w:val="000000"/>
                <w:sz w:val="18"/>
                <w:szCs w:val="18"/>
                <w:lang w:val="en-US" w:eastAsia="zh-CN"/>
              </w:rPr>
              <w:t>1. 废气：热塑成型机投料口三面密闭，设备上方设置集气罩，雕刻工序密闭作业，设备上方设置集气罩，废气经覆膜袋式除尘器处理后通过15m高排气筒排放；干式抛光机密闭作业，废气经集气管道进入覆膜袋式除尘器处理后通过15m高排气筒排放；点漆车间密闭，注膜、脱模工段车间密闭，废气活性炭吸附装置处理后通过15m高排气筒排放。废气排放须满足《合成树脂工业污染物排放标准》（GB 31572—2015）（含2024年修改单）限值、《挥发性有机物无组织排放控制标准》（GB37822-2019）表A.1特别排放限值、《河南省重点行业绩效分级指南（2024年修订版）》塑料制品行业要求、《重污染天气重点行业应急减排措施制定技术指南（2020年修订版）》（环办大气函〔2020〕340号）中工业涂装行业要求、《关于全省开展工业企业挥发性有机物专项治理工作中排放建议值的通知》（豫环攻坚办〔2017〕162号）相关要求及《关于印发安阳市2019年工业大气污染治理5个专项实施方案的通知》（安环攻坚办〔2019〕196号）相关要求。</w:t>
            </w:r>
          </w:p>
          <w:p w14:paraId="63989A84">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废水：生产过程中使用的冷却水循环使用，不外排；生活污水经化粪池（10m3）处理后，定期清掏用于肥田。</w:t>
            </w:r>
          </w:p>
          <w:p w14:paraId="28391505">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3. 噪声：经采取基础减振、厂房隔声等措施后，厂界环境噪声排放须满足《工业企业厂界环境噪声排放标准》（GB12348-2008）2类标准限值，敏感点噪声须满足《声环境质量标准》（GB3096-2008）1类标准限值。</w:t>
            </w:r>
          </w:p>
          <w:p w14:paraId="3202D70A">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4. 固体废物：残次品、打磨废渣、废竹片分类收集后暂存于一般固废暂存间（10m2），定期外售综合利用；除尘器收尘暂存于一般固废暂存间（10m2）后交当地环卫部门处置。废油漆桶、废活性炭经危废暂存间（10m2）暂存后，定期交由有资质单位处置；生活垃圾经垃圾桶收集后由环卫部门定期清运。一般固体废物暂存应满足《一般工业固体废物贮存和填埋污染控制标准》（GB18599-2020）要求，危险废物暂存应满足《危险废物贮存污染控制标准》（GB18597-2023）要求。</w:t>
            </w:r>
            <w:bookmarkEnd w:id="0"/>
            <w:bookmarkEnd w:id="1"/>
          </w:p>
          <w:p w14:paraId="6A30B81E">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p>
        </w:tc>
      </w:tr>
    </w:tbl>
    <w:p w14:paraId="4C4935B6">
      <w:pPr>
        <w:pStyle w:val="2"/>
        <w:widowControl/>
        <w:spacing w:beforeAutospacing="0" w:afterAutospacing="0" w:line="300" w:lineRule="atLeast"/>
        <w:jc w:val="center"/>
        <w:rPr>
          <w:rFonts w:ascii="Times New Roman" w:hAnsi="Times New Roman"/>
          <w:color w:val="000000"/>
          <w:sz w:val="18"/>
          <w:szCs w:val="18"/>
        </w:rPr>
      </w:pPr>
    </w:p>
    <w:p w14:paraId="7C68DD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37E13"/>
    <w:rsid w:val="549E0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1772</Words>
  <Characters>1975</Characters>
  <Lines>0</Lines>
  <Paragraphs>0</Paragraphs>
  <TotalTime>0</TotalTime>
  <ScaleCrop>false</ScaleCrop>
  <LinksUpToDate>false</LinksUpToDate>
  <CharactersWithSpaces>1983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小小的大人物</cp:lastModifiedBy>
  <dcterms:modified xsi:type="dcterms:W3CDTF">2026-08-28T08:46:12Z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eyJoZGlkIjoiYmEyZGYyMWJhNzliMThlM2ViYzM1NjRjNjNlMTZlNzAiLCJ1c2VySWQiOiI0MzE3NTg1ODUifQ==</vt:lpwstr>
  </property>
  <property fmtid="{D5CDD505-2E9C-101B-9397-08002B2CF9AE}" pid="4" name="ICV">
    <vt:lpwstr>B5F097A043484BA581BD1FE88BE91772_12</vt:lpwstr>
  </property>
</Properties>
</file>