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8</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3</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3</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3</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default" w:ascii="Times New Roman" w:hAnsi="Times New Roman" w:eastAsia="宋体" w:cs="Times New Roman"/>
                <w:i w:val="0"/>
                <w:iCs w:val="0"/>
                <w:caps w:val="0"/>
                <w:color w:val="000000"/>
                <w:spacing w:val="0"/>
                <w:sz w:val="21"/>
                <w:szCs w:val="21"/>
              </w:rPr>
              <w:t>河南京能滑州热点有限公司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29A3167">
            <w:pPr>
              <w:pStyle w:val="12"/>
              <w:widowControl/>
              <w:spacing w:beforeAutospacing="0" w:afterAutospacing="0" w:line="300" w:lineRule="atLeast"/>
              <w:jc w:val="center"/>
              <w:rPr>
                <w:rFonts w:ascii="Times New Roman" w:hAnsi="Times New Roman"/>
                <w:color w:val="000000"/>
                <w:sz w:val="18"/>
                <w:szCs w:val="18"/>
              </w:rPr>
            </w:pPr>
            <w:r>
              <w:rPr>
                <w:rFonts w:hint="default" w:ascii="Times New Roman" w:hAnsi="Times New Roman" w:eastAsia="宋体" w:cs="Times New Roman"/>
                <w:i w:val="0"/>
                <w:iCs w:val="0"/>
                <w:caps w:val="0"/>
                <w:color w:val="000000"/>
                <w:spacing w:val="0"/>
                <w:sz w:val="21"/>
                <w:szCs w:val="21"/>
              </w:rPr>
              <w:t>京能滑县二期6万千瓦风电项目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F20CF67">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河南省安阳市滑县八里营镇、大寨镇</w:t>
            </w:r>
          </w:p>
          <w:p w14:paraId="03A0EC25">
            <w:pPr>
              <w:pStyle w:val="12"/>
              <w:widowControl/>
              <w:spacing w:beforeAutospacing="0" w:afterAutospacing="0" w:line="300" w:lineRule="atLeast"/>
              <w:jc w:val="center"/>
              <w:rPr>
                <w:rFonts w:ascii="Times New Roman" w:hAnsi="Times New Roman"/>
                <w:color w:val="000000"/>
                <w:sz w:val="18"/>
                <w:szCs w:val="18"/>
              </w:rPr>
            </w:pP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河南可人科技有限公司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1AA6A73">
            <w:pPr>
              <w:keepNext w:val="0"/>
              <w:keepLines w:val="0"/>
              <w:widowControl/>
              <w:suppressLineNumbers w:val="0"/>
              <w:jc w:val="left"/>
            </w:pPr>
            <w:r>
              <w:rPr>
                <w:rFonts w:hint="eastAsia" w:ascii="Times New Roman" w:hAnsi="Times New Roman"/>
                <w:color w:val="000000"/>
                <w:sz w:val="18"/>
                <w:szCs w:val="18"/>
                <w:lang w:eastAsia="zh-CN"/>
              </w:rPr>
              <w:t>永久</w:t>
            </w:r>
            <w:r>
              <w:rPr>
                <w:rFonts w:hint="eastAsia" w:ascii="Times New Roman" w:hAnsi="Times New Roman"/>
                <w:color w:val="000000"/>
                <w:sz w:val="18"/>
                <w:szCs w:val="18"/>
              </w:rPr>
              <w:t>占地面积为</w:t>
            </w:r>
            <w:r>
              <w:rPr>
                <w:rFonts w:hint="default" w:ascii="Times New Roman" w:hAnsi="Times New Roman" w:eastAsia="宋体" w:cs="Times New Roman"/>
                <w:color w:val="000000"/>
                <w:kern w:val="0"/>
                <w:sz w:val="24"/>
                <w:szCs w:val="24"/>
                <w:lang w:val="en-US" w:eastAsia="zh-CN" w:bidi="ar"/>
              </w:rPr>
              <w:t>1350</w:t>
            </w:r>
          </w:p>
          <w:p w14:paraId="5996BD64">
            <w:pPr>
              <w:keepNext w:val="0"/>
              <w:keepLines w:val="0"/>
              <w:widowControl/>
              <w:suppressLineNumbers w:val="0"/>
              <w:jc w:val="left"/>
            </w:pPr>
            <w:r>
              <w:rPr>
                <w:rFonts w:hint="eastAsia" w:ascii="Times New Roman" w:hAnsi="Times New Roman"/>
                <w:color w:val="000000"/>
                <w:sz w:val="18"/>
                <w:szCs w:val="18"/>
              </w:rPr>
              <w:t>m</w:t>
            </w:r>
            <w:r>
              <w:rPr>
                <w:rFonts w:hint="eastAsia" w:ascii="Times New Roman" w:hAnsi="Times New Roman"/>
                <w:color w:val="000000"/>
                <w:sz w:val="18"/>
                <w:szCs w:val="18"/>
                <w:vertAlign w:val="superscript"/>
              </w:rPr>
              <w:t>2</w:t>
            </w:r>
            <w:r>
              <w:rPr>
                <w:rFonts w:hint="eastAsia" w:ascii="Times New Roman" w:hAnsi="Times New Roman"/>
                <w:color w:val="000000"/>
                <w:sz w:val="18"/>
                <w:szCs w:val="18"/>
              </w:rPr>
              <w:t>，总投资</w:t>
            </w:r>
            <w:r>
              <w:rPr>
                <w:rFonts w:hint="default" w:ascii="Times New Roman" w:hAnsi="Times New Roman" w:eastAsia="宋体" w:cs="Times New Roman"/>
                <w:color w:val="000000"/>
                <w:kern w:val="0"/>
                <w:sz w:val="24"/>
                <w:szCs w:val="24"/>
                <w:lang w:val="en-US" w:eastAsia="zh-CN" w:bidi="ar"/>
              </w:rPr>
              <w:t>30100</w:t>
            </w:r>
          </w:p>
          <w:p w14:paraId="328A543A">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万元，环保投资</w:t>
            </w:r>
            <w:r>
              <w:rPr>
                <w:rFonts w:hint="eastAsia" w:ascii="Times New Roman" w:hAnsi="Times New Roman"/>
                <w:color w:val="000000"/>
                <w:sz w:val="18"/>
                <w:szCs w:val="18"/>
                <w:lang w:val="en-US" w:eastAsia="zh-CN"/>
              </w:rPr>
              <w:t>311</w:t>
            </w:r>
            <w:r>
              <w:rPr>
                <w:rFonts w:hint="eastAsia" w:ascii="Times New Roman" w:hAnsi="Times New Roman"/>
                <w:color w:val="000000"/>
                <w:sz w:val="18"/>
                <w:szCs w:val="18"/>
              </w:rPr>
              <w:t>万元</w:t>
            </w:r>
            <w:r>
              <w:rPr>
                <w:rFonts w:ascii="Times New Roman" w:hAnsi="Times New Roman"/>
                <w:color w:val="000000"/>
                <w:sz w:val="18"/>
                <w:szCs w:val="18"/>
              </w:rPr>
              <w:t>。</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E577985">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1.生态：①运营期大雾、暴雨等夜晚，室外需要照明的设备加装必要遮光设施，减轻对附近动物的影响。②加强巡逻管理，及时联系救助，禁止捕杀等措施，减少对鸟类的影响。③监测生态恢复和水土保持实施效果，对植被恢复不佳区域及时补种补栽等。</w:t>
            </w:r>
          </w:p>
          <w:p w14:paraId="65E68F9B">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eastAsia="zh-CN"/>
              </w:rPr>
            </w:pPr>
            <w:r>
              <w:rPr>
                <w:rFonts w:hint="eastAsia" w:ascii="Times New Roman" w:hAnsi="Times New Roman"/>
                <w:color w:val="000000"/>
                <w:sz w:val="18"/>
                <w:szCs w:val="18"/>
                <w:lang w:val="en-US" w:eastAsia="zh-CN"/>
              </w:rPr>
              <w:t>2.废水：项目营运期无废水污染物产生</w:t>
            </w:r>
            <w:r>
              <w:rPr>
                <w:rFonts w:hint="eastAsia" w:ascii="Times New Roman" w:hAnsi="Times New Roman"/>
                <w:color w:val="000000"/>
                <w:sz w:val="18"/>
                <w:szCs w:val="18"/>
                <w:lang w:eastAsia="zh-CN"/>
              </w:rPr>
              <w:t>。</w:t>
            </w:r>
          </w:p>
          <w:p w14:paraId="5C81FF1D">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3.噪声：选用低噪声设备，经常对风机进行维护和检修，使其处于良好的运行状态，避免机器运转不正常时噪声增高。根据预测结果，当风机正常运行时，距离风机350m处噪声贡献值可满足《工业企业厂界环境噪声排放标准》（GB12348-2008）中1类功能区标准要求（昼间55dB(A)、夜间45dB(A)）。项目风机与周围村庄的距离在500m以上，本次评价建议风机周围350m的范围作为风机的噪声防护距离，该范围内不应再规划建设村庄、学校等环境保护目标。</w:t>
            </w:r>
          </w:p>
          <w:p w14:paraId="28028B07">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4.光影：根据风电机组周边环境敏感点现场踏勘距离测量及计算，项目风电机组450m范围内无环境敏感点，周围村庄均在各风电机组的光影防护距离之外，项目风电机组运行期间的光影不会对周围村庄造成影响。同时，评价建议在风电机组的光影防护距离内不得新建居民点、学校等敏感点。</w:t>
            </w:r>
          </w:p>
          <w:p w14:paraId="062B049C">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5.固废：项目运营期间产生的固体废物主要为危险废物，包括废润滑油、废铅酸蓄电池，经分类收集暂存于配套升压站的危废仓（危废暂存间）内，定</w:t>
            </w:r>
            <w:bookmarkStart w:id="0" w:name="_GoBack"/>
            <w:bookmarkEnd w:id="0"/>
            <w:r>
              <w:rPr>
                <w:rFonts w:hint="eastAsia" w:ascii="Times New Roman" w:hAnsi="Times New Roman"/>
                <w:color w:val="000000"/>
                <w:sz w:val="18"/>
                <w:szCs w:val="18"/>
                <w:lang w:val="en-US" w:eastAsia="zh-CN"/>
              </w:rPr>
              <w:t>期委托有资质单位处置。</w:t>
            </w:r>
          </w:p>
          <w:p w14:paraId="6A30B81E">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p>
        </w:tc>
      </w:tr>
    </w:tbl>
    <w:p w14:paraId="4C4935B6">
      <w:pPr>
        <w:pStyle w:val="12"/>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126D0F3F"/>
    <w:rsid w:val="13FD1DAB"/>
    <w:rsid w:val="14A55308"/>
    <w:rsid w:val="159D7523"/>
    <w:rsid w:val="1E5F2331"/>
    <w:rsid w:val="23BC64AB"/>
    <w:rsid w:val="28B71175"/>
    <w:rsid w:val="29F8185A"/>
    <w:rsid w:val="2ADD44ED"/>
    <w:rsid w:val="2C0676F0"/>
    <w:rsid w:val="2DC302F1"/>
    <w:rsid w:val="2DC86D5C"/>
    <w:rsid w:val="31811015"/>
    <w:rsid w:val="323D7466"/>
    <w:rsid w:val="383B30F1"/>
    <w:rsid w:val="3A25474B"/>
    <w:rsid w:val="3A555B39"/>
    <w:rsid w:val="3B0E64B4"/>
    <w:rsid w:val="3BCC5E8A"/>
    <w:rsid w:val="3CC6659F"/>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E992E87"/>
    <w:rsid w:val="6FE633A9"/>
    <w:rsid w:val="73185CF3"/>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1213</Words>
  <Characters>1378</Characters>
  <Lines>1</Lines>
  <Paragraphs>2</Paragraphs>
  <TotalTime>0</TotalTime>
  <ScaleCrop>false</ScaleCrop>
  <LinksUpToDate>false</LinksUpToDate>
  <CharactersWithSpaces>1386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2026-08-12T00:33:24Z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8BE8F78994014D048921BA9B8DEF1A8D</vt:lpwstr>
  </property>
  <property fmtid="{D5CDD505-2E9C-101B-9397-08002B2CF9AE}" pid="4" name="KSOTemplateDocerSaveRecord">
    <vt:lpwstr>eyJoZGlkIjoiZjM2ZjFhNzg3OWI0MDhiN2Y4NWFlMjQ0ZjkyZWFjMDUiLCJ1c2VySWQiOiI0MzY3NTg1OTAifQ==</vt:lpwstr>
  </property>
</Properties>
</file>