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after="0" w:line="560" w:lineRule="exact"/>
        <w:ind w:right="0"/>
        <w:jc w:val="both"/>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before="0" w:after="0" w:line="560" w:lineRule="exact"/>
        <w:ind w:right="0"/>
        <w:jc w:val="center"/>
        <w:textAlignment w:val="auto"/>
        <w:outlineLvl w:val="9"/>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相关法律规定</w:t>
      </w:r>
    </w:p>
    <w:p>
      <w:pPr>
        <w:keepNext w:val="0"/>
        <w:keepLines w:val="0"/>
        <w:pageBreakBefore w:val="0"/>
        <w:widowControl w:val="0"/>
        <w:kinsoku/>
        <w:wordWrap/>
        <w:overflowPunct/>
        <w:topLinePunct w:val="0"/>
        <w:autoSpaceDE/>
        <w:autoSpaceDN/>
        <w:bidi w:val="0"/>
        <w:adjustRightInd/>
        <w:snapToGrid/>
        <w:spacing w:before="0" w:after="0" w:line="560" w:lineRule="exact"/>
        <w:ind w:right="0"/>
        <w:jc w:val="center"/>
        <w:textAlignment w:val="auto"/>
        <w:outlineLvl w:val="9"/>
        <w:rPr>
          <w:rFonts w:hint="eastAsia" w:ascii="方正小标宋简体" w:hAnsi="方正小标宋简体" w:eastAsia="方正小标宋简体" w:cs="方正小标宋简体"/>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一、《社会团体登记管理条例》</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第三十条 社会团体有下列情形之一的</w:t>
      </w:r>
      <w:bookmarkStart w:id="0" w:name="_GoBack"/>
      <w:bookmarkEnd w:id="0"/>
      <w:r>
        <w:rPr>
          <w:rFonts w:hint="eastAsia" w:ascii="仿宋_GB2312" w:hAnsi="仿宋_GB2312" w:eastAsia="仿宋_GB2312" w:cs="仿宋_GB2312"/>
          <w:sz w:val="32"/>
          <w:szCs w:val="32"/>
          <w:lang w:val="en-US" w:eastAsia="zh-CN"/>
        </w:rPr>
        <w:t>，由登记管理机关给予警告，责令改正，可以限期停止活动，并可以责令撤换直接负责的主管人员；情节严重的，予以撤销登记；构成犯罪的，依法追究刑事责任：（三）拒不接受或者不按照规定接受监督检查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二、《社会团体年度检查办法》</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社会团体有下列情形之一的，登记管理机关视情节轻重，分别作出“基本合格”、“不合格”的年检结论：</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（一）不符合条例规定的法人成立条件的；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（二）未按规定办理变更登记、章程核准的；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（三）超出章程规定的宗旨和业务范围开展活动的；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（四）未按章程规定换届的；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（五）未按章程规定召开会员（代表）大会、理事会的；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（六）负责人管理违反有关规定的；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（七）设立或者管理分支机构、代表机构违反有关规定的；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（八）财务管理或者资金来源、资产使用违反有关规定的；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（九）因内部管理混乱以致不能正常开展活动，或者开展活动造成不良社会影响的；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（十）其他违反社会团体登记管理有关法律法规和国家政策规定的。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社会团体存在下列情形之一的，年检结论确定为“不合格”：</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（一）年检材料隐瞒真实情况、弄虚作假的；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（二）上年度未开展任何业务活动的；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（三）违背非营利宗旨开展活动的；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（四）开展活动危害国家安全的。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社会团体年检期间存在下列情形之一的，属于条例第三十条第一款第（三）项规定情形，应当给予行政处罚：</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（一）年检材料隐瞒真实情况、弄虚作假的；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（二）未按规定向登记管理机关报送年检材料的；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（三）其他拒不接受或者不按规定接受年检的。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登记管理机关在年检中发现社会团体存在其他违反条例规定情形、应当予以行政处罚的，依法给予行政处罚。</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登记管理机关在年检中发现社会团体及其负责人存在涉嫌违反其他法律法规和国家政策情形的，依法将问题线索移交有关部门处理。</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三、《民办非企业单位登记管理暂行条例》</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第二十三条 民办非企业单位应当于每年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第二十五条 民办非企业单位有下列情形之一的，由登记管理机关予以警告，责令改正，可以限期停止活动;情节严重的，予以撤销登记;构成犯罪的，依法追究刑事责任：（三） 拒不接受或者不按照规定接受监督检查的；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四、《民办非企业单位年度检查办法》</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民办非企业单位有下列情形之一，由登记管理机关责令改正，情节轻微的，确定为“年检基本合格”;情节严重的，确定为“年检不合格”:</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（一）违反国家法律、法规和有关政策规定的;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（二）违反规定使用登记证书、印章或者财务凭证的;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（三）本年度未开展业务活动，或者不按照章程的规定进行活动的;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（四）无固定住所或必要的活动场所的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（五）内部管理混乱，不能正常开展活动的;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（六）拒不接受或者不按照规定接受登记管理机关监督检查或年检的;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（七）不按照规定办理变更登记，修改章程未按规定核准备案的;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（八）设立分支机构的;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（九）财务制度不健全，资金来源和使用违反有关规定的;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（十）现有净资产低于国家有关行业主管部门规定的最低标准的;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（十一）侵占、私分、挪用民办非企业单位的资产或者所接受的捐赠、资助的;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（十二）违反国家有关规定收取费用、筹集资金或者接受使用捐赠、资助的;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（十三）年检中隐瞒真实情况，弄虚作假的。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五、《中华人民共和国行政处罚法》</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行政机关实施行政处罚时，应当责令当事人改正或者限期改正违法行为。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当事人有违法所得，除依法应当退赔的外，应当予以没收。违法所得是指实施违法行为所取得的款项。法律、行政法规、部门规章对违法所得的计算另有规定的，从其规定。</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六、《社会组织信用信息管理办法》</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因非行政处罚事项被列入活动异常名录或者严重违法失信名单的社会组织，登记管理机关在作出决定前，应当向社会组织书面告知列入的事实、理由、依据及其依法享有的权利。通过登记的住所无法取得联系的，可以通过互联网公告告知。</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组织对被列入活动异常名录或者严重违法失信名单有异议的，可以在收到告知书之日起10个工作日内向登记管理机关提出书面陈述申辩意见并提交相关证明材料。通过公告方式告知的，社会组织自公告之日起30日内未提交陈述申辩意见的，视为无异议。</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登记管理机关应当自收到陈述申辩意见之日起10个工作日内进行核实，作出是否列入活动异常名录或者严重违法失信名单的决定，并书面告知申请人。</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登记管理机关应当将有下列情形之一的社会组织列入活动异常名录：</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（一）未按照规定时限和要求向登记管理机关报送年度工作报告的；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（二）未按照有关规定设立党组织的；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（三）登记管理机关在抽查和其他监督检查中发现问题，发放整改文书要求限期整改，社会组织未按期完成整改的；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（四）具有公开募捐资格的慈善组织，存在《慈善组织公开募捐管理办法》第二十一条规定情形的；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（五）受到警告或者不满5万元罚款处罚的；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（六）通过登记的住所无法与社会组织取得联系的；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（七）法律、行政法规规定应当列入的其他情形。</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登记管理机关在依法履职过程中通过邮寄专用信函向社会组织登记的住所两次邮寄无人签收的，视作通过登记的住所无法与社会组织取得联系。两次邮寄间隔时间不得少于15日，不得超过30日。</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登记管理机关应当将有下列情形之一的社会组织列入严重违法失信名单：</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（一）被列入活动异常名录满2年的；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（二）弄虚作假办理变更登记，被撤销变更登记的；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（三）受到限期停止活动行政处罚的；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（四）受到5万元以上罚款处罚的；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 3年内2次以上受到警告或者不满5万元罚款处罚的；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（六）被司法机关纳入“失信被执行人”名单的；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（七）被登记管理机关作出吊销登记证书、撤销成（设）立登记决定的；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（八）法律、行政法规规定应当列入的其他情形。</w:t>
      </w:r>
    </w:p>
    <w:p>
      <w:pPr>
        <w:widowControl w:val="0"/>
        <w:wordWrap/>
        <w:adjustRightInd/>
        <w:snapToGrid/>
        <w:spacing w:before="0" w:after="0" w:line="560" w:lineRule="exact"/>
        <w:ind w:left="0" w:leftChars="0" w:right="0" w:firstLine="640" w:firstLineChars="200"/>
        <w:jc w:val="both"/>
        <w:textAlignment w:val="auto"/>
        <w:outlineLvl w:val="9"/>
        <w:rPr>
          <w:rFonts w:hint="default" w:ascii="Times New Roman" w:hAnsi="Times New Roman" w:eastAsia="仿宋_GB2312" w:cs="Times New Roman"/>
          <w:sz w:val="32"/>
          <w:szCs w:val="32"/>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MTM3NjZkMTU4OWQzMDY1ZGFlNWRlOTcxZGZmYmYwMzIifQ=="/>
  </w:docVars>
  <w:rsids>
    <w:rsidRoot w:val="00000000"/>
    <w:rsid w:val="2B2D0069"/>
    <w:rsid w:val="65E47810"/>
    <w:rsid w:val="D3FBC0FB"/>
    <w:rsid w:val="FFF756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1936</Words>
  <Characters>1947</Characters>
  <Lines>0</Lines>
  <Paragraphs>0</Paragraphs>
  <TotalTime>11</TotalTime>
  <ScaleCrop>false</ScaleCrop>
  <LinksUpToDate>false</LinksUpToDate>
  <CharactersWithSpaces>1949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2024-08-14T07:36:00Z</dcterms:created>
  <dc:creator>.</dc:creator>
  <cp:lastModifiedBy>mzj</cp:lastModifiedBy>
  <dcterms:modified xsi:type="dcterms:W3CDTF">2026-08-07T16:22:51Z</dcterms:modified>
  <dc:title>相关法律规定</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9E0A4729C37F4C85A637EA2460CE5B35_13</vt:lpwstr>
  </property>
  <property fmtid="{D5CDD505-2E9C-101B-9397-08002B2CF9AE}" pid="4" name="KSOTemplateDocerSaveRecord">
    <vt:lpwstr>eyJoZGlkIjoiOTM1OGFlNzdiMmQ0NmM3MzAwZWVhY2RkZmI5MWQ3N2MiLCJ1c2VySWQiOiI1MzEyMjg0MjIifQ==</vt:lpwstr>
  </property>
</Properties>
</file>