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F7008">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不予行政处罚决定书</w:t>
      </w:r>
    </w:p>
    <w:p w14:paraId="0641C771">
      <w:pPr>
        <w:keepNext w:val="0"/>
        <w:keepLines w:val="0"/>
        <w:widowControl/>
        <w:suppressLineNumbers w:val="0"/>
        <w:jc w:val="right"/>
      </w:pPr>
      <w:bookmarkStart w:id="0" w:name="_GoBack"/>
      <w:r>
        <w:rPr>
          <w:rFonts w:ascii="FZKTK--GBK1-0" w:hAnsi="FZKTK--GBK1-0" w:eastAsia="FZKTK--GBK1-0" w:cs="FZKTK--GBK1-0"/>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0526</w:t>
      </w:r>
      <w:r>
        <w:rPr>
          <w:rFonts w:hint="default" w:ascii="FZKTK--GBK1-0" w:hAnsi="FZKTK--GBK1-0" w:eastAsia="FZKTK--GBK1-0" w:cs="FZKTK--GBK1-0"/>
          <w:color w:val="000000"/>
          <w:kern w:val="0"/>
          <w:sz w:val="32"/>
          <w:szCs w:val="32"/>
          <w:lang w:val="en-US" w:eastAsia="zh-CN" w:bidi="ar"/>
        </w:rPr>
        <w:t>环不罚决字〔</w:t>
      </w:r>
      <w:r>
        <w:rPr>
          <w:rFonts w:hint="default" w:ascii="Times New Roman" w:hAnsi="Times New Roman" w:eastAsia="宋体" w:cs="Times New Roman"/>
          <w:color w:val="000000"/>
          <w:kern w:val="0"/>
          <w:sz w:val="32"/>
          <w:szCs w:val="32"/>
          <w:lang w:val="en-US" w:eastAsia="zh-CN" w:bidi="ar"/>
        </w:rPr>
        <w:t>2026</w:t>
      </w:r>
      <w:r>
        <w:rPr>
          <w:rFonts w:hint="default" w:ascii="FZKTK--GBK1-0" w:hAnsi="FZKTK--GBK1-0" w:eastAsia="FZKTK--GBK1-0" w:cs="FZKTK--GBK1-0"/>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default" w:ascii="FZKTK--GBK1-0" w:hAnsi="FZKTK--GBK1-0" w:eastAsia="FZKTK--GBK1-0" w:cs="FZKTK--GBK1-0"/>
          <w:color w:val="000000"/>
          <w:kern w:val="0"/>
          <w:sz w:val="32"/>
          <w:szCs w:val="32"/>
          <w:lang w:val="en-US" w:eastAsia="zh-CN" w:bidi="ar"/>
        </w:rPr>
        <w:t>号</w:t>
      </w:r>
      <w:bookmarkEnd w:id="0"/>
      <w:r>
        <w:rPr>
          <w:rFonts w:hint="default" w:ascii="FZKTK--GBK1-0" w:hAnsi="FZKTK--GBK1-0" w:eastAsia="FZKTK--GBK1-0" w:cs="FZKTK--GBK1-0"/>
          <w:color w:val="000000"/>
          <w:kern w:val="0"/>
          <w:sz w:val="32"/>
          <w:szCs w:val="32"/>
          <w:lang w:val="en-US" w:eastAsia="zh-CN" w:bidi="ar"/>
        </w:rPr>
        <w:t xml:space="preserve"> </w:t>
      </w:r>
    </w:p>
    <w:p w14:paraId="63ED4D3B">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滑县俊阁新型建材厂： </w:t>
      </w:r>
    </w:p>
    <w:p w14:paraId="7EBEC3EF">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91410526MA40GFNM9L </w:t>
      </w:r>
    </w:p>
    <w:p w14:paraId="0D530D34">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地址：安阳市滑县俊阁新型建材厂 </w:t>
      </w:r>
    </w:p>
    <w:p w14:paraId="35ED079A">
      <w:pPr>
        <w:keepNext w:val="0"/>
        <w:keepLines w:val="0"/>
        <w:widowControl/>
        <w:suppressLineNumbers w:val="0"/>
        <w:jc w:val="left"/>
      </w:pPr>
      <w:r>
        <w:rPr>
          <w:rFonts w:hint="eastAsia" w:ascii="仿宋" w:hAnsi="仿宋" w:eastAsia="仿宋" w:cs="仿宋"/>
          <w:color w:val="000000"/>
          <w:kern w:val="0"/>
          <w:sz w:val="32"/>
          <w:szCs w:val="32"/>
          <w:lang w:val="en-US" w:eastAsia="zh-CN" w:bidi="ar"/>
        </w:rPr>
        <w:t>投资人：岳俊阁</w:t>
      </w:r>
      <w:r>
        <w:rPr>
          <w:rFonts w:hint="default" w:ascii="Times New Roman" w:hAnsi="Times New Roman" w:eastAsia="宋体" w:cs="Times New Roman"/>
          <w:color w:val="000000"/>
          <w:kern w:val="0"/>
          <w:sz w:val="32"/>
          <w:szCs w:val="32"/>
          <w:lang w:val="en-US" w:eastAsia="zh-CN" w:bidi="ar"/>
        </w:rPr>
        <w:t xml:space="preserve"> </w:t>
      </w:r>
    </w:p>
    <w:p w14:paraId="2F389DDF">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日对你单位进行了调查，发现你单位实施了以下生态环境违法行为：</w:t>
      </w:r>
    </w:p>
    <w:p w14:paraId="70E6607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我局执法人员现场检查时发现，你单位烧结工序正在生产，现场调取在线监控数据显示，你单位</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时、</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时烟气流量分别为 </w:t>
      </w:r>
      <w:r>
        <w:rPr>
          <w:rFonts w:hint="default" w:ascii="Times New Roman" w:hAnsi="Times New Roman" w:eastAsia="宋体" w:cs="Times New Roman"/>
          <w:color w:val="000000"/>
          <w:kern w:val="0"/>
          <w:sz w:val="32"/>
          <w:szCs w:val="32"/>
          <w:lang w:val="en-US" w:eastAsia="zh-CN" w:bidi="ar"/>
        </w:rPr>
        <w:t>76183.19m</w:t>
      </w:r>
      <w:r>
        <w:rPr>
          <w:rFonts w:ascii="Calibri" w:hAnsi="Calibri" w:eastAsia="宋体" w:cs="Calibri"/>
          <w:color w:val="000000"/>
          <w:kern w:val="0"/>
          <w:sz w:val="32"/>
          <w:szCs w:val="32"/>
          <w:lang w:val="en-US" w:eastAsia="zh-CN" w:bidi="ar"/>
        </w:rPr>
        <w:t>³</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70245.35m</w:t>
      </w:r>
      <w:r>
        <w:rPr>
          <w:rFonts w:hint="default" w:ascii="Calibri" w:hAnsi="Calibri" w:eastAsia="宋体" w:cs="Calibri"/>
          <w:color w:val="000000"/>
          <w:kern w:val="0"/>
          <w:sz w:val="32"/>
          <w:szCs w:val="32"/>
          <w:lang w:val="en-US" w:eastAsia="zh-CN" w:bidi="ar"/>
        </w:rPr>
        <w:t>³</w:t>
      </w:r>
      <w:r>
        <w:rPr>
          <w:rFonts w:hint="eastAsia" w:ascii="仿宋" w:hAnsi="仿宋" w:eastAsia="仿宋" w:cs="仿宋"/>
          <w:color w:val="000000"/>
          <w:kern w:val="0"/>
          <w:sz w:val="32"/>
          <w:szCs w:val="32"/>
          <w:lang w:val="en-US" w:eastAsia="zh-CN" w:bidi="ar"/>
        </w:rPr>
        <w:t>，烟尘排放值分别为</w:t>
      </w:r>
      <w:r>
        <w:rPr>
          <w:rFonts w:hint="default" w:ascii="Times New Roman" w:hAnsi="Times New Roman" w:eastAsia="宋体" w:cs="Times New Roman"/>
          <w:color w:val="000000"/>
          <w:kern w:val="0"/>
          <w:sz w:val="32"/>
          <w:szCs w:val="32"/>
          <w:lang w:val="en-US" w:eastAsia="zh-CN" w:bidi="ar"/>
        </w:rPr>
        <w:t>15.67mg/m</w:t>
      </w:r>
      <w:r>
        <w:rPr>
          <w:rFonts w:hint="default" w:ascii="Calibri" w:hAnsi="Calibri" w:eastAsia="宋体" w:cs="Calibri"/>
          <w:color w:val="000000"/>
          <w:kern w:val="0"/>
          <w:sz w:val="32"/>
          <w:szCs w:val="32"/>
          <w:lang w:val="en-US" w:eastAsia="zh-CN" w:bidi="ar"/>
        </w:rPr>
        <w:t>³</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12.56mg/m</w:t>
      </w:r>
      <w:r>
        <w:rPr>
          <w:rFonts w:hint="default" w:ascii="Calibri" w:hAnsi="Calibri" w:eastAsia="宋体" w:cs="Calibri"/>
          <w:color w:val="000000"/>
          <w:kern w:val="0"/>
          <w:sz w:val="32"/>
          <w:szCs w:val="32"/>
          <w:lang w:val="en-US" w:eastAsia="zh-CN" w:bidi="ar"/>
        </w:rPr>
        <w:t>³</w:t>
      </w:r>
      <w:r>
        <w:rPr>
          <w:rFonts w:hint="eastAsia" w:ascii="仿宋" w:hAnsi="仿宋" w:eastAsia="仿宋" w:cs="仿宋"/>
          <w:color w:val="000000"/>
          <w:kern w:val="0"/>
          <w:sz w:val="32"/>
          <w:szCs w:val="32"/>
          <w:lang w:val="en-US" w:eastAsia="zh-CN" w:bidi="ar"/>
        </w:rPr>
        <w:t>，超过《砖瓦工业大气污染排放标准》（</w:t>
      </w:r>
      <w:r>
        <w:rPr>
          <w:rFonts w:hint="default" w:ascii="Times New Roman" w:hAnsi="Times New Roman" w:eastAsia="宋体" w:cs="Times New Roman"/>
          <w:color w:val="000000"/>
          <w:kern w:val="0"/>
          <w:sz w:val="32"/>
          <w:szCs w:val="32"/>
          <w:lang w:val="en-US" w:eastAsia="zh-CN" w:bidi="ar"/>
        </w:rPr>
        <w:t>DB41/2234-2022</w:t>
      </w:r>
      <w:r>
        <w:rPr>
          <w:rFonts w:hint="eastAsia" w:ascii="仿宋" w:hAnsi="仿宋" w:eastAsia="仿宋" w:cs="仿宋"/>
          <w:color w:val="000000"/>
          <w:kern w:val="0"/>
          <w:sz w:val="32"/>
          <w:szCs w:val="32"/>
          <w:lang w:val="en-US" w:eastAsia="zh-CN" w:bidi="ar"/>
        </w:rPr>
        <w:t>）大气污染物烟尘有组织排放浓度限值</w:t>
      </w:r>
      <w:r>
        <w:rPr>
          <w:rFonts w:hint="default" w:ascii="Times New Roman" w:hAnsi="Times New Roman" w:eastAsia="宋体" w:cs="Times New Roman"/>
          <w:color w:val="000000"/>
          <w:kern w:val="0"/>
          <w:sz w:val="32"/>
          <w:szCs w:val="32"/>
          <w:lang w:val="en-US" w:eastAsia="zh-CN" w:bidi="ar"/>
        </w:rPr>
        <w:t>10mg/m</w:t>
      </w:r>
      <w:r>
        <w:rPr>
          <w:rFonts w:hint="default" w:ascii="Calibri" w:hAnsi="Calibri" w:eastAsia="宋体" w:cs="Calibri"/>
          <w:color w:val="000000"/>
          <w:kern w:val="0"/>
          <w:sz w:val="32"/>
          <w:szCs w:val="32"/>
          <w:lang w:val="en-US" w:eastAsia="zh-CN" w:bidi="ar"/>
        </w:rPr>
        <w:t>³</w:t>
      </w:r>
      <w:r>
        <w:rPr>
          <w:rFonts w:hint="eastAsia" w:ascii="仿宋" w:hAnsi="仿宋" w:eastAsia="仿宋" w:cs="仿宋"/>
          <w:color w:val="000000"/>
          <w:kern w:val="0"/>
          <w:sz w:val="32"/>
          <w:szCs w:val="32"/>
          <w:lang w:val="en-US" w:eastAsia="zh-CN" w:bidi="ar"/>
        </w:rPr>
        <w:t xml:space="preserve">。 </w:t>
      </w:r>
    </w:p>
    <w:p w14:paraId="0A848CC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有以下主要证据证明： </w:t>
      </w:r>
    </w:p>
    <w:p w14:paraId="25DD316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、现场勘查笔录、现场勘查示意图、现场照片证据、在线数据表复印件、自动监控设备正常运行证明复印件、调查询问笔录，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日由安阳市生态环境局滑县综合行政执法大队提供；脱硫脱硝排放口在线</w:t>
      </w:r>
      <w:r>
        <w:rPr>
          <w:rFonts w:hint="default" w:ascii="Times New Roman" w:hAnsi="Times New Roman" w:eastAsia="宋体" w:cs="Times New Roman"/>
          <w:color w:val="000000"/>
          <w:kern w:val="0"/>
          <w:sz w:val="32"/>
          <w:szCs w:val="32"/>
          <w:lang w:val="en-US" w:eastAsia="zh-CN" w:bidi="ar"/>
        </w:rPr>
        <w:t>CEMS</w:t>
      </w:r>
      <w:r>
        <w:rPr>
          <w:rFonts w:hint="eastAsia" w:ascii="仿宋" w:hAnsi="仿宋" w:eastAsia="仿宋" w:cs="仿宋"/>
          <w:color w:val="000000"/>
          <w:kern w:val="0"/>
          <w:sz w:val="32"/>
          <w:szCs w:val="32"/>
          <w:lang w:val="en-US" w:eastAsia="zh-CN" w:bidi="ar"/>
        </w:rPr>
        <w:t>系统验收材料复印件，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 xml:space="preserve">日由滑县俊阁新型建材厂提供，证明相对人违法事实； </w:t>
      </w:r>
    </w:p>
    <w:p w14:paraId="0AF51A3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、营业执照复印件、投资人身份证复印件、委托书、被委托人身份证复印件，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 xml:space="preserve">日由滑县俊阁新型建材厂提供，证明相对人身份； </w:t>
      </w:r>
    </w:p>
    <w:p w14:paraId="7E34603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50E5A4B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上述行为违反了《中华人民共和国大气污染防治法》第十八条：“企业事业单位和其他生产经营者建设对大气环境有影响的项目，应当依法进行环境影响评价、公开环境影响评价文件；向大气排放污染物的，应当符合大气污染物排放标准，遵守重点大气污染物排放总量控制要求。”的规定。 </w:t>
      </w:r>
    </w:p>
    <w:p w14:paraId="2A2F3D2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环不罚告字〔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号），告知拟对你单位作出行政处罚决定的事实、理由、依据、内容以及你单位依法享有的陈述申辩和申请听证的权利。 </w:t>
      </w:r>
    </w:p>
    <w:p w14:paraId="1FA905C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你单位未提出陈述申辩意见，也未提出听证申请，我局视为你单位放弃上述权利。 </w:t>
      </w:r>
    </w:p>
    <w:p w14:paraId="484C79E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鉴于你单位已列入河南省砖瓦窑产能退出拆除名单，你单位能够积极主动按照要求实施拆除工作，脱硫塔、搅拌机、制砖机、破碎机、窑道等主要生产设施已拆除到位，不再具备生产能力；我局对你单位依法启动生态损害赔偿，经委托山东汇成环保科技有限公司环境损害司法鉴定所对你单位造成的环境损害进行评估，你单位已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日缴纳了生态环境损害赔偿金，参照《生态环境损害赔偿管理规定》（环法规〔</w:t>
      </w:r>
      <w:r>
        <w:rPr>
          <w:rFonts w:hint="default" w:ascii="Times New Roman" w:hAnsi="Times New Roman" w:eastAsia="宋体" w:cs="Times New Roman"/>
          <w:color w:val="000000"/>
          <w:kern w:val="0"/>
          <w:sz w:val="32"/>
          <w:szCs w:val="32"/>
          <w:lang w:val="en-US" w:eastAsia="zh-CN" w:bidi="ar"/>
        </w:rPr>
        <w:t>2022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号）第十一条第一款：“赔偿义务人积极履行生态环境损害赔偿责任的，相关行政机关和司法机关，依法将其作为从轻、减轻或者免予处理的情节。”、《河南省生态环境损害赔偿修复管理办法（试行）》（豫环文〔</w:t>
      </w:r>
      <w:r>
        <w:rPr>
          <w:rFonts w:hint="default" w:ascii="Times New Roman" w:hAnsi="Times New Roman" w:eastAsia="宋体" w:cs="Times New Roman"/>
          <w:color w:val="000000"/>
          <w:kern w:val="0"/>
          <w:sz w:val="32"/>
          <w:szCs w:val="32"/>
          <w:lang w:val="en-US" w:eastAsia="zh-CN" w:bidi="ar"/>
        </w:rPr>
        <w:t>2023</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82</w:t>
      </w:r>
      <w:r>
        <w:rPr>
          <w:rFonts w:hint="eastAsia" w:ascii="仿宋" w:hAnsi="仿宋" w:eastAsia="仿宋" w:cs="仿宋"/>
          <w:color w:val="000000"/>
          <w:kern w:val="0"/>
          <w:sz w:val="32"/>
          <w:szCs w:val="32"/>
          <w:lang w:val="en-US" w:eastAsia="zh-CN" w:bidi="ar"/>
        </w:rPr>
        <w:t xml:space="preserve">号）第十七条第一款：“赔偿义务人积极履行生态环境损害赔偿修复责任的，相关行政机关可以依法将其作为从轻、减轻或者免予处理的情节。”的规定，我局决定对你单位作出不予行政处罚的决定。你单位如不服本决定， </w:t>
      </w:r>
    </w:p>
    <w:p w14:paraId="31E138BE">
      <w:pPr>
        <w:keepNext w:val="0"/>
        <w:keepLines w:val="0"/>
        <w:widowControl/>
        <w:suppressLineNumbers w:val="0"/>
        <w:jc w:val="left"/>
      </w:pPr>
      <w:r>
        <w:rPr>
          <w:rFonts w:hint="eastAsia" w:ascii="仿宋" w:hAnsi="仿宋" w:eastAsia="仿宋" w:cs="仿宋"/>
          <w:color w:val="000000"/>
          <w:kern w:val="0"/>
          <w:sz w:val="32"/>
          <w:szCs w:val="32"/>
          <w:lang w:val="en-US" w:eastAsia="zh-CN" w:bidi="ar"/>
        </w:rPr>
        <w:t>可以自收到本决定书之日起六十日内向安阳市人民政府申请行政复议，也可以自收到本决定书之日起六个月内依法向焦作市解放区人民法院提起行政诉讼。</w:t>
      </w:r>
      <w:r>
        <w:rPr>
          <w:rFonts w:hint="default" w:ascii="Times New Roman" w:hAnsi="Times New Roman" w:eastAsia="宋体" w:cs="Times New Roman"/>
          <w:color w:val="000000"/>
          <w:kern w:val="0"/>
          <w:sz w:val="32"/>
          <w:szCs w:val="32"/>
          <w:lang w:val="en-US" w:eastAsia="zh-CN" w:bidi="ar"/>
        </w:rPr>
        <w:t xml:space="preserve"> </w:t>
      </w:r>
    </w:p>
    <w:p w14:paraId="6F39E588">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依据《中华人民共和国行政处罚法》第三十三条第三款的规定，对你单位进行教育，具体内容如下：严格落实河南省砖瓦窑产能退出相关要求，确保退出工作落实到位。</w:t>
      </w:r>
      <w:r>
        <w:rPr>
          <w:rFonts w:hint="default" w:ascii="Times New Roman" w:hAnsi="Times New Roman" w:eastAsia="宋体" w:cs="Times New Roman"/>
          <w:color w:val="000000"/>
          <w:kern w:val="0"/>
          <w:sz w:val="32"/>
          <w:szCs w:val="32"/>
          <w:lang w:val="en-US" w:eastAsia="zh-CN" w:bidi="ar"/>
        </w:rPr>
        <w:t xml:space="preserve"> </w:t>
      </w:r>
    </w:p>
    <w:p w14:paraId="0B78611E">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p>
    <w:p w14:paraId="0D863F1A">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p>
    <w:p w14:paraId="0CA33E02">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07DEE927">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39CA4D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279FB"/>
    <w:rsid w:val="7E027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2026-04-03T00:06:00Z</dcterms:created>
  <dc:creator>Administrator</dc:creator>
  <cp:lastModifiedBy>Administrator</cp:lastModifiedBy>
  <dcterms:modified xsi:type="dcterms:W3CDTF">2026-04-03T01:10:48Z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D588DF1D97414E249D3E7F06C4605F91_11</vt:lpwstr>
  </property>
  <property fmtid="{D5CDD505-2E9C-101B-9397-08002B2CF9AE}" pid="4" name="KSOTemplateDocerSaveRecord">
    <vt:lpwstr>eyJoZGlkIjoiMjA4OGYxZWZlNzAyMTM0MWNmMDdhYTU0M2Q1MWU5YWEifQ==</vt:lpwstr>
  </property>
</Properties>
</file>