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bookmarkStart w:id="4" w:name="_GoBack"/>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3</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bookmarkEnd w:id="4"/>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26</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C809872">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滑县众科制冷设备有限公司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50CF7AC">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年产4500台冷鲜柜制冷设备技改项目</w:t>
            </w:r>
          </w:p>
          <w:p w14:paraId="7216BE89">
            <w:pPr>
              <w:pStyle w:val="12"/>
              <w:widowControl/>
              <w:spacing w:beforeAutospacing="0" w:afterAutospacing="0" w:line="300" w:lineRule="atLeast"/>
              <w:jc w:val="center"/>
              <w:rPr>
                <w:rFonts w:ascii="Times New Roman" w:hAnsi="Times New Roman"/>
                <w:color w:val="000000"/>
                <w:sz w:val="18"/>
                <w:szCs w:val="18"/>
              </w:rPr>
            </w:pP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河南省安阳市滑县王庄镇郭草滩村工业园</w:t>
            </w:r>
            <w:r>
              <w:rPr>
                <w:rFonts w:hint="eastAsia" w:ascii="Times New Roman" w:hAnsi="Times New Roman"/>
                <w:color w:val="000000"/>
                <w:sz w:val="18"/>
                <w:szCs w:val="18"/>
                <w:lang w:val="en-US" w:eastAsia="zh-CN"/>
              </w:rPr>
              <w:t>1</w:t>
            </w:r>
            <w:r>
              <w:rPr>
                <w:rFonts w:ascii="Times New Roman" w:hAnsi="Times New Roman"/>
                <w:color w:val="000000"/>
                <w:sz w:val="18"/>
                <w:szCs w:val="18"/>
              </w:rPr>
              <w:t>号</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河南省科悦环境技术</w:t>
            </w:r>
            <w:r>
              <w:rPr>
                <w:rFonts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占地面积2000m2，</w:t>
            </w:r>
            <w:r>
              <w:rPr>
                <w:rFonts w:ascii="Times New Roman" w:hAnsi="Times New Roman"/>
                <w:color w:val="000000"/>
                <w:sz w:val="18"/>
                <w:szCs w:val="18"/>
              </w:rPr>
              <w:t>总投资</w:t>
            </w:r>
            <w:r>
              <w:rPr>
                <w:rFonts w:hint="eastAsia" w:ascii="Times New Roman" w:hAnsi="Times New Roman"/>
                <w:color w:val="000000"/>
                <w:sz w:val="18"/>
                <w:szCs w:val="18"/>
                <w:lang w:val="en-US" w:eastAsia="zh-CN"/>
              </w:rPr>
              <w:t>20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10</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F51CE32">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1. 废气：切割、焊接废气固定工位分区操作，焊接工段设置集气罩，切割机设置底吸管，废气共用1台袋式除尘器处理后通过15m高排气筒排放；发泡废气负压收集至通风管道经活性炭吸附装置处理后通过15m高排气筒排放。废气排放满足《大气污染物综合排放标准》（GB16297-1996）表2标准、</w:t>
            </w:r>
            <w:bookmarkStart w:id="0" w:name="OLE_LINK109"/>
            <w:bookmarkStart w:id="1" w:name="OLE_LINK110"/>
            <w:bookmarkStart w:id="2" w:name="OLE_LINK113"/>
            <w:bookmarkStart w:id="3" w:name="OLE_LINK111"/>
            <w:r>
              <w:rPr>
                <w:rFonts w:hint="eastAsia" w:ascii="Times New Roman" w:hAnsi="Times New Roman"/>
                <w:color w:val="000000"/>
                <w:sz w:val="18"/>
                <w:szCs w:val="18"/>
                <w:lang w:val="en-US" w:eastAsia="zh-CN"/>
              </w:rPr>
              <w:t>《挥发性有机物无组织排放控制标准》（GB37822-2019）</w:t>
            </w:r>
            <w:bookmarkEnd w:id="0"/>
            <w:bookmarkEnd w:id="1"/>
            <w:bookmarkEnd w:id="2"/>
            <w:bookmarkEnd w:id="3"/>
            <w:r>
              <w:rPr>
                <w:rFonts w:hint="eastAsia" w:ascii="Times New Roman" w:hAnsi="Times New Roman"/>
                <w:color w:val="000000"/>
                <w:sz w:val="18"/>
                <w:szCs w:val="18"/>
                <w:lang w:val="en-US" w:eastAsia="zh-CN"/>
              </w:rPr>
              <w:t>表A.1标准限值、《河南省重污染天气重点行业应急减排措施制定技术指南》（2024年修订版）涉PM企业绩效引领性指标、涉VOCs绩效引领指标要求、《安阳市2019年工业大气污染治理5个专项实施方案》（安环攻坚办〔2019〕196号）要求及《全省开展工业企业挥发性有机物专项治理工作中排放建议值》（豫环攻坚办〔2017〕162号）相关要求。</w:t>
            </w:r>
          </w:p>
          <w:p w14:paraId="6768CFF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2. 废水：生活污水经化粪池（5m3）处理后定期清掏用于肥田。</w:t>
            </w:r>
          </w:p>
          <w:p w14:paraId="06BE1EE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3. 噪声：经采取选用低噪声设备、基座减震、 车间隔声、距离衰减等措施后，厂界噪声须满足《工业企业厂界环境噪声排放标准》（GB12348-2008）2类标准。</w:t>
            </w:r>
          </w:p>
          <w:p w14:paraId="5F4748E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4. 固体废物：生活垃圾经集中收集后由当地环卫部门统一清运；机加工边角料、除尘灰、废除尘滤袋、废减震垫（未沾染其他危废）、废包装材料暂存在一般固废暂存间（8m2）后定期外售；废制冷剂罐暂存在一般固废暂存间（8m2）定期返回供应商循环使用；废发泡料桶、废活性炭、废润滑油、废润滑油桶暂存在危险废物暂存间（15m2）后定期就近交由有资质单位处置。一般固体废物暂存应满足《一般工业固体废物贮存和填埋污染控制标准》（GB18599 -2020）要求，危险废物暂存应满足《危险废物贮存污染控制标准》（GB18597-2023）要求。</w:t>
            </w:r>
          </w:p>
          <w:p w14:paraId="79E0D6D7">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8"/>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8"/>
    <w:qFormat/>
    <w:uiPriority w:val="0"/>
    <w:rPr>
      <w:b/>
      <w:bCs/>
      <w:sz w:val="24"/>
    </w:rPr>
  </w:style>
  <w:style w:type="paragraph" w:styleId="8">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9">
    <w:name w:val="Body Text Indent"/>
    <w:basedOn w:val="1"/>
    <w:qFormat/>
    <w:uiPriority w:val="0"/>
    <w:pPr>
      <w:ind w:left="420" w:leftChars="200"/>
    </w:p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4"/>
    <w:qFormat/>
    <w:uiPriority w:val="0"/>
    <w:pPr>
      <w:spacing w:after="120"/>
      <w:ind w:firstLine="420" w:firstLineChars="100"/>
    </w:pPr>
    <w:rPr>
      <w:sz w:val="21"/>
    </w:rPr>
  </w:style>
  <w:style w:type="paragraph" w:styleId="14">
    <w:name w:val="Body Text First Indent 2"/>
    <w:basedOn w:val="9"/>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1373</Words>
  <Characters>1498</Characters>
  <Lines>1</Lines>
  <Paragraphs>2</Paragraphs>
  <TotalTime>0</TotalTime>
  <ScaleCrop>false</ScaleCrop>
  <LinksUpToDate>false</LinksUpToDate>
  <CharactersWithSpaces>1515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2026-04-02T03:06:47Z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eyJoZGlkIjoiYmEyZGYyMWJhNzliMThlM2ViYzM1NjRjNjNlMTZlNzAiLCJ1c2VySWQiOiI0MzY3NTg1OTAifQ==</vt:lpwstr>
  </property>
</Properties>
</file>