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7A84C">
      <w:pPr>
        <w:jc w:val="center"/>
        <w:rPr>
          <w:rFonts w:hint="eastAsia" w:ascii="方正小标宋简体" w:hAnsi="方正小标宋简体" w:eastAsia="方正小标宋简体" w:cs="方正小标宋简体"/>
          <w:i w:val="0"/>
          <w:iCs w:val="0"/>
          <w:caps w:val="0"/>
          <w:color w:val="auto"/>
          <w:spacing w:val="0"/>
          <w:sz w:val="44"/>
          <w:szCs w:val="44"/>
          <w:shd w:val="clear" w:color="auto" w:fill="auto"/>
        </w:rPr>
      </w:pPr>
      <w:r>
        <w:rPr>
          <w:rFonts w:hint="eastAsia" w:ascii="方正小标宋简体" w:hAnsi="方正小标宋简体" w:eastAsia="方正小标宋简体" w:cs="方正小标宋简体"/>
          <w:i w:val="0"/>
          <w:iCs w:val="0"/>
          <w:caps w:val="0"/>
          <w:color w:val="auto"/>
          <w:spacing w:val="0"/>
          <w:sz w:val="44"/>
          <w:szCs w:val="44"/>
          <w:shd w:val="clear" w:color="auto" w:fill="auto"/>
          <w:lang w:val="en-US" w:eastAsia="zh-CN"/>
        </w:rPr>
        <w:t>滑县</w:t>
      </w:r>
      <w:r>
        <w:rPr>
          <w:rFonts w:hint="eastAsia" w:ascii="方正小标宋简体" w:hAnsi="方正小标宋简体" w:eastAsia="方正小标宋简体" w:cs="方正小标宋简体"/>
          <w:i w:val="0"/>
          <w:iCs w:val="0"/>
          <w:caps w:val="0"/>
          <w:color w:val="auto"/>
          <w:spacing w:val="0"/>
          <w:sz w:val="44"/>
          <w:szCs w:val="44"/>
          <w:shd w:val="clear" w:color="auto" w:fill="auto"/>
        </w:rPr>
        <w:t>城市管理局检查频次上限</w:t>
      </w:r>
      <w:bookmarkStart w:id="0" w:name="_GoBack"/>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670"/>
        <w:gridCol w:w="4620"/>
        <w:gridCol w:w="5175"/>
        <w:gridCol w:w="824"/>
      </w:tblGrid>
      <w:tr w14:paraId="30C9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85" w:type="dxa"/>
          </w:tcPr>
          <w:p w14:paraId="1B16E538">
            <w:pPr>
              <w:jc w:val="center"/>
              <w:rPr>
                <w:rFonts w:hint="eastAsia" w:ascii="楷体_GB2312" w:hAnsi="楷体_GB2312" w:eastAsia="楷体_GB2312" w:cs="楷体_GB2312"/>
                <w:i w:val="0"/>
                <w:iCs w:val="0"/>
                <w:caps w:val="0"/>
                <w:color w:val="auto"/>
                <w:spacing w:val="0"/>
                <w:sz w:val="28"/>
                <w:szCs w:val="28"/>
                <w:shd w:val="clear" w:color="auto" w:fill="auto"/>
                <w:vertAlign w:val="baseline"/>
                <w:lang w:val="en-US" w:eastAsia="zh-CN"/>
              </w:rPr>
            </w:pPr>
            <w:r>
              <w:rPr>
                <w:rFonts w:hint="eastAsia" w:ascii="楷体_GB2312" w:hAnsi="楷体_GB2312" w:eastAsia="楷体_GB2312" w:cs="楷体_GB2312"/>
                <w:i w:val="0"/>
                <w:iCs w:val="0"/>
                <w:caps w:val="0"/>
                <w:color w:val="auto"/>
                <w:spacing w:val="0"/>
                <w:sz w:val="28"/>
                <w:szCs w:val="28"/>
                <w:shd w:val="clear" w:color="auto" w:fill="auto"/>
                <w:vertAlign w:val="baseline"/>
                <w:lang w:val="en-US" w:eastAsia="zh-CN"/>
              </w:rPr>
              <w:t>序号</w:t>
            </w:r>
          </w:p>
        </w:tc>
        <w:tc>
          <w:tcPr>
            <w:tcW w:w="2670" w:type="dxa"/>
          </w:tcPr>
          <w:p w14:paraId="2B3BC70D">
            <w:pPr>
              <w:jc w:val="center"/>
              <w:rPr>
                <w:rFonts w:hint="eastAsia" w:ascii="楷体_GB2312" w:hAnsi="楷体_GB2312" w:eastAsia="楷体_GB2312" w:cs="楷体_GB2312"/>
                <w:i w:val="0"/>
                <w:iCs w:val="0"/>
                <w:caps w:val="0"/>
                <w:color w:val="auto"/>
                <w:spacing w:val="0"/>
                <w:sz w:val="28"/>
                <w:szCs w:val="28"/>
                <w:shd w:val="clear" w:color="auto" w:fill="auto"/>
                <w:vertAlign w:val="baseline"/>
                <w:lang w:val="en-US" w:eastAsia="zh-CN"/>
              </w:rPr>
            </w:pPr>
            <w:r>
              <w:rPr>
                <w:rFonts w:hint="eastAsia" w:ascii="楷体_GB2312" w:hAnsi="楷体_GB2312" w:eastAsia="楷体_GB2312" w:cs="楷体_GB2312"/>
                <w:i w:val="0"/>
                <w:iCs w:val="0"/>
                <w:caps w:val="0"/>
                <w:color w:val="auto"/>
                <w:spacing w:val="0"/>
                <w:sz w:val="28"/>
                <w:szCs w:val="28"/>
                <w:shd w:val="clear" w:color="auto" w:fill="auto"/>
                <w:vertAlign w:val="baseline"/>
                <w:lang w:val="en-US" w:eastAsia="zh-CN"/>
              </w:rPr>
              <w:t>检查主体</w:t>
            </w:r>
          </w:p>
        </w:tc>
        <w:tc>
          <w:tcPr>
            <w:tcW w:w="4620" w:type="dxa"/>
          </w:tcPr>
          <w:p w14:paraId="1395198C">
            <w:pPr>
              <w:jc w:val="center"/>
              <w:rPr>
                <w:rFonts w:hint="eastAsia" w:ascii="楷体_GB2312" w:hAnsi="楷体_GB2312" w:eastAsia="楷体_GB2312" w:cs="楷体_GB2312"/>
                <w:i w:val="0"/>
                <w:iCs w:val="0"/>
                <w:caps w:val="0"/>
                <w:color w:val="auto"/>
                <w:spacing w:val="0"/>
                <w:sz w:val="28"/>
                <w:szCs w:val="28"/>
                <w:shd w:val="clear" w:color="auto" w:fill="auto"/>
                <w:vertAlign w:val="baseline"/>
                <w:lang w:val="en-US" w:eastAsia="zh-CN"/>
              </w:rPr>
            </w:pPr>
            <w:r>
              <w:rPr>
                <w:rFonts w:hint="eastAsia" w:ascii="楷体_GB2312" w:hAnsi="楷体_GB2312" w:eastAsia="楷体_GB2312" w:cs="楷体_GB2312"/>
                <w:i w:val="0"/>
                <w:iCs w:val="0"/>
                <w:caps w:val="0"/>
                <w:color w:val="auto"/>
                <w:spacing w:val="0"/>
                <w:sz w:val="28"/>
                <w:szCs w:val="28"/>
                <w:shd w:val="clear" w:color="auto" w:fill="auto"/>
                <w:vertAlign w:val="baseline"/>
                <w:lang w:val="en-US" w:eastAsia="zh-CN"/>
              </w:rPr>
              <w:t>行政检查事项名称</w:t>
            </w:r>
          </w:p>
        </w:tc>
        <w:tc>
          <w:tcPr>
            <w:tcW w:w="5175" w:type="dxa"/>
          </w:tcPr>
          <w:p w14:paraId="34DFB308">
            <w:pPr>
              <w:jc w:val="center"/>
              <w:rPr>
                <w:rFonts w:hint="eastAsia" w:ascii="楷体_GB2312" w:hAnsi="楷体_GB2312" w:eastAsia="楷体_GB2312" w:cs="楷体_GB2312"/>
                <w:i w:val="0"/>
                <w:iCs w:val="0"/>
                <w:caps w:val="0"/>
                <w:color w:val="auto"/>
                <w:spacing w:val="0"/>
                <w:sz w:val="28"/>
                <w:szCs w:val="28"/>
                <w:shd w:val="clear" w:color="auto" w:fill="auto"/>
                <w:vertAlign w:val="baseline"/>
                <w:lang w:val="en-US" w:eastAsia="zh-CN"/>
              </w:rPr>
            </w:pPr>
            <w:r>
              <w:rPr>
                <w:rFonts w:hint="eastAsia" w:ascii="楷体_GB2312" w:hAnsi="楷体_GB2312" w:eastAsia="楷体_GB2312" w:cs="楷体_GB2312"/>
                <w:i w:val="0"/>
                <w:iCs w:val="0"/>
                <w:caps w:val="0"/>
                <w:color w:val="auto"/>
                <w:spacing w:val="0"/>
                <w:sz w:val="28"/>
                <w:szCs w:val="28"/>
                <w:shd w:val="clear" w:color="auto" w:fill="auto"/>
                <w:vertAlign w:val="baseline"/>
                <w:lang w:val="en-US" w:eastAsia="zh-CN"/>
              </w:rPr>
              <w:t>频次上限</w:t>
            </w:r>
          </w:p>
        </w:tc>
        <w:tc>
          <w:tcPr>
            <w:tcW w:w="824" w:type="dxa"/>
          </w:tcPr>
          <w:p w14:paraId="163E1FD6">
            <w:pPr>
              <w:jc w:val="center"/>
              <w:rPr>
                <w:rFonts w:hint="eastAsia" w:ascii="楷体_GB2312" w:hAnsi="楷体_GB2312" w:eastAsia="楷体_GB2312" w:cs="楷体_GB2312"/>
                <w:i w:val="0"/>
                <w:iCs w:val="0"/>
                <w:caps w:val="0"/>
                <w:color w:val="auto"/>
                <w:spacing w:val="0"/>
                <w:sz w:val="28"/>
                <w:szCs w:val="28"/>
                <w:shd w:val="clear" w:color="auto" w:fill="auto"/>
                <w:vertAlign w:val="baseline"/>
                <w:lang w:val="en-US" w:eastAsia="zh-CN"/>
              </w:rPr>
            </w:pPr>
            <w:r>
              <w:rPr>
                <w:rFonts w:hint="eastAsia" w:ascii="楷体_GB2312" w:hAnsi="楷体_GB2312" w:eastAsia="楷体_GB2312" w:cs="楷体_GB2312"/>
                <w:i w:val="0"/>
                <w:iCs w:val="0"/>
                <w:caps w:val="0"/>
                <w:color w:val="auto"/>
                <w:spacing w:val="0"/>
                <w:sz w:val="28"/>
                <w:szCs w:val="28"/>
                <w:shd w:val="clear" w:color="auto" w:fill="auto"/>
                <w:vertAlign w:val="baseline"/>
                <w:lang w:val="en-US" w:eastAsia="zh-CN"/>
              </w:rPr>
              <w:t>备注</w:t>
            </w:r>
          </w:p>
        </w:tc>
      </w:tr>
      <w:tr w14:paraId="1401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885" w:type="dxa"/>
            <w:vAlign w:val="center"/>
          </w:tcPr>
          <w:p w14:paraId="4A63F26C">
            <w:pPr>
              <w:jc w:val="center"/>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t>1</w:t>
            </w:r>
          </w:p>
        </w:tc>
        <w:tc>
          <w:tcPr>
            <w:tcW w:w="2670" w:type="dxa"/>
            <w:vAlign w:val="center"/>
          </w:tcPr>
          <w:p w14:paraId="4B126034">
            <w:pPr>
              <w:jc w:val="center"/>
              <w:rPr>
                <w:rFonts w:hint="eastAsia" w:ascii="仿宋_GB2312" w:hAnsi="仿宋_GB2312" w:eastAsia="仿宋_GB2312" w:cs="仿宋_GB2312"/>
                <w:i w:val="0"/>
                <w:iCs w:val="0"/>
                <w:caps w:val="0"/>
                <w:color w:val="auto"/>
                <w:spacing w:val="0"/>
                <w:sz w:val="44"/>
                <w:szCs w:val="44"/>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t>滑县城市管理局</w:t>
            </w:r>
          </w:p>
        </w:tc>
        <w:tc>
          <w:tcPr>
            <w:tcW w:w="4620" w:type="dxa"/>
            <w:vAlign w:val="center"/>
          </w:tcPr>
          <w:p w14:paraId="37BF3C15">
            <w:pPr>
              <w:jc w:val="left"/>
              <w:rPr>
                <w:rFonts w:hint="eastAsia" w:ascii="仿宋_GB2312" w:hAnsi="仿宋_GB2312" w:eastAsia="仿宋_GB2312" w:cs="仿宋_GB2312"/>
                <w:i w:val="0"/>
                <w:iCs w:val="0"/>
                <w:caps w:val="0"/>
                <w:color w:val="auto"/>
                <w:spacing w:val="0"/>
                <w:sz w:val="44"/>
                <w:szCs w:val="44"/>
                <w:shd w:val="clear" w:color="auto" w:fill="auto"/>
                <w:vertAlign w:val="baseline"/>
              </w:rPr>
            </w:pPr>
            <w:r>
              <w:rPr>
                <w:rFonts w:hint="eastAsia" w:ascii="仿宋_GB2312" w:hAnsi="仿宋_GB2312" w:eastAsia="仿宋_GB2312" w:cs="仿宋_GB2312"/>
                <w:i w:val="0"/>
                <w:iCs w:val="0"/>
                <w:caps w:val="0"/>
                <w:color w:val="000000"/>
                <w:spacing w:val="0"/>
                <w:sz w:val="28"/>
                <w:szCs w:val="28"/>
                <w:shd w:val="clear" w:fill="FFFFFF"/>
                <w:lang w:val="en-US" w:eastAsia="zh-CN"/>
              </w:rPr>
              <w:t>对县城规划区内</w:t>
            </w:r>
            <w:r>
              <w:rPr>
                <w:rFonts w:hint="eastAsia" w:ascii="仿宋_GB2312" w:hAnsi="仿宋_GB2312" w:eastAsia="仿宋_GB2312" w:cs="仿宋_GB2312"/>
                <w:i w:val="0"/>
                <w:iCs w:val="0"/>
                <w:caps w:val="0"/>
                <w:color w:val="000000"/>
                <w:spacing w:val="0"/>
                <w:sz w:val="28"/>
                <w:szCs w:val="28"/>
                <w:shd w:val="clear" w:fill="FFFFFF"/>
              </w:rPr>
              <w:t>市容环境卫生监督检查</w:t>
            </w:r>
          </w:p>
        </w:tc>
        <w:tc>
          <w:tcPr>
            <w:tcW w:w="5175" w:type="dxa"/>
            <w:vAlign w:val="center"/>
          </w:tcPr>
          <w:p w14:paraId="403AC501">
            <w:pPr>
              <w:jc w:val="left"/>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t>对规划区内市容环境卫生每日检查不少于2次。</w:t>
            </w:r>
          </w:p>
        </w:tc>
        <w:tc>
          <w:tcPr>
            <w:tcW w:w="824" w:type="dxa"/>
          </w:tcPr>
          <w:p w14:paraId="49E56D26">
            <w:pPr>
              <w:jc w:val="center"/>
              <w:rPr>
                <w:rFonts w:hint="eastAsia" w:ascii="仿宋_GB2312" w:hAnsi="仿宋_GB2312" w:eastAsia="仿宋_GB2312" w:cs="仿宋_GB2312"/>
                <w:i w:val="0"/>
                <w:iCs w:val="0"/>
                <w:caps w:val="0"/>
                <w:color w:val="auto"/>
                <w:spacing w:val="0"/>
                <w:sz w:val="44"/>
                <w:szCs w:val="44"/>
                <w:shd w:val="clear" w:color="auto" w:fill="auto"/>
                <w:vertAlign w:val="baseline"/>
              </w:rPr>
            </w:pPr>
          </w:p>
        </w:tc>
      </w:tr>
      <w:tr w14:paraId="48EF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885" w:type="dxa"/>
            <w:vAlign w:val="center"/>
          </w:tcPr>
          <w:p w14:paraId="04DAF50C">
            <w:pPr>
              <w:jc w:val="center"/>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t>2</w:t>
            </w:r>
          </w:p>
        </w:tc>
        <w:tc>
          <w:tcPr>
            <w:tcW w:w="2670" w:type="dxa"/>
            <w:vAlign w:val="center"/>
          </w:tcPr>
          <w:p w14:paraId="2ACA5895">
            <w:pPr>
              <w:jc w:val="center"/>
              <w:rPr>
                <w:rFonts w:hint="eastAsia" w:ascii="仿宋_GB2312" w:hAnsi="仿宋_GB2312" w:eastAsia="仿宋_GB2312" w:cs="仿宋_GB2312"/>
                <w:i w:val="0"/>
                <w:iCs w:val="0"/>
                <w:caps w:val="0"/>
                <w:color w:val="auto"/>
                <w:spacing w:val="0"/>
                <w:sz w:val="44"/>
                <w:szCs w:val="44"/>
                <w:shd w:val="clear" w:color="auto" w:fill="auto"/>
                <w:vertAlign w:val="baseline"/>
              </w:rPr>
            </w:pPr>
            <w:r>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t>滑县城市管理局</w:t>
            </w:r>
          </w:p>
        </w:tc>
        <w:tc>
          <w:tcPr>
            <w:tcW w:w="4620" w:type="dxa"/>
            <w:vAlign w:val="center"/>
          </w:tcPr>
          <w:p w14:paraId="22B167BC">
            <w:pPr>
              <w:jc w:val="left"/>
              <w:rPr>
                <w:rFonts w:hint="eastAsia" w:ascii="仿宋_GB2312" w:hAnsi="仿宋_GB2312" w:eastAsia="仿宋_GB2312" w:cs="仿宋_GB2312"/>
                <w:i w:val="0"/>
                <w:iCs w:val="0"/>
                <w:caps w:val="0"/>
                <w:color w:val="auto"/>
                <w:spacing w:val="0"/>
                <w:sz w:val="44"/>
                <w:szCs w:val="44"/>
                <w:shd w:val="clear" w:color="auto" w:fill="auto"/>
                <w:vertAlign w:val="baseline"/>
              </w:rPr>
            </w:pPr>
            <w:r>
              <w:rPr>
                <w:rFonts w:hint="eastAsia" w:ascii="仿宋_GB2312" w:hAnsi="仿宋_GB2312" w:eastAsia="仿宋_GB2312" w:cs="仿宋_GB2312"/>
                <w:i w:val="0"/>
                <w:iCs w:val="0"/>
                <w:caps w:val="0"/>
                <w:color w:val="000000"/>
                <w:spacing w:val="0"/>
                <w:sz w:val="28"/>
                <w:szCs w:val="28"/>
                <w:shd w:val="clear" w:fill="FFFFFF"/>
                <w:lang w:val="en-US" w:eastAsia="zh-CN"/>
              </w:rPr>
              <w:t>对县城规划</w:t>
            </w:r>
            <w:r>
              <w:rPr>
                <w:rFonts w:hint="eastAsia" w:ascii="仿宋_GB2312" w:hAnsi="仿宋_GB2312" w:eastAsia="仿宋_GB2312" w:cs="仿宋_GB2312"/>
                <w:i w:val="0"/>
                <w:iCs w:val="0"/>
                <w:caps w:val="0"/>
                <w:color w:val="000000"/>
                <w:spacing w:val="0"/>
                <w:sz w:val="28"/>
                <w:szCs w:val="28"/>
                <w:shd w:val="clear" w:fill="FFFFFF"/>
              </w:rPr>
              <w:t>区</w:t>
            </w:r>
            <w:r>
              <w:rPr>
                <w:rFonts w:hint="eastAsia" w:ascii="仿宋_GB2312" w:hAnsi="仿宋_GB2312" w:eastAsia="仿宋_GB2312" w:cs="仿宋_GB2312"/>
                <w:i w:val="0"/>
                <w:iCs w:val="0"/>
                <w:caps w:val="0"/>
                <w:color w:val="000000"/>
                <w:spacing w:val="0"/>
                <w:sz w:val="28"/>
                <w:szCs w:val="28"/>
                <w:shd w:val="clear" w:fill="FFFFFF"/>
                <w:lang w:val="en-US" w:eastAsia="zh-CN"/>
              </w:rPr>
              <w:t>内</w:t>
            </w:r>
            <w:r>
              <w:rPr>
                <w:rFonts w:hint="eastAsia" w:ascii="仿宋_GB2312" w:hAnsi="仿宋_GB2312" w:eastAsia="仿宋_GB2312" w:cs="仿宋_GB2312"/>
                <w:i w:val="0"/>
                <w:iCs w:val="0"/>
                <w:caps w:val="0"/>
                <w:color w:val="000000"/>
                <w:spacing w:val="0"/>
                <w:sz w:val="28"/>
                <w:szCs w:val="28"/>
                <w:shd w:val="clear" w:fill="FFFFFF"/>
              </w:rPr>
              <w:t>餐饮油烟日常监督检查</w:t>
            </w:r>
          </w:p>
        </w:tc>
        <w:tc>
          <w:tcPr>
            <w:tcW w:w="5175" w:type="dxa"/>
            <w:vAlign w:val="center"/>
          </w:tcPr>
          <w:p w14:paraId="5A847558">
            <w:pPr>
              <w:jc w:val="left"/>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t>对规划区内餐饮油烟做到日常监督检查，月抽查率不低于20%。</w:t>
            </w:r>
          </w:p>
        </w:tc>
        <w:tc>
          <w:tcPr>
            <w:tcW w:w="824" w:type="dxa"/>
          </w:tcPr>
          <w:p w14:paraId="1875289F">
            <w:pPr>
              <w:jc w:val="center"/>
              <w:rPr>
                <w:rFonts w:hint="eastAsia" w:ascii="仿宋_GB2312" w:hAnsi="仿宋_GB2312" w:eastAsia="仿宋_GB2312" w:cs="仿宋_GB2312"/>
                <w:i w:val="0"/>
                <w:iCs w:val="0"/>
                <w:caps w:val="0"/>
                <w:color w:val="auto"/>
                <w:spacing w:val="0"/>
                <w:sz w:val="44"/>
                <w:szCs w:val="44"/>
                <w:shd w:val="clear" w:color="auto" w:fill="auto"/>
                <w:vertAlign w:val="baseline"/>
              </w:rPr>
            </w:pPr>
          </w:p>
        </w:tc>
      </w:tr>
      <w:tr w14:paraId="1C5D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85" w:type="dxa"/>
            <w:vAlign w:val="center"/>
          </w:tcPr>
          <w:p w14:paraId="550F485D">
            <w:pPr>
              <w:jc w:val="center"/>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t>3</w:t>
            </w:r>
          </w:p>
        </w:tc>
        <w:tc>
          <w:tcPr>
            <w:tcW w:w="2670" w:type="dxa"/>
            <w:vAlign w:val="center"/>
          </w:tcPr>
          <w:p w14:paraId="26C2B016">
            <w:pPr>
              <w:jc w:val="center"/>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滑县城市管理局</w:t>
            </w:r>
          </w:p>
        </w:tc>
        <w:tc>
          <w:tcPr>
            <w:tcW w:w="4620" w:type="dxa"/>
            <w:vAlign w:val="center"/>
          </w:tcPr>
          <w:p w14:paraId="346EAD8A">
            <w:pPr>
              <w:jc w:val="left"/>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对县城规划</w:t>
            </w:r>
            <w:r>
              <w:rPr>
                <w:rFonts w:hint="eastAsia" w:ascii="仿宋_GB2312" w:hAnsi="仿宋_GB2312" w:eastAsia="仿宋_GB2312" w:cs="仿宋_GB2312"/>
                <w:i w:val="0"/>
                <w:iCs w:val="0"/>
                <w:caps w:val="0"/>
                <w:color w:val="000000"/>
                <w:spacing w:val="0"/>
                <w:sz w:val="28"/>
                <w:szCs w:val="28"/>
                <w:shd w:val="clear" w:fill="FFFFFF"/>
              </w:rPr>
              <w:t>区</w:t>
            </w:r>
            <w:r>
              <w:rPr>
                <w:rFonts w:hint="eastAsia" w:ascii="仿宋_GB2312" w:hAnsi="仿宋_GB2312" w:eastAsia="仿宋_GB2312" w:cs="仿宋_GB2312"/>
                <w:i w:val="0"/>
                <w:iCs w:val="0"/>
                <w:caps w:val="0"/>
                <w:color w:val="000000"/>
                <w:spacing w:val="0"/>
                <w:sz w:val="28"/>
                <w:szCs w:val="28"/>
                <w:shd w:val="clear" w:fill="FFFFFF"/>
                <w:lang w:val="en-US" w:eastAsia="zh-CN"/>
              </w:rPr>
              <w:t>内建筑垃圾产生、收集、运输、利用、处置等行为的</w:t>
            </w:r>
            <w:r>
              <w:rPr>
                <w:rFonts w:hint="eastAsia" w:ascii="仿宋_GB2312" w:hAnsi="仿宋_GB2312" w:eastAsia="仿宋_GB2312" w:cs="仿宋_GB2312"/>
                <w:i w:val="0"/>
                <w:iCs w:val="0"/>
                <w:caps w:val="0"/>
                <w:color w:val="000000"/>
                <w:spacing w:val="0"/>
                <w:sz w:val="28"/>
                <w:szCs w:val="28"/>
                <w:shd w:val="clear" w:fill="FFFFFF"/>
              </w:rPr>
              <w:t>日常监督检查</w:t>
            </w:r>
          </w:p>
        </w:tc>
        <w:tc>
          <w:tcPr>
            <w:tcW w:w="5175" w:type="dxa"/>
            <w:vAlign w:val="center"/>
          </w:tcPr>
          <w:p w14:paraId="40D2E481">
            <w:pPr>
              <w:jc w:val="left"/>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对规划区建筑垃圾产生、收集、运输、利用、处置等行为每日检查不少于2次。</w:t>
            </w:r>
          </w:p>
        </w:tc>
        <w:tc>
          <w:tcPr>
            <w:tcW w:w="824" w:type="dxa"/>
          </w:tcPr>
          <w:p w14:paraId="4454CD20">
            <w:pPr>
              <w:jc w:val="center"/>
              <w:rPr>
                <w:rFonts w:hint="eastAsia" w:ascii="仿宋_GB2312" w:hAnsi="仿宋_GB2312" w:eastAsia="仿宋_GB2312" w:cs="仿宋_GB2312"/>
                <w:i w:val="0"/>
                <w:iCs w:val="0"/>
                <w:caps w:val="0"/>
                <w:color w:val="auto"/>
                <w:spacing w:val="0"/>
                <w:sz w:val="44"/>
                <w:szCs w:val="44"/>
                <w:shd w:val="clear" w:color="auto" w:fill="auto"/>
                <w:vertAlign w:val="baseline"/>
              </w:rPr>
            </w:pPr>
          </w:p>
        </w:tc>
      </w:tr>
      <w:tr w14:paraId="5A54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5F53A847">
            <w:pPr>
              <w:jc w:val="center"/>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pPr>
            <w:r>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t>4</w:t>
            </w:r>
          </w:p>
        </w:tc>
        <w:tc>
          <w:tcPr>
            <w:tcW w:w="2670" w:type="dxa"/>
            <w:vAlign w:val="center"/>
          </w:tcPr>
          <w:p w14:paraId="06E60C66">
            <w:pPr>
              <w:jc w:val="center"/>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滑县城市管理局</w:t>
            </w:r>
          </w:p>
        </w:tc>
        <w:tc>
          <w:tcPr>
            <w:tcW w:w="4620" w:type="dxa"/>
            <w:vAlign w:val="center"/>
          </w:tcPr>
          <w:p w14:paraId="59C3C274">
            <w:pPr>
              <w:jc w:val="left"/>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kern w:val="0"/>
                <w:sz w:val="28"/>
                <w:szCs w:val="28"/>
                <w:lang w:val="en-US" w:eastAsia="zh-CN" w:bidi="ar"/>
              </w:rPr>
              <w:t>对县城规划区内噪声敏感建筑物集中区域内夜间建筑施工作业产生噪声的检查</w:t>
            </w:r>
          </w:p>
        </w:tc>
        <w:tc>
          <w:tcPr>
            <w:tcW w:w="5175" w:type="dxa"/>
            <w:vAlign w:val="center"/>
          </w:tcPr>
          <w:p w14:paraId="5295812C">
            <w:pPr>
              <w:jc w:val="left"/>
              <w:rPr>
                <w:rFonts w:hint="eastAsia" w:ascii="仿宋_GB2312" w:hAnsi="仿宋_GB2312" w:eastAsia="仿宋_GB2312" w:cs="仿宋_GB2312"/>
                <w:i w:val="0"/>
                <w:iCs w:val="0"/>
                <w:caps w:val="0"/>
                <w:color w:val="auto"/>
                <w:spacing w:val="0"/>
                <w:sz w:val="28"/>
                <w:szCs w:val="28"/>
                <w:shd w:val="clear" w:color="auto" w:fill="auto"/>
                <w:vertAlign w:val="baseline"/>
                <w:lang w:val="en-US" w:eastAsia="zh-CN"/>
              </w:rPr>
            </w:pPr>
            <w:r>
              <w:rPr>
                <w:rFonts w:hint="eastAsia" w:ascii="仿宋_GB2312" w:hAnsi="仿宋_GB2312" w:eastAsia="仿宋_GB2312" w:cs="仿宋_GB2312"/>
                <w:i w:val="0"/>
                <w:iCs w:val="0"/>
                <w:caps w:val="0"/>
                <w:color w:val="000000"/>
                <w:spacing w:val="0"/>
                <w:kern w:val="0"/>
                <w:sz w:val="28"/>
                <w:szCs w:val="28"/>
                <w:lang w:val="en-US" w:eastAsia="zh-CN" w:bidi="ar"/>
              </w:rPr>
              <w:t>对县城规划区内噪声敏感建筑物集中区域内夜间建筑施工作业产生噪声的检查每日不少于1次。</w:t>
            </w:r>
          </w:p>
        </w:tc>
        <w:tc>
          <w:tcPr>
            <w:tcW w:w="824" w:type="dxa"/>
          </w:tcPr>
          <w:p w14:paraId="218576D3">
            <w:pPr>
              <w:jc w:val="center"/>
              <w:rPr>
                <w:rFonts w:hint="eastAsia" w:ascii="仿宋_GB2312" w:hAnsi="仿宋_GB2312" w:eastAsia="仿宋_GB2312" w:cs="仿宋_GB2312"/>
                <w:i w:val="0"/>
                <w:iCs w:val="0"/>
                <w:caps w:val="0"/>
                <w:color w:val="auto"/>
                <w:spacing w:val="0"/>
                <w:sz w:val="44"/>
                <w:szCs w:val="44"/>
                <w:shd w:val="clear" w:color="auto" w:fill="auto"/>
                <w:vertAlign w:val="baseline"/>
              </w:rPr>
            </w:pPr>
          </w:p>
        </w:tc>
      </w:tr>
      <w:tr w14:paraId="3B02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5C931858">
            <w:pPr>
              <w:jc w:val="center"/>
              <w:rPr>
                <w:rFonts w:hint="eastAsia" w:ascii="仿宋_GB2312" w:hAnsi="仿宋_GB2312" w:eastAsia="仿宋_GB2312" w:cs="仿宋_GB2312"/>
                <w:i w:val="0"/>
                <w:iCs w:val="0"/>
                <w:caps w:val="0"/>
                <w:color w:val="auto"/>
                <w:spacing w:val="0"/>
                <w:sz w:val="44"/>
                <w:szCs w:val="44"/>
                <w:shd w:val="clear" w:color="auto" w:fill="auto"/>
                <w:vertAlign w:val="baseline"/>
                <w:lang w:eastAsia="zh-CN"/>
              </w:rPr>
            </w:pPr>
            <w:r>
              <w:rPr>
                <w:rFonts w:hint="eastAsia" w:ascii="仿宋_GB2312" w:hAnsi="仿宋_GB2312" w:eastAsia="仿宋_GB2312" w:cs="仿宋_GB2312"/>
                <w:i w:val="0"/>
                <w:iCs w:val="0"/>
                <w:caps w:val="0"/>
                <w:color w:val="000000"/>
                <w:spacing w:val="0"/>
                <w:sz w:val="28"/>
                <w:szCs w:val="28"/>
                <w:shd w:val="clear" w:fill="FFFFFF"/>
              </w:rPr>
              <w:t>对投诉举报、转办交办等严重违法行为，依法依规及时快速开展执法检查和调查核实，可以不受频次上限限制</w:t>
            </w:r>
            <w:r>
              <w:rPr>
                <w:rFonts w:hint="eastAsia" w:ascii="仿宋_GB2312" w:hAnsi="仿宋_GB2312" w:eastAsia="仿宋_GB2312" w:cs="仿宋_GB2312"/>
                <w:i w:val="0"/>
                <w:iCs w:val="0"/>
                <w:caps w:val="0"/>
                <w:color w:val="000000"/>
                <w:spacing w:val="0"/>
                <w:sz w:val="28"/>
                <w:szCs w:val="28"/>
                <w:shd w:val="clear" w:fill="FFFFFF"/>
                <w:lang w:eastAsia="zh-CN"/>
              </w:rPr>
              <w:t>。</w:t>
            </w:r>
          </w:p>
        </w:tc>
      </w:tr>
    </w:tbl>
    <w:p w14:paraId="71F9245E">
      <w:pPr>
        <w:jc w:val="center"/>
        <w:rPr>
          <w:rFonts w:hint="eastAsia" w:ascii="仿宋_GB2312" w:hAnsi="仿宋_GB2312" w:eastAsia="仿宋_GB2312" w:cs="仿宋_GB2312"/>
          <w:i w:val="0"/>
          <w:iCs w:val="0"/>
          <w:caps w:val="0"/>
          <w:color w:val="auto"/>
          <w:spacing w:val="0"/>
          <w:sz w:val="44"/>
          <w:szCs w:val="44"/>
          <w:shd w:val="clear" w:color="auto" w:fil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42035"/>
    <w:rsid w:val="00824069"/>
    <w:rsid w:val="049C7DEF"/>
    <w:rsid w:val="0506170D"/>
    <w:rsid w:val="091268D2"/>
    <w:rsid w:val="0A9E5F43"/>
    <w:rsid w:val="13C609E5"/>
    <w:rsid w:val="178F543F"/>
    <w:rsid w:val="1CB533A4"/>
    <w:rsid w:val="22A5210D"/>
    <w:rsid w:val="261F21D6"/>
    <w:rsid w:val="26B35A54"/>
    <w:rsid w:val="292F0982"/>
    <w:rsid w:val="29A22F02"/>
    <w:rsid w:val="2CA42035"/>
    <w:rsid w:val="3428494C"/>
    <w:rsid w:val="38A04D49"/>
    <w:rsid w:val="3BA50630"/>
    <w:rsid w:val="458D0AB3"/>
    <w:rsid w:val="45A71B75"/>
    <w:rsid w:val="480037BE"/>
    <w:rsid w:val="4A9A1CA8"/>
    <w:rsid w:val="56C63E25"/>
    <w:rsid w:val="59851D75"/>
    <w:rsid w:val="5C802540"/>
    <w:rsid w:val="628232F6"/>
    <w:rsid w:val="670A1B0C"/>
    <w:rsid w:val="680D67C2"/>
    <w:rsid w:val="694F3806"/>
    <w:rsid w:val="6BC8789F"/>
    <w:rsid w:val="6C4C227F"/>
    <w:rsid w:val="72451C4A"/>
    <w:rsid w:val="743846D3"/>
    <w:rsid w:val="74582108"/>
    <w:rsid w:val="7A1563A6"/>
    <w:rsid w:val="7B38234C"/>
    <w:rsid w:val="7C136915"/>
    <w:rsid w:val="7CA83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342</Words>
  <Characters>344</Characters>
  <Lines>0</Lines>
  <Paragraphs>0</Paragraphs>
  <TotalTime>5</TotalTime>
  <ScaleCrop>false</ScaleCrop>
  <LinksUpToDate>false</LinksUpToDate>
  <CharactersWithSpaces>344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2025-08-07T02:40:00Z</dcterms:created>
  <dc:creator>Administrator</dc:creator>
  <cp:lastModifiedBy>Administrator</cp:lastModifiedBy>
  <dcterms:modified xsi:type="dcterms:W3CDTF">2025-08-13T03:10:53Z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5AE9F3FC0EB540339DA945F424768665_11</vt:lpwstr>
  </property>
  <property fmtid="{D5CDD505-2E9C-101B-9397-08002B2CF9AE}" pid="4" name="KSOTemplateDocerSaveRecord">
    <vt:lpwstr>eyJoZGlkIjoiZThmMDY5MTRkYzVhZmIyOGFkODJkNTJmNmZlNDVjYTMifQ==</vt:lpwstr>
  </property>
</Properties>
</file>