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6"/>
        <w:tblW w:w="8115" w:type="dxa"/>
        <w:tblInd w:w="0" w:type="dxa"/>
        <w:tblLayout w:type="autofit"/>
        <w:tblCellMar>
          <w:top w:w="15" w:type="dxa"/>
          <w:left w:w="15" w:type="dxa"/>
          <w:bottom w:w="15" w:type="dxa"/>
          <w:right w:w="15" w:type="dxa"/>
        </w:tblCellMar>
      </w:tblPr>
      <w:tblGrid>
        <w:gridCol w:w="438"/>
        <w:gridCol w:w="426"/>
        <w:gridCol w:w="555"/>
        <w:gridCol w:w="469"/>
        <w:gridCol w:w="814"/>
        <w:gridCol w:w="1102"/>
        <w:gridCol w:w="4311"/>
      </w:tblGrid>
      <w:tr w14:paraId="65ACC274">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8"/>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8"/>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8"/>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8"/>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8"/>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河南煜晟电力科技有限公司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年加工3万件装配式建筑材料建设项目</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滑县白道口镇民寨村村北8号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河南中环联创环保科技有限公司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占地面积为12666.67m2，总投资1200万元，环保投资103.5万元。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1F24C320">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w:t>
            </w:r>
          </w:p>
          <w:p w14:paraId="6454AFF0">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必须严格按照《河南省2025年蓝天保卫战实施方案》（豫环委办〔2025〕6号）等文件要求，严格落实工程建设工地扬尘“六个百分之百”措施；禁止现场搅拌混凝土和配制砂浆；每天定期不定期洒水，4级以上大风天气严禁作业；落实县环境污染攻坚办发布的重污染天气应急管控要求。</w:t>
            </w:r>
          </w:p>
          <w:p w14:paraId="15491FB1">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粉煤灰储存粉尘经筒仓顶部的脉冲布袋除尘器处理，上料、提升工序三面密闭、一面加装软帘后由经集气罩收集，混合搅拌粉尘经密闭搅拌机顶部的排气口收集，共同由袋式除尘器处理通过15m高排气筒排放；水泥仓粉尘经筒仓顶部的脉冲布袋除尘器处理后经排放口排放；钢筋切割、焊接废气经移动式烟尘净化器处理后排放；食堂油烟经复合式静电油烟净化器处理后经烟道引至楼顶排放。废气排放须满足《大气污染物综合排放标准》（GB16297-1996）标准、《水泥工业大气污染物排放标准》（DB41/1953-2020）标准、河南省地方标准《餐饮业油烟污染物排放标准》（DB41/1604-2018）“小型”要求、《重污染天气重点行业应急减排措施制定技术指南》（2020年修订版）水泥行业要求及《安阳市2019年工业大气污染治理5个专项实施方案》（安环攻坚办〔2019〕196号）要求。</w:t>
            </w:r>
          </w:p>
          <w:p w14:paraId="4A647B75">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w:t>
            </w:r>
          </w:p>
          <w:p w14:paraId="60058729">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施工期：施工废水经沉淀池沉淀后用于施工场地洒水抑尘，不外排；生活污水经化粪池处理后定期清掏，用于沤制农肥。</w:t>
            </w:r>
          </w:p>
          <w:p w14:paraId="6303870B">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搅拌机清洗废水、蒸气发生器定期排水、蒸气养护冷凝水经厂区一座40m3的沉淀池收集沉淀后，回用于原料搅拌工序，不外排；运输车辆冲洗废水经一座5m3的三级沉淀池收集沉淀后循环使用，不外排；食堂废水经一座1m3隔油池隔油后同生活污水进入一座5m3化粪池暂存，定期清掏用于附近农田肥田。</w:t>
            </w:r>
          </w:p>
          <w:p w14:paraId="79CFCDA5">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w:t>
            </w:r>
          </w:p>
          <w:p w14:paraId="1CFA1C97">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采用低噪声、低振动的设备与方式进行地基施工与结构施工；对有固定基座的设备应作单独地基处理，以减少地面振动与结构噪声的传递；规范操作，并加强对设备的维护保养，以维持其正常运转；夜间（22:00至次日6:00之前）禁止施工作业。</w:t>
            </w:r>
          </w:p>
          <w:p w14:paraId="1D2CE19E">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营运期：生产设备、环保治理设施风机等设备运行时产生的噪声，采用低噪声设备、基础减震、厂房隔声等措施后，厂界噪声排放须满足《工业企业厂界环境噪声排放标准》（GB12348-2008）2类标准。</w:t>
            </w:r>
          </w:p>
          <w:p w14:paraId="29F02D65">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4.固体废物：</w:t>
            </w:r>
          </w:p>
          <w:p w14:paraId="3CF9E3D0">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施工期：建筑垃圾分类后回收利用，及时清理；生活垃圾定期交环卫部门处理。</w:t>
            </w:r>
          </w:p>
          <w:p w14:paraId="2C953EDF">
            <w:pPr>
              <w:spacing w:line="620" w:lineRule="exact"/>
              <w:ind w:firstLine="360" w:firstLineChars="200"/>
              <w:jc w:val="left"/>
              <w:rPr>
                <w:rFonts w:ascii="Times New Roman" w:hAnsi="Times New Roman"/>
                <w:color w:val="000000"/>
                <w:sz w:val="18"/>
                <w:szCs w:val="18"/>
              </w:rPr>
            </w:pPr>
            <w:r>
              <w:rPr>
                <w:rFonts w:hint="eastAsia" w:ascii="Times New Roman" w:hAnsi="Times New Roman"/>
                <w:color w:val="000000"/>
                <w:sz w:val="18"/>
                <w:szCs w:val="18"/>
              </w:rPr>
              <w:t>营运期：废包装桶、废钢筋、焊渣、金属粉尘、废减振垫收集后于1座20m2一般固废间暂存定期外售，废混凝土、袋式除尘器收尘灰、沉淀池底泥均回用于生产，生活垃圾经垃圾桶收集后，交环卫部门统一处理。一般固体废物暂存应满足《一般工业固体废物贮存和填埋污染控制标准》（GB18599 -2020）要求。</w:t>
            </w:r>
            <w:bookmarkStart w:id="0" w:name="_GoBack"/>
            <w:bookmarkEnd w:id="0"/>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3"/>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53F1731"/>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1"/>
    <w:qFormat/>
    <w:uiPriority w:val="0"/>
    <w:rPr>
      <w:b/>
      <w:bCs/>
      <w:sz w:val="24"/>
    </w:rPr>
  </w:style>
  <w:style w:type="paragraph" w:styleId="9">
    <w:name w:val="Body Text Indent"/>
    <w:basedOn w:val="1"/>
    <w:next w:val="1"/>
    <w:qFormat/>
    <w:uiPriority w:val="0"/>
    <w:pPr>
      <w:ind w:left="420" w:leftChars="200"/>
    </w:pPr>
  </w:style>
  <w:style w:type="paragraph" w:styleId="10">
    <w:name w:val="Block Text"/>
    <w:basedOn w:val="1"/>
    <w:next w:val="1"/>
    <w:qFormat/>
    <w:uiPriority w:val="0"/>
    <w:pPr>
      <w:spacing w:line="320" w:lineRule="exact"/>
      <w:ind w:left="113" w:right="113"/>
      <w:jc w:val="center"/>
    </w:pPr>
    <w:rPr>
      <w:b/>
      <w:sz w:val="13"/>
      <w:szCs w:val="15"/>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9"/>
    <w:next w:val="1"/>
    <w:qFormat/>
    <w:uiPriority w:val="0"/>
    <w:pPr>
      <w:ind w:firstLine="200" w:firstLineChars="200"/>
    </w:pPr>
    <w:rPr>
      <w:szCs w:val="21"/>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character" w:customStyle="1" w:styleId="20">
    <w:name w:val="页眉 Char"/>
    <w:basedOn w:val="17"/>
    <w:link w:val="12"/>
    <w:qFormat/>
    <w:uiPriority w:val="0"/>
    <w:rPr>
      <w:rFonts w:asciiTheme="minorHAnsi" w:hAnsiTheme="minorHAnsi" w:eastAsiaTheme="minorEastAsia" w:cstheme="minorBidi"/>
      <w:kern w:val="2"/>
      <w:sz w:val="18"/>
      <w:szCs w:val="18"/>
    </w:rPr>
  </w:style>
  <w:style w:type="character" w:customStyle="1" w:styleId="21">
    <w:name w:val="页脚 Char"/>
    <w:basedOn w:val="17"/>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1088</Words>
  <Characters>1226</Characters>
  <Lines>1</Lines>
  <Paragraphs>2</Paragraphs>
  <TotalTime>0</TotalTime>
  <ScaleCrop>false</ScaleCrop>
  <LinksUpToDate>false</LinksUpToDate>
  <CharactersWithSpaces>1240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2025-05-13T09:22:10Z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