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4</w:t>
      </w:r>
      <w:r>
        <w:rPr>
          <w:rFonts w:hint="eastAsia" w:ascii="方正小标宋简体" w:hAnsi="方正小标宋简体" w:eastAsia="方正小标宋简体" w:cs="方正小标宋简体"/>
          <w:color w:val="333333"/>
          <w:sz w:val="30"/>
          <w:szCs w:val="30"/>
        </w:rPr>
        <w:t>月3</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月3日－2025年4月</w:t>
      </w:r>
      <w:r>
        <w:rPr>
          <w:rFonts w:hint="eastAsia" w:ascii="宋体" w:hAnsi="宋体" w:eastAsia="宋体" w:cs="宋体"/>
          <w:color w:val="000000"/>
          <w:sz w:val="21"/>
          <w:szCs w:val="21"/>
          <w:shd w:val="clear" w:color="auto" w:fill="FFFFFF"/>
          <w:lang w:val="en-US" w:eastAsia="zh-CN"/>
        </w:rPr>
        <w:t>10</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43345814">
      <w:pPr>
        <w:pStyle w:val="12"/>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通讯地址：滑东新区创业大道与欧阳路交叉口东150米路南（456400）</w:t>
      </w:r>
    </w:p>
    <w:p w14:paraId="1BA871D8">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4"/>
        <w:tblW w:w="8115" w:type="dxa"/>
        <w:tblInd w:w="0" w:type="dxa"/>
        <w:tblLayout w:type="autofit"/>
        <w:tblCellMar>
          <w:top w:w="15" w:type="dxa"/>
          <w:left w:w="15" w:type="dxa"/>
          <w:bottom w:w="15" w:type="dxa"/>
          <w:right w:w="15" w:type="dxa"/>
        </w:tblCellMar>
      </w:tblPr>
      <w:tblGrid>
        <w:gridCol w:w="450"/>
        <w:gridCol w:w="436"/>
        <w:gridCol w:w="571"/>
        <w:gridCol w:w="481"/>
        <w:gridCol w:w="842"/>
        <w:gridCol w:w="902"/>
        <w:gridCol w:w="4433"/>
      </w:tblGrid>
      <w:tr w14:paraId="65ACC274">
        <w:tblPrEx>
          <w:tblCellMar>
            <w:top w:w="15" w:type="dxa"/>
            <w:left w:w="15" w:type="dxa"/>
            <w:bottom w:w="15" w:type="dxa"/>
            <w:right w:w="15" w:type="dxa"/>
          </w:tblCellMar>
        </w:tblPrEx>
        <w:trPr>
          <w:trHeight w:val="90" w:hRule="atLeast"/>
        </w:trPr>
        <w:tc>
          <w:tcPr>
            <w:tcW w:w="450"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6"/>
                <w:rFonts w:hint="eastAsia" w:ascii="宋体" w:hAnsi="宋体" w:eastAsia="宋体" w:cs="宋体"/>
                <w:color w:val="000000"/>
                <w:sz w:val="18"/>
                <w:szCs w:val="18"/>
              </w:rPr>
              <w:t>序号</w:t>
            </w:r>
          </w:p>
        </w:tc>
        <w:tc>
          <w:tcPr>
            <w:tcW w:w="43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6"/>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6"/>
                <w:rFonts w:hint="eastAsia" w:ascii="宋体" w:hAnsi="宋体" w:eastAsia="宋体" w:cs="宋体"/>
                <w:color w:val="000000"/>
                <w:sz w:val="18"/>
                <w:szCs w:val="18"/>
              </w:rPr>
              <w:t>单位</w:t>
            </w:r>
          </w:p>
        </w:tc>
        <w:tc>
          <w:tcPr>
            <w:tcW w:w="57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6"/>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6"/>
                <w:rFonts w:hint="eastAsia" w:ascii="宋体" w:hAnsi="宋体" w:eastAsia="宋体" w:cs="宋体"/>
                <w:color w:val="000000"/>
                <w:sz w:val="18"/>
                <w:szCs w:val="18"/>
              </w:rPr>
              <w:t>名称</w:t>
            </w:r>
          </w:p>
        </w:tc>
        <w:tc>
          <w:tcPr>
            <w:tcW w:w="48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6"/>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6"/>
                <w:rFonts w:hint="eastAsia" w:ascii="宋体" w:hAnsi="宋体" w:eastAsia="宋体" w:cs="宋体"/>
                <w:color w:val="000000"/>
                <w:sz w:val="18"/>
                <w:szCs w:val="18"/>
              </w:rPr>
              <w:t>地点</w:t>
            </w:r>
          </w:p>
        </w:tc>
        <w:tc>
          <w:tcPr>
            <w:tcW w:w="84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环境影响评价机构</w:t>
            </w:r>
          </w:p>
        </w:tc>
        <w:tc>
          <w:tcPr>
            <w:tcW w:w="90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概况</w:t>
            </w:r>
          </w:p>
        </w:tc>
        <w:tc>
          <w:tcPr>
            <w:tcW w:w="443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6"/>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450"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43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9A65FC9">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滑县中医院</w:t>
            </w:r>
          </w:p>
        </w:tc>
        <w:tc>
          <w:tcPr>
            <w:tcW w:w="57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B693604">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综合楼建设项目</w:t>
            </w:r>
          </w:p>
        </w:tc>
        <w:tc>
          <w:tcPr>
            <w:tcW w:w="48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滑县</w:t>
            </w:r>
            <w:r>
              <w:rPr>
                <w:rFonts w:ascii="Times New Roman" w:hAnsi="Times New Roman"/>
                <w:color w:val="000000"/>
                <w:sz w:val="18"/>
                <w:szCs w:val="18"/>
              </w:rPr>
              <w:t>滑兴路与振兴路交叉口西北角</w:t>
            </w:r>
          </w:p>
        </w:tc>
        <w:tc>
          <w:tcPr>
            <w:tcW w:w="84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w:t>
            </w:r>
            <w:r>
              <w:rPr>
                <w:rFonts w:hint="eastAsia" w:ascii="Times New Roman" w:hAnsi="Times New Roman"/>
                <w:color w:val="000000"/>
                <w:sz w:val="18"/>
                <w:szCs w:val="18"/>
                <w:lang w:val="en-US" w:eastAsia="zh-CN"/>
              </w:rPr>
              <w:t>青盟科技环保</w:t>
            </w:r>
            <w:r>
              <w:rPr>
                <w:rFonts w:hint="eastAsia" w:ascii="Times New Roman" w:hAnsi="Times New Roman"/>
                <w:color w:val="000000"/>
                <w:sz w:val="18"/>
                <w:szCs w:val="18"/>
              </w:rPr>
              <w:t>有限公司</w:t>
            </w:r>
          </w:p>
        </w:tc>
        <w:tc>
          <w:tcPr>
            <w:tcW w:w="90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总投资6600万元，环保投资</w:t>
            </w:r>
            <w:r>
              <w:rPr>
                <w:rFonts w:hint="eastAsia" w:ascii="Times New Roman" w:hAnsi="Times New Roman"/>
                <w:color w:val="000000"/>
                <w:sz w:val="18"/>
                <w:szCs w:val="18"/>
                <w:lang w:val="en-US" w:eastAsia="zh-CN"/>
              </w:rPr>
              <w:t>45.1</w:t>
            </w:r>
            <w:r>
              <w:rPr>
                <w:rFonts w:hint="eastAsia" w:ascii="Times New Roman" w:hAnsi="Times New Roman"/>
                <w:color w:val="000000"/>
                <w:sz w:val="18"/>
                <w:szCs w:val="18"/>
              </w:rPr>
              <w:t>万元。</w:t>
            </w:r>
          </w:p>
        </w:tc>
        <w:tc>
          <w:tcPr>
            <w:tcW w:w="443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76B75EAF">
            <w:pPr>
              <w:spacing w:line="620" w:lineRule="exact"/>
              <w:ind w:firstLine="360" w:firstLineChars="200"/>
              <w:jc w:val="left"/>
              <w:rPr>
                <w:rFonts w:hint="default" w:ascii="Times New Roman" w:hAnsi="Times New Roman"/>
                <w:color w:val="000000"/>
                <w:sz w:val="18"/>
                <w:szCs w:val="18"/>
                <w:lang w:val="en-US" w:eastAsia="zh-CN"/>
              </w:rPr>
            </w:pPr>
            <w:r>
              <w:rPr>
                <w:rFonts w:hint="eastAsia" w:ascii="Times New Roman" w:hAnsi="Times New Roman"/>
                <w:color w:val="000000"/>
                <w:sz w:val="18"/>
                <w:szCs w:val="18"/>
              </w:rPr>
              <w:t>1.废气：污水处理站位于地下，处理设施加盖、密闭，</w:t>
            </w:r>
            <w:r>
              <w:rPr>
                <w:rFonts w:hint="eastAsia" w:ascii="Times New Roman" w:hAnsi="Times New Roman"/>
                <w:color w:val="000000"/>
                <w:sz w:val="18"/>
                <w:szCs w:val="18"/>
                <w:lang w:val="en-US" w:eastAsia="zh-CN"/>
              </w:rPr>
              <w:t>废气</w:t>
            </w:r>
            <w:r>
              <w:rPr>
                <w:rFonts w:hint="eastAsia" w:ascii="Times New Roman" w:hAnsi="Times New Roman"/>
                <w:color w:val="000000"/>
                <w:sz w:val="18"/>
                <w:szCs w:val="18"/>
              </w:rPr>
              <w:t>经UV光氧催化+活性炭吸附装置处理后</w:t>
            </w:r>
            <w:r>
              <w:rPr>
                <w:rFonts w:hint="eastAsia" w:ascii="Times New Roman" w:hAnsi="Times New Roman"/>
                <w:color w:val="000000"/>
                <w:sz w:val="18"/>
                <w:szCs w:val="18"/>
                <w:lang w:val="en-US" w:eastAsia="zh-CN"/>
              </w:rPr>
              <w:t>通过</w:t>
            </w:r>
            <w:r>
              <w:rPr>
                <w:rFonts w:hint="eastAsia" w:ascii="Times New Roman" w:hAnsi="Times New Roman"/>
                <w:color w:val="000000"/>
                <w:sz w:val="18"/>
                <w:szCs w:val="18"/>
              </w:rPr>
              <w:t>15m</w:t>
            </w:r>
            <w:r>
              <w:rPr>
                <w:rFonts w:hint="eastAsia" w:ascii="Times New Roman" w:hAnsi="Times New Roman"/>
                <w:color w:val="000000"/>
                <w:sz w:val="18"/>
                <w:szCs w:val="18"/>
                <w:lang w:val="en-US" w:eastAsia="zh-CN"/>
              </w:rPr>
              <w:t>高</w:t>
            </w:r>
            <w:r>
              <w:rPr>
                <w:rFonts w:hint="eastAsia" w:ascii="Times New Roman" w:hAnsi="Times New Roman"/>
                <w:color w:val="000000"/>
                <w:sz w:val="18"/>
                <w:szCs w:val="18"/>
              </w:rPr>
              <w:t>排气筒排放</w:t>
            </w:r>
            <w:r>
              <w:rPr>
                <w:rFonts w:hint="eastAsia" w:ascii="Times New Roman" w:hAnsi="Times New Roman"/>
                <w:color w:val="000000"/>
                <w:sz w:val="18"/>
                <w:szCs w:val="18"/>
                <w:lang w:eastAsia="zh-CN"/>
              </w:rPr>
              <w:t>；煎药异味收集后经现有二级活性炭吸附处理后经排气筒排放；职工餐厅油烟废气</w:t>
            </w:r>
            <w:r>
              <w:rPr>
                <w:rFonts w:hint="eastAsia" w:ascii="Times New Roman" w:hAnsi="Times New Roman"/>
                <w:color w:val="000000"/>
                <w:sz w:val="18"/>
                <w:szCs w:val="18"/>
                <w:lang w:val="en-US" w:eastAsia="zh-CN"/>
              </w:rPr>
              <w:t>经</w:t>
            </w:r>
            <w:r>
              <w:rPr>
                <w:rFonts w:hint="eastAsia" w:ascii="Times New Roman" w:hAnsi="Times New Roman"/>
                <w:color w:val="000000"/>
                <w:sz w:val="18"/>
                <w:szCs w:val="18"/>
                <w:lang w:eastAsia="zh-CN"/>
              </w:rPr>
              <w:t>集气罩</w:t>
            </w:r>
            <w:r>
              <w:rPr>
                <w:rFonts w:hint="eastAsia" w:ascii="Times New Roman" w:hAnsi="Times New Roman"/>
                <w:color w:val="000000"/>
                <w:sz w:val="18"/>
                <w:szCs w:val="18"/>
                <w:lang w:val="en-US" w:eastAsia="zh-CN"/>
              </w:rPr>
              <w:t>收集至</w:t>
            </w:r>
            <w:r>
              <w:rPr>
                <w:rFonts w:hint="eastAsia" w:ascii="Times New Roman" w:hAnsi="Times New Roman"/>
                <w:color w:val="000000"/>
                <w:sz w:val="18"/>
                <w:szCs w:val="18"/>
                <w:lang w:eastAsia="zh-CN"/>
              </w:rPr>
              <w:t>静电式油烟净化器</w:t>
            </w:r>
            <w:r>
              <w:rPr>
                <w:rFonts w:hint="eastAsia" w:ascii="Times New Roman" w:hAnsi="Times New Roman"/>
                <w:color w:val="000000"/>
                <w:sz w:val="18"/>
                <w:szCs w:val="18"/>
                <w:lang w:val="en-US" w:eastAsia="zh-CN"/>
              </w:rPr>
              <w:t>处理后通过</w:t>
            </w:r>
            <w:r>
              <w:rPr>
                <w:rFonts w:hint="eastAsia" w:ascii="Times New Roman" w:hAnsi="Times New Roman"/>
                <w:color w:val="000000"/>
                <w:sz w:val="18"/>
                <w:szCs w:val="18"/>
                <w:lang w:eastAsia="zh-CN"/>
              </w:rPr>
              <w:t>专用烟道排放。</w:t>
            </w:r>
            <w:r>
              <w:rPr>
                <w:rFonts w:hint="eastAsia" w:ascii="Times New Roman" w:hAnsi="Times New Roman"/>
                <w:color w:val="000000"/>
                <w:sz w:val="18"/>
                <w:szCs w:val="18"/>
                <w:lang w:val="en-US" w:eastAsia="zh-CN"/>
              </w:rPr>
              <w:t>废</w:t>
            </w:r>
            <w:r>
              <w:rPr>
                <w:rFonts w:hint="eastAsia" w:ascii="Times New Roman" w:hAnsi="Times New Roman"/>
                <w:color w:val="000000"/>
                <w:sz w:val="18"/>
                <w:szCs w:val="18"/>
                <w:lang w:val="en-US" w:eastAsia="zh-CN"/>
              </w:rPr>
              <w:t>气排放须</w:t>
            </w:r>
            <w:r>
              <w:rPr>
                <w:rFonts w:hint="eastAsia" w:ascii="Times New Roman" w:hAnsi="Times New Roman"/>
                <w:color w:val="000000"/>
                <w:sz w:val="18"/>
                <w:szCs w:val="18"/>
                <w:lang w:eastAsia="zh-CN"/>
              </w:rPr>
              <w:t>满足《医疗机构水污染物排放标准》（DB41/2555-2023）》表3</w:t>
            </w:r>
            <w:r>
              <w:rPr>
                <w:rFonts w:hint="eastAsia" w:ascii="Times New Roman" w:hAnsi="Times New Roman"/>
                <w:color w:val="000000"/>
                <w:sz w:val="18"/>
                <w:szCs w:val="18"/>
                <w:lang w:val="en-US" w:eastAsia="zh-CN"/>
              </w:rPr>
              <w:t>标准限值</w:t>
            </w:r>
            <w:r>
              <w:rPr>
                <w:rFonts w:hint="eastAsia" w:ascii="Times New Roman" w:hAnsi="Times New Roman"/>
                <w:color w:val="000000"/>
                <w:sz w:val="18"/>
                <w:szCs w:val="18"/>
                <w:lang w:eastAsia="zh-CN"/>
              </w:rPr>
              <w:t>、《恶臭污染物排放标准》（GB14554-93）表2</w:t>
            </w:r>
            <w:r>
              <w:rPr>
                <w:rFonts w:hint="eastAsia" w:ascii="Times New Roman" w:hAnsi="Times New Roman"/>
                <w:color w:val="000000"/>
                <w:sz w:val="18"/>
                <w:szCs w:val="18"/>
                <w:lang w:val="en-US" w:eastAsia="zh-CN"/>
              </w:rPr>
              <w:t>标准限值、</w:t>
            </w:r>
            <w:r>
              <w:rPr>
                <w:rFonts w:hint="eastAsia" w:ascii="Times New Roman" w:hAnsi="Times New Roman"/>
                <w:color w:val="000000"/>
                <w:sz w:val="18"/>
                <w:szCs w:val="18"/>
                <w:lang w:eastAsia="zh-CN"/>
              </w:rPr>
              <w:t>《餐饮业油烟污染物排放标准》（DB41/1604-2018）</w:t>
            </w:r>
            <w:r>
              <w:rPr>
                <w:rFonts w:hint="eastAsia" w:ascii="Times New Roman" w:hAnsi="Times New Roman"/>
                <w:color w:val="000000"/>
                <w:sz w:val="18"/>
                <w:szCs w:val="18"/>
                <w:lang w:val="en-US" w:eastAsia="zh-CN"/>
              </w:rPr>
              <w:t>中型标准限值。</w:t>
            </w:r>
          </w:p>
          <w:p w14:paraId="15379844">
            <w:pPr>
              <w:spacing w:line="620" w:lineRule="exact"/>
              <w:ind w:firstLine="360" w:firstLineChars="200"/>
              <w:jc w:val="left"/>
              <w:rPr>
                <w:rFonts w:hint="eastAsia" w:ascii="Times New Roman" w:hAnsi="Times New Roman" w:eastAsiaTheme="minorEastAsia"/>
                <w:color w:val="000000"/>
                <w:sz w:val="18"/>
                <w:szCs w:val="18"/>
                <w:lang w:eastAsia="zh-CN"/>
              </w:rPr>
            </w:pPr>
            <w:r>
              <w:rPr>
                <w:rFonts w:hint="eastAsia" w:ascii="Times New Roman" w:hAnsi="Times New Roman"/>
                <w:color w:val="000000"/>
                <w:sz w:val="18"/>
                <w:szCs w:val="18"/>
              </w:rPr>
              <w:t>2.废水：生活污水经新建化粪池（200m3）处理后和医疗废水进入院内污水处理站（依托现有工程，处理规模500m3/d，处理工艺：格栅+调节池+二段生物组合+消毒池工艺）进行处理后，由医院废水总排口排入市政污水管网进入滑县清源污水处理厂</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废水排放须</w:t>
            </w:r>
            <w:r>
              <w:rPr>
                <w:rFonts w:hint="eastAsia" w:ascii="Times New Roman" w:hAnsi="Times New Roman"/>
                <w:color w:val="000000"/>
                <w:sz w:val="18"/>
                <w:szCs w:val="18"/>
                <w:lang w:eastAsia="zh-CN"/>
              </w:rPr>
              <w:t>满足河南省地方标准《医疗机构水污染物排放标准》（DB41/2555-2023）表1二级标准</w:t>
            </w:r>
            <w:r>
              <w:rPr>
                <w:rFonts w:hint="eastAsia" w:ascii="Times New Roman" w:hAnsi="Times New Roman"/>
                <w:color w:val="000000"/>
                <w:sz w:val="18"/>
                <w:szCs w:val="18"/>
                <w:lang w:val="en-US" w:eastAsia="zh-CN"/>
              </w:rPr>
              <w:t>及</w:t>
            </w:r>
            <w:r>
              <w:rPr>
                <w:rFonts w:hint="eastAsia" w:ascii="Times New Roman" w:hAnsi="Times New Roman"/>
                <w:color w:val="000000"/>
                <w:sz w:val="18"/>
                <w:szCs w:val="18"/>
                <w:lang w:eastAsia="zh-CN"/>
              </w:rPr>
              <w:t>滑县清源污</w:t>
            </w:r>
            <w:bookmarkStart w:id="0" w:name="_GoBack"/>
            <w:bookmarkEnd w:id="0"/>
            <w:r>
              <w:rPr>
                <w:rFonts w:hint="eastAsia" w:ascii="Times New Roman" w:hAnsi="Times New Roman"/>
                <w:color w:val="000000"/>
                <w:sz w:val="18"/>
                <w:szCs w:val="18"/>
                <w:lang w:eastAsia="zh-CN"/>
              </w:rPr>
              <w:t>水处理厂进水水质要求。</w:t>
            </w:r>
          </w:p>
          <w:p w14:paraId="5BBC4E9D">
            <w:pPr>
              <w:spacing w:line="620" w:lineRule="exact"/>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3.噪声：经采取采取选用低噪声设备、基础减振、建筑隔声等措施进行控制</w:t>
            </w:r>
            <w:r>
              <w:rPr>
                <w:rFonts w:hint="eastAsia" w:ascii="Times New Roman" w:hAnsi="Times New Roman"/>
                <w:color w:val="000000"/>
                <w:sz w:val="18"/>
                <w:szCs w:val="18"/>
                <w:lang w:val="en-US" w:eastAsia="zh-CN"/>
              </w:rPr>
              <w:t>后</w:t>
            </w:r>
            <w:r>
              <w:rPr>
                <w:rFonts w:hint="eastAsia" w:ascii="Times New Roman" w:hAnsi="Times New Roman"/>
                <w:color w:val="000000"/>
                <w:sz w:val="18"/>
                <w:szCs w:val="18"/>
              </w:rPr>
              <w:t>，厂界噪声排放须满足《工业企业厂界环境噪声排放标准》（GB12348-2008）</w:t>
            </w:r>
            <w:r>
              <w:rPr>
                <w:rFonts w:hint="eastAsia" w:ascii="Times New Roman" w:hAnsi="Times New Roman"/>
                <w:color w:val="000000"/>
                <w:sz w:val="18"/>
                <w:szCs w:val="18"/>
                <w:lang w:val="en-US" w:eastAsia="zh-CN"/>
              </w:rPr>
              <w:t>1</w:t>
            </w:r>
            <w:r>
              <w:rPr>
                <w:rFonts w:hint="eastAsia" w:ascii="Times New Roman" w:hAnsi="Times New Roman"/>
                <w:color w:val="000000"/>
                <w:sz w:val="18"/>
                <w:szCs w:val="18"/>
              </w:rPr>
              <w:t>类标准限值。</w:t>
            </w:r>
          </w:p>
          <w:p w14:paraId="5F220D04">
            <w:pPr>
              <w:spacing w:line="620" w:lineRule="exact"/>
              <w:ind w:firstLine="360" w:firstLineChars="200"/>
              <w:jc w:val="left"/>
              <w:rPr>
                <w:rFonts w:ascii="Times New Roman" w:hAnsi="Times New Roman"/>
                <w:color w:val="000000"/>
                <w:sz w:val="18"/>
                <w:szCs w:val="18"/>
              </w:rPr>
            </w:pPr>
            <w:r>
              <w:rPr>
                <w:rFonts w:hint="eastAsia" w:ascii="Times New Roman" w:hAnsi="Times New Roman"/>
                <w:color w:val="000000"/>
                <w:sz w:val="18"/>
                <w:szCs w:val="18"/>
              </w:rPr>
              <w:t>4.固体废物：</w:t>
            </w:r>
            <w:r>
              <w:rPr>
                <w:rFonts w:hint="eastAsia" w:ascii="Times New Roman" w:hAnsi="Times New Roman"/>
                <w:color w:val="000000"/>
                <w:sz w:val="18"/>
                <w:szCs w:val="18"/>
                <w:lang w:eastAsia="zh-CN"/>
              </w:rPr>
              <w:t>煎药药渣经带盖桶收集后，委托环卫部门清运处理；药煎药异味吸附装置产生的废活性炭，每次更换时由回收企业直接回收处置，不在院内暂存。</w:t>
            </w:r>
            <w:r>
              <w:rPr>
                <w:rFonts w:hint="eastAsia" w:ascii="Times New Roman" w:hAnsi="Times New Roman"/>
                <w:color w:val="000000"/>
                <w:sz w:val="18"/>
                <w:szCs w:val="18"/>
              </w:rPr>
              <w:t>医疗废物、废UV灯管、废活性炭采用专用收集桶收集后，暂存于现有危废暂存间（病房楼南侧，30m</w:t>
            </w:r>
            <w:r>
              <w:rPr>
                <w:rFonts w:hint="eastAsia" w:ascii="Times New Roman" w:hAnsi="Times New Roman"/>
                <w:color w:val="000000"/>
                <w:sz w:val="18"/>
                <w:szCs w:val="18"/>
                <w:vertAlign w:val="superscript"/>
              </w:rPr>
              <w:t>2</w:t>
            </w:r>
            <w:r>
              <w:rPr>
                <w:rFonts w:hint="eastAsia" w:ascii="Times New Roman" w:hAnsi="Times New Roman"/>
                <w:color w:val="000000"/>
                <w:sz w:val="18"/>
                <w:szCs w:val="18"/>
              </w:rPr>
              <w:t>），定期就近交由有资质单位清运处置</w:t>
            </w:r>
            <w:r>
              <w:rPr>
                <w:rFonts w:hint="eastAsia" w:ascii="Times New Roman" w:hAnsi="Times New Roman"/>
                <w:color w:val="000000"/>
                <w:sz w:val="18"/>
                <w:szCs w:val="18"/>
                <w:lang w:eastAsia="zh-CN"/>
              </w:rPr>
              <w:t>。污水处理站污泥暂存于现有污泥暂存间（病房楼南侧，20m</w:t>
            </w:r>
            <w:r>
              <w:rPr>
                <w:rFonts w:hint="eastAsia" w:ascii="Times New Roman" w:hAnsi="Times New Roman"/>
                <w:color w:val="000000"/>
                <w:sz w:val="18"/>
                <w:szCs w:val="18"/>
                <w:vertAlign w:val="superscript"/>
                <w:lang w:eastAsia="zh-CN"/>
              </w:rPr>
              <w:t>2</w:t>
            </w:r>
            <w:r>
              <w:rPr>
                <w:rFonts w:hint="eastAsia" w:ascii="Times New Roman" w:hAnsi="Times New Roman"/>
                <w:color w:val="000000"/>
                <w:sz w:val="18"/>
                <w:szCs w:val="18"/>
                <w:lang w:eastAsia="zh-CN"/>
              </w:rPr>
              <w:t>），定期就近交由有资质单位清运处</w:t>
            </w:r>
            <w:r>
              <w:rPr>
                <w:rFonts w:hint="eastAsia" w:ascii="Times New Roman" w:hAnsi="Times New Roman"/>
                <w:color w:val="000000"/>
                <w:sz w:val="18"/>
                <w:szCs w:val="18"/>
                <w:lang w:eastAsia="zh-CN"/>
              </w:rPr>
              <w:t>置。生活垃圾</w:t>
            </w:r>
            <w:r>
              <w:rPr>
                <w:rFonts w:hint="eastAsia" w:ascii="Times New Roman" w:hAnsi="Times New Roman"/>
                <w:color w:val="000000"/>
                <w:sz w:val="18"/>
                <w:szCs w:val="18"/>
                <w:lang w:val="en-US" w:eastAsia="zh-CN"/>
              </w:rPr>
              <w:t>经垃圾桶</w:t>
            </w:r>
            <w:r>
              <w:rPr>
                <w:rFonts w:hint="eastAsia" w:ascii="Times New Roman" w:hAnsi="Times New Roman"/>
                <w:color w:val="000000"/>
                <w:sz w:val="18"/>
                <w:szCs w:val="18"/>
                <w:lang w:eastAsia="zh-CN"/>
              </w:rPr>
              <w:t>收集后交由环卫部门统一收集处理。</w:t>
            </w:r>
            <w:r>
              <w:rPr>
                <w:rFonts w:hint="eastAsia" w:ascii="Times New Roman" w:hAnsi="Times New Roman"/>
                <w:color w:val="000000"/>
                <w:sz w:val="18"/>
                <w:szCs w:val="18"/>
              </w:rPr>
              <w:t>一般固体废物暂存应满足《一般工业固体废物贮存和填埋污染控制标准》（GB18599-2020）要求，危险废物暂存应满足《危险废物贮存污染控制标准》（GB18597-2023）要求。</w:t>
            </w:r>
          </w:p>
          <w:p w14:paraId="0F82EA2D">
            <w:pPr>
              <w:spacing w:line="620" w:lineRule="exact"/>
              <w:ind w:firstLine="360" w:firstLineChars="200"/>
              <w:jc w:val="left"/>
              <w:rPr>
                <w:rFonts w:ascii="Times New Roman" w:hAnsi="Times New Roman"/>
                <w:color w:val="000000"/>
                <w:sz w:val="18"/>
                <w:szCs w:val="18"/>
              </w:rPr>
            </w:pPr>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1"/>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126D0F3F"/>
    <w:rsid w:val="159D7523"/>
    <w:rsid w:val="23BC64AB"/>
    <w:rsid w:val="28B71175"/>
    <w:rsid w:val="29F8185A"/>
    <w:rsid w:val="2ADD44ED"/>
    <w:rsid w:val="2C0676F0"/>
    <w:rsid w:val="2DC302F1"/>
    <w:rsid w:val="2DC86D5C"/>
    <w:rsid w:val="31811015"/>
    <w:rsid w:val="383B30F1"/>
    <w:rsid w:val="3A25474B"/>
    <w:rsid w:val="3B0E64B4"/>
    <w:rsid w:val="3E6B2E9F"/>
    <w:rsid w:val="3FAE1904"/>
    <w:rsid w:val="44D13161"/>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5">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annotation text"/>
    <w:basedOn w:val="1"/>
    <w:qFormat/>
    <w:uiPriority w:val="0"/>
    <w:pPr>
      <w:jc w:val="left"/>
    </w:pPr>
    <w:rPr>
      <w:kern w:val="0"/>
      <w:sz w:val="24"/>
      <w:szCs w:val="20"/>
    </w:rPr>
  </w:style>
  <w:style w:type="paragraph" w:styleId="6">
    <w:name w:val="Body Text"/>
    <w:basedOn w:val="1"/>
    <w:next w:val="1"/>
    <w:qFormat/>
    <w:uiPriority w:val="0"/>
    <w:rPr>
      <w:b/>
      <w:bCs/>
      <w:sz w:val="24"/>
    </w:rPr>
  </w:style>
  <w:style w:type="paragraph" w:styleId="7">
    <w:name w:val="Body Text Indent"/>
    <w:basedOn w:val="1"/>
    <w:next w:val="1"/>
    <w:qFormat/>
    <w:uiPriority w:val="0"/>
    <w:pPr>
      <w:ind w:left="420" w:leftChars="200"/>
    </w:pPr>
  </w:style>
  <w:style w:type="paragraph" w:styleId="8">
    <w:name w:val="Block Text"/>
    <w:basedOn w:val="1"/>
    <w:next w:val="1"/>
    <w:qFormat/>
    <w:uiPriority w:val="0"/>
    <w:pPr>
      <w:spacing w:line="320" w:lineRule="exact"/>
      <w:ind w:left="113" w:right="113"/>
      <w:jc w:val="center"/>
    </w:pPr>
    <w:rPr>
      <w:b/>
      <w:sz w:val="13"/>
      <w:szCs w:val="15"/>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2"/>
    <w:basedOn w:val="7"/>
    <w:next w:val="1"/>
    <w:qFormat/>
    <w:uiPriority w:val="0"/>
    <w:pPr>
      <w:ind w:firstLine="200" w:firstLineChars="200"/>
    </w:pPr>
    <w:rPr>
      <w:szCs w:val="21"/>
    </w:rPr>
  </w:style>
  <w:style w:type="character" w:styleId="16">
    <w:name w:val="Strong"/>
    <w:basedOn w:val="15"/>
    <w:qFormat/>
    <w:uiPriority w:val="0"/>
    <w:rPr>
      <w:b/>
    </w:rPr>
  </w:style>
  <w:style w:type="character" w:styleId="17">
    <w:name w:val="annotation reference"/>
    <w:basedOn w:val="15"/>
    <w:qFormat/>
    <w:uiPriority w:val="0"/>
    <w:rPr>
      <w:sz w:val="21"/>
      <w:szCs w:val="21"/>
    </w:rPr>
  </w:style>
  <w:style w:type="paragraph" w:customStyle="1" w:styleId="18">
    <w:name w:val="Default"/>
    <w:basedOn w:val="19"/>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19">
    <w:name w:val="纯文本1"/>
    <w:basedOn w:val="1"/>
    <w:qFormat/>
    <w:uiPriority w:val="0"/>
    <w:pPr>
      <w:adjustRightInd w:val="0"/>
    </w:pPr>
    <w:rPr>
      <w:rFonts w:ascii="宋体" w:hAnsi="Courier New"/>
    </w:rPr>
  </w:style>
  <w:style w:type="character" w:customStyle="1" w:styleId="20">
    <w:name w:val="页眉 Char"/>
    <w:basedOn w:val="15"/>
    <w:link w:val="10"/>
    <w:qFormat/>
    <w:uiPriority w:val="0"/>
    <w:rPr>
      <w:rFonts w:asciiTheme="minorHAnsi" w:hAnsiTheme="minorHAnsi" w:eastAsiaTheme="minorEastAsia" w:cstheme="minorBidi"/>
      <w:kern w:val="2"/>
      <w:sz w:val="18"/>
      <w:szCs w:val="18"/>
    </w:rPr>
  </w:style>
  <w:style w:type="character" w:customStyle="1" w:styleId="21">
    <w:name w:val="页脚 Char"/>
    <w:basedOn w:val="15"/>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939</Words>
  <Characters>1066</Characters>
  <Lines>1</Lines>
  <Paragraphs>2</Paragraphs>
  <TotalTime>26</TotalTime>
  <ScaleCrop>false</ScaleCrop>
  <LinksUpToDate>false</LinksUpToDate>
  <CharactersWithSpaces>1080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小小的大人物</cp:lastModifiedBy>
  <dcterms:modified xsi:type="dcterms:W3CDTF">2025-04-10T09:27:05Z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eyJoZGlkIjoiYmEyZGYyMWJhNzliMThlM2ViYzM1NjRjNjNlMTZlNzAiLCJ1c2VySWQiOiI0MzE3NTg1ODUifQ==</vt:lpwstr>
  </property>
</Properties>
</file>