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A147">
      <w:pPr>
        <w:tabs>
          <w:tab w:val="left" w:pos="5760"/>
        </w:tabs>
        <w:spacing w:line="460" w:lineRule="exact"/>
        <w:rPr>
          <w:b/>
          <w:color w:val="000000"/>
          <w:sz w:val="32"/>
          <w:szCs w:val="32"/>
        </w:rPr>
      </w:pPr>
    </w:p>
    <w:p w14:paraId="3856D5F6">
      <w:pPr>
        <w:pStyle w:val="2"/>
        <w:spacing w:line="460" w:lineRule="exact"/>
        <w:rPr>
          <w:rFonts w:hint="default"/>
        </w:rPr>
      </w:pPr>
    </w:p>
    <w:p w14:paraId="04CFD2CB">
      <w:pPr>
        <w:spacing w:line="460" w:lineRule="exact"/>
        <w:jc w:val="center"/>
        <w:rPr>
          <w:b/>
          <w:color w:val="000000"/>
          <w:sz w:val="32"/>
          <w:szCs w:val="32"/>
        </w:rPr>
      </w:pPr>
    </w:p>
    <w:p w14:paraId="4EE580C1">
      <w:pPr>
        <w:spacing w:line="460" w:lineRule="exact"/>
        <w:rPr>
          <w:b/>
          <w:color w:val="000000"/>
          <w:sz w:val="32"/>
          <w:szCs w:val="32"/>
        </w:rPr>
      </w:pPr>
    </w:p>
    <w:p w14:paraId="55E9AA2C">
      <w:pPr>
        <w:spacing w:line="460" w:lineRule="exact"/>
        <w:rPr>
          <w:b/>
          <w:color w:val="000000"/>
          <w:sz w:val="32"/>
          <w:szCs w:val="32"/>
        </w:rPr>
      </w:pPr>
    </w:p>
    <w:p w14:paraId="3628ED16">
      <w:pPr>
        <w:spacing w:line="460" w:lineRule="exact"/>
        <w:jc w:val="center"/>
        <w:rPr>
          <w:rFonts w:eastAsia="仿宋_GB2312"/>
          <w:b/>
          <w:color w:val="000000"/>
          <w:sz w:val="32"/>
          <w:szCs w:val="32"/>
        </w:rPr>
      </w:pPr>
    </w:p>
    <w:p w14:paraId="056E47BF">
      <w:pPr>
        <w:pStyle w:val="2"/>
        <w:spacing w:line="460" w:lineRule="exact"/>
        <w:rPr>
          <w:rFonts w:hint="default" w:ascii="Times New Roman" w:hAnsi="Times New Roman"/>
        </w:rPr>
      </w:pPr>
    </w:p>
    <w:p w14:paraId="0BACE2F9">
      <w:pPr>
        <w:keepNext w:val="0"/>
        <w:keepLines w:val="0"/>
        <w:pageBreakBefore w:val="0"/>
        <w:widowControl w:val="0"/>
        <w:kinsoku/>
        <w:wordWrap/>
        <w:overflowPunct/>
        <w:topLinePunct w:val="0"/>
        <w:bidi w:val="0"/>
        <w:snapToGrid/>
        <w:spacing w:line="600" w:lineRule="exact"/>
        <w:textAlignment w:val="auto"/>
        <w:rPr>
          <w:color w:val="000000"/>
          <w:sz w:val="32"/>
          <w:szCs w:val="32"/>
        </w:rPr>
      </w:pPr>
    </w:p>
    <w:p w14:paraId="24BEF5FA">
      <w:pPr>
        <w:keepNext w:val="0"/>
        <w:keepLines w:val="0"/>
        <w:pageBreakBefore w:val="0"/>
        <w:widowControl w:val="0"/>
        <w:kinsoku/>
        <w:wordWrap/>
        <w:overflowPunct/>
        <w:topLinePunct w:val="0"/>
        <w:bidi w:val="0"/>
        <w:snapToGrid/>
        <w:spacing w:line="600" w:lineRule="exact"/>
        <w:jc w:val="center"/>
        <w:textAlignment w:val="auto"/>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5</w:t>
      </w:r>
      <w:r>
        <w:rPr>
          <w:rFonts w:eastAsia="仿宋_GB2312"/>
          <w:color w:val="000000"/>
          <w:sz w:val="32"/>
          <w:szCs w:val="32"/>
        </w:rPr>
        <w:t>〕</w:t>
      </w:r>
      <w:r>
        <w:rPr>
          <w:rFonts w:hint="eastAsia" w:eastAsia="仿宋_GB2312"/>
          <w:sz w:val="32"/>
          <w:szCs w:val="32"/>
        </w:rPr>
        <w:t>1</w:t>
      </w:r>
      <w:r>
        <w:rPr>
          <w:rFonts w:eastAsia="仿宋_GB2312"/>
          <w:color w:val="000000"/>
          <w:sz w:val="32"/>
          <w:szCs w:val="32"/>
        </w:rPr>
        <w:t>号</w:t>
      </w:r>
    </w:p>
    <w:p w14:paraId="3FF7F08B">
      <w:pPr>
        <w:keepNext w:val="0"/>
        <w:keepLines w:val="0"/>
        <w:pageBreakBefore w:val="0"/>
        <w:widowControl w:val="0"/>
        <w:kinsoku/>
        <w:wordWrap/>
        <w:overflowPunct/>
        <w:topLinePunct w:val="0"/>
        <w:bidi w:val="0"/>
        <w:snapToGrid/>
        <w:spacing w:line="600" w:lineRule="exact"/>
        <w:textAlignment w:val="auto"/>
        <w:rPr>
          <w:rFonts w:eastAsia="方正小标宋简体"/>
          <w:color w:val="000000"/>
          <w:sz w:val="32"/>
          <w:szCs w:val="32"/>
        </w:rPr>
      </w:pPr>
    </w:p>
    <w:p w14:paraId="72572F81">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32"/>
          <w:szCs w:val="32"/>
        </w:rPr>
      </w:pPr>
    </w:p>
    <w:p w14:paraId="0851F109">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安阳市生态环境局滑县分局</w:t>
      </w:r>
    </w:p>
    <w:p w14:paraId="04B7034B">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滑县同胜再生资源回收有限公司年回收销售100000吨废矿物油、废电瓶</w:t>
      </w:r>
      <w:r>
        <w:rPr>
          <w:rFonts w:eastAsia="方正小标宋简体"/>
          <w:color w:val="000000"/>
          <w:sz w:val="44"/>
          <w:szCs w:val="44"/>
        </w:rPr>
        <w:t>建设项目</w:t>
      </w:r>
    </w:p>
    <w:p w14:paraId="3B22175D">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环境影响报告表的批复</w:t>
      </w:r>
    </w:p>
    <w:p w14:paraId="51E57555">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44"/>
          <w:szCs w:val="44"/>
        </w:rPr>
      </w:pPr>
    </w:p>
    <w:p w14:paraId="40097317">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32"/>
          <w:szCs w:val="32"/>
        </w:rPr>
      </w:pPr>
    </w:p>
    <w:p w14:paraId="3471DE05">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hint="eastAsia" w:eastAsia="仿宋_GB2312"/>
          <w:color w:val="000000"/>
          <w:sz w:val="32"/>
          <w:szCs w:val="32"/>
        </w:rPr>
        <w:t>滑县同胜再生资源回收有限公司</w:t>
      </w:r>
      <w:r>
        <w:rPr>
          <w:rFonts w:eastAsia="仿宋_GB2312"/>
          <w:color w:val="000000"/>
          <w:sz w:val="32"/>
          <w:szCs w:val="32"/>
        </w:rPr>
        <w:t>：</w:t>
      </w:r>
    </w:p>
    <w:p w14:paraId="23EAE0D5">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sz w:val="32"/>
          <w:szCs w:val="32"/>
        </w:rPr>
      </w:pPr>
      <w:r>
        <w:rPr>
          <w:rFonts w:eastAsia="仿宋_GB2312"/>
          <w:color w:val="000000"/>
          <w:sz w:val="32"/>
          <w:szCs w:val="32"/>
        </w:rPr>
        <w:t>你公司（统一社会信用代码：9141052</w:t>
      </w:r>
      <w:r>
        <w:rPr>
          <w:rFonts w:hint="eastAsia" w:eastAsia="仿宋_GB2312"/>
          <w:color w:val="000000"/>
          <w:sz w:val="32"/>
          <w:szCs w:val="32"/>
        </w:rPr>
        <w:t>6</w:t>
      </w:r>
      <w:r>
        <w:rPr>
          <w:rFonts w:eastAsia="仿宋_GB2312"/>
          <w:color w:val="000000"/>
          <w:sz w:val="32"/>
          <w:szCs w:val="32"/>
        </w:rPr>
        <w:t>MA</w:t>
      </w:r>
      <w:r>
        <w:rPr>
          <w:rFonts w:hint="eastAsia" w:eastAsia="仿宋_GB2312"/>
          <w:color w:val="000000"/>
          <w:sz w:val="32"/>
          <w:szCs w:val="32"/>
        </w:rPr>
        <w:t>46BCKR0Y</w:t>
      </w:r>
      <w:r>
        <w:rPr>
          <w:rFonts w:eastAsia="仿宋_GB2312"/>
          <w:color w:val="000000"/>
          <w:sz w:val="32"/>
          <w:szCs w:val="32"/>
        </w:rPr>
        <w:t>）上报的由</w:t>
      </w:r>
      <w:r>
        <w:rPr>
          <w:rFonts w:hint="eastAsia" w:eastAsia="仿宋_GB2312"/>
          <w:color w:val="000000"/>
          <w:sz w:val="32"/>
          <w:szCs w:val="32"/>
        </w:rPr>
        <w:t>中南金尚环境工程</w:t>
      </w:r>
      <w:r>
        <w:rPr>
          <w:rFonts w:eastAsia="仿宋_GB2312"/>
          <w:color w:val="000000"/>
          <w:sz w:val="32"/>
          <w:szCs w:val="32"/>
        </w:rPr>
        <w:t>有限公司</w:t>
      </w:r>
      <w:r>
        <w:rPr>
          <w:rFonts w:hint="eastAsia" w:eastAsia="仿宋_GB2312"/>
          <w:color w:val="000000"/>
          <w:sz w:val="32"/>
          <w:szCs w:val="32"/>
        </w:rPr>
        <w:t>刘永良</w:t>
      </w:r>
      <w:r>
        <w:rPr>
          <w:rFonts w:eastAsia="仿宋_GB2312"/>
          <w:color w:val="000000"/>
          <w:sz w:val="32"/>
          <w:szCs w:val="32"/>
        </w:rPr>
        <w:t>（职业资格证书管理号：20</w:t>
      </w:r>
      <w:r>
        <w:rPr>
          <w:rFonts w:hint="eastAsia" w:eastAsia="仿宋_GB2312"/>
          <w:color w:val="000000"/>
          <w:sz w:val="32"/>
          <w:szCs w:val="32"/>
        </w:rPr>
        <w:t>230503541000000061</w:t>
      </w:r>
      <w:r>
        <w:rPr>
          <w:rFonts w:eastAsia="仿宋_GB2312"/>
          <w:color w:val="000000"/>
          <w:sz w:val="32"/>
          <w:szCs w:val="32"/>
        </w:rPr>
        <w:t>）主持编制完成的</w:t>
      </w:r>
      <w:r>
        <w:rPr>
          <w:rFonts w:eastAsia="仿宋_GB2312"/>
          <w:sz w:val="32"/>
          <w:szCs w:val="32"/>
        </w:rPr>
        <w:t>《</w:t>
      </w:r>
      <w:r>
        <w:rPr>
          <w:rFonts w:hint="eastAsia" w:eastAsia="仿宋_GB2312"/>
          <w:sz w:val="32"/>
          <w:szCs w:val="32"/>
        </w:rPr>
        <w:t>滑县同胜再生资源回收有限公司年回收销售100000吨废矿物油、废电瓶</w:t>
      </w:r>
      <w:r>
        <w:rPr>
          <w:rFonts w:eastAsia="仿宋_GB2312"/>
          <w:sz w:val="32"/>
          <w:szCs w:val="32"/>
        </w:rPr>
        <w:t>建设项目环境影响报告表》</w:t>
      </w:r>
      <w:r>
        <w:rPr>
          <w:rFonts w:eastAsia="仿宋_GB2312"/>
          <w:color w:val="000000"/>
          <w:sz w:val="32"/>
          <w:szCs w:val="32"/>
        </w:rPr>
        <w:t>（以下简称《报告表》）及相关材料已收悉。</w:t>
      </w:r>
      <w:r>
        <w:rPr>
          <w:rFonts w:eastAsia="仿宋_GB2312"/>
          <w:sz w:val="32"/>
          <w:szCs w:val="32"/>
        </w:rPr>
        <w:t>该项目位于</w:t>
      </w:r>
      <w:r>
        <w:rPr>
          <w:rFonts w:hint="eastAsia" w:eastAsia="仿宋_GB2312"/>
          <w:sz w:val="32"/>
          <w:szCs w:val="32"/>
        </w:rPr>
        <w:t>滑县老爷庙乡工业园</w:t>
      </w:r>
      <w:r>
        <w:rPr>
          <w:rFonts w:eastAsia="仿宋_GB2312"/>
          <w:sz w:val="32"/>
          <w:szCs w:val="32"/>
        </w:rPr>
        <w:t>，总投资</w:t>
      </w:r>
      <w:r>
        <w:rPr>
          <w:rFonts w:hint="eastAsia" w:eastAsia="仿宋_GB2312"/>
          <w:sz w:val="32"/>
          <w:szCs w:val="32"/>
        </w:rPr>
        <w:t>100</w:t>
      </w:r>
      <w:r>
        <w:rPr>
          <w:rFonts w:eastAsia="仿宋_GB2312"/>
          <w:sz w:val="32"/>
          <w:szCs w:val="32"/>
        </w:rPr>
        <w:t>万元，环保投资</w:t>
      </w:r>
      <w:r>
        <w:rPr>
          <w:rFonts w:hint="eastAsia" w:eastAsia="仿宋_GB2312"/>
          <w:sz w:val="32"/>
          <w:szCs w:val="32"/>
        </w:rPr>
        <w:t>15</w:t>
      </w:r>
      <w:r>
        <w:rPr>
          <w:rFonts w:eastAsia="仿宋_GB2312"/>
          <w:sz w:val="32"/>
          <w:szCs w:val="32"/>
        </w:rPr>
        <w:t>万元。</w:t>
      </w:r>
      <w:r>
        <w:rPr>
          <w:rFonts w:eastAsia="仿宋_GB2312"/>
          <w:color w:val="000000"/>
          <w:sz w:val="32"/>
          <w:szCs w:val="32"/>
        </w:rPr>
        <w:t>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3B558F84">
      <w:pPr>
        <w:keepNext w:val="0"/>
        <w:keepLines w:val="0"/>
        <w:pageBreakBefore w:val="0"/>
        <w:widowControl w:val="0"/>
        <w:kinsoku/>
        <w:wordWrap/>
        <w:overflowPunct/>
        <w:topLinePunct w:val="0"/>
        <w:bidi w:val="0"/>
        <w:snapToGrid/>
        <w:spacing w:line="600" w:lineRule="exact"/>
        <w:ind w:firstLine="645"/>
        <w:textAlignment w:val="auto"/>
        <w:rPr>
          <w:rFonts w:eastAsia="仿宋_GB2312"/>
          <w:color w:val="000000"/>
          <w:sz w:val="32"/>
          <w:szCs w:val="32"/>
        </w:rPr>
      </w:pPr>
      <w:r>
        <w:rPr>
          <w:rFonts w:eastAsia="仿宋_GB2312"/>
          <w:snapToGrid w:val="0"/>
          <w:color w:val="000000"/>
          <w:sz w:val="32"/>
          <w:szCs w:val="32"/>
        </w:rPr>
        <w:t>一、《报告表》内容符合国家有关法律法规要求和建设项目环境管理规定，评价结论可信</w:t>
      </w:r>
      <w:r>
        <w:rPr>
          <w:rFonts w:eastAsia="仿宋_GB2312"/>
          <w:color w:val="000000"/>
          <w:sz w:val="32"/>
          <w:szCs w:val="32"/>
        </w:rPr>
        <w:t>，同意批准该《报告表》。你单位应按照《报告表》所列项目的性质、规模、地点、采用的生产工艺和环境保护对策进行项目建设。</w:t>
      </w:r>
    </w:p>
    <w:p w14:paraId="5F3A471C">
      <w:pPr>
        <w:keepNext w:val="0"/>
        <w:keepLines w:val="0"/>
        <w:pageBreakBefore w:val="0"/>
        <w:widowControl w:val="0"/>
        <w:kinsoku/>
        <w:wordWrap/>
        <w:overflowPunct/>
        <w:topLinePunct w:val="0"/>
        <w:bidi w:val="0"/>
        <w:snapToGrid/>
        <w:spacing w:line="600" w:lineRule="exact"/>
        <w:ind w:firstLine="645"/>
        <w:textAlignment w:val="auto"/>
        <w:rPr>
          <w:rFonts w:eastAsia="仿宋_GB2312"/>
          <w:color w:val="000000"/>
          <w:sz w:val="32"/>
          <w:szCs w:val="32"/>
        </w:rPr>
      </w:pPr>
      <w:r>
        <w:rPr>
          <w:rFonts w:eastAsia="仿宋_GB2312"/>
          <w:color w:val="000000"/>
          <w:sz w:val="32"/>
          <w:szCs w:val="32"/>
        </w:rPr>
        <w:t>二、你单位应向社会公众主动公开经批准的《报告表》，并接受相关方的咨询。</w:t>
      </w:r>
    </w:p>
    <w:p w14:paraId="49062CB1">
      <w:pPr>
        <w:keepNext w:val="0"/>
        <w:keepLines w:val="0"/>
        <w:pageBreakBefore w:val="0"/>
        <w:widowControl w:val="0"/>
        <w:kinsoku/>
        <w:wordWrap/>
        <w:overflowPunct/>
        <w:topLinePunct w:val="0"/>
        <w:bidi w:val="0"/>
        <w:snapToGrid/>
        <w:spacing w:line="600" w:lineRule="exact"/>
        <w:ind w:firstLine="645"/>
        <w:textAlignment w:val="auto"/>
        <w:rPr>
          <w:rFonts w:eastAsia="仿宋_GB2312"/>
          <w:color w:val="000000"/>
          <w:sz w:val="32"/>
          <w:szCs w:val="32"/>
        </w:rPr>
      </w:pPr>
      <w:r>
        <w:rPr>
          <w:rFonts w:eastAsia="仿宋_GB2312"/>
          <w:color w:val="000000"/>
          <w:sz w:val="32"/>
          <w:szCs w:val="32"/>
        </w:rPr>
        <w:t>三、你单位应全面落实《报告表》提出的各项环境保护措施，确保各项环境保护设施与主体工程同时设计、同时施工、同时投入使用，确保各项污染物达标排放。</w:t>
      </w:r>
    </w:p>
    <w:p w14:paraId="7CC05E74">
      <w:pPr>
        <w:keepNext w:val="0"/>
        <w:keepLines w:val="0"/>
        <w:pageBreakBefore w:val="0"/>
        <w:widowControl w:val="0"/>
        <w:kinsoku/>
        <w:wordWrap/>
        <w:overflowPunct/>
        <w:topLinePunct w:val="0"/>
        <w:bidi w:val="0"/>
        <w:snapToGrid/>
        <w:spacing w:line="600" w:lineRule="exact"/>
        <w:ind w:firstLine="645"/>
        <w:textAlignment w:val="auto"/>
        <w:rPr>
          <w:rFonts w:eastAsia="仿宋_GB2312"/>
          <w:color w:val="000000"/>
          <w:sz w:val="32"/>
          <w:szCs w:val="32"/>
        </w:rPr>
      </w:pPr>
      <w:r>
        <w:rPr>
          <w:rFonts w:eastAsia="仿宋_GB2312"/>
          <w:color w:val="000000"/>
          <w:sz w:val="32"/>
          <w:szCs w:val="32"/>
        </w:rPr>
        <w:t>（一）向设计单位提供《报告表》和本批复文件，确保项目设计按照环境保护规范要求，落实防治环境污染和环保设施投资概算。</w:t>
      </w:r>
    </w:p>
    <w:p w14:paraId="64E48874">
      <w:pPr>
        <w:keepNext w:val="0"/>
        <w:keepLines w:val="0"/>
        <w:pageBreakBefore w:val="0"/>
        <w:widowControl w:val="0"/>
        <w:kinsoku/>
        <w:wordWrap/>
        <w:overflowPunct/>
        <w:topLinePunct w:val="0"/>
        <w:bidi w:val="0"/>
        <w:snapToGrid/>
        <w:spacing w:line="600" w:lineRule="exact"/>
        <w:ind w:firstLine="645"/>
        <w:textAlignment w:val="auto"/>
        <w:rPr>
          <w:rFonts w:eastAsia="仿宋_GB2312"/>
          <w:color w:val="000000"/>
          <w:sz w:val="32"/>
          <w:szCs w:val="32"/>
        </w:rPr>
      </w:pPr>
      <w:r>
        <w:rPr>
          <w:rFonts w:eastAsia="仿宋_GB2312"/>
          <w:color w:val="000000"/>
          <w:sz w:val="32"/>
          <w:szCs w:val="32"/>
        </w:rPr>
        <w:t>（二）依据《报告表》和本批复文件，对项目运营过程中产生的废气、废水、噪声、固体废物等污染，采取相应的防治措施。</w:t>
      </w:r>
    </w:p>
    <w:p w14:paraId="4ECEB8F0">
      <w:pPr>
        <w:keepNext w:val="0"/>
        <w:keepLines w:val="0"/>
        <w:pageBreakBefore w:val="0"/>
        <w:widowControl w:val="0"/>
        <w:kinsoku/>
        <w:wordWrap/>
        <w:overflowPunct/>
        <w:topLinePunct w:val="0"/>
        <w:bidi w:val="0"/>
        <w:snapToGrid/>
        <w:spacing w:line="600" w:lineRule="exact"/>
        <w:ind w:firstLine="645"/>
        <w:textAlignment w:val="auto"/>
        <w:rPr>
          <w:rFonts w:eastAsia="仿宋_GB2312"/>
          <w:color w:val="000000"/>
          <w:sz w:val="32"/>
          <w:szCs w:val="32"/>
        </w:rPr>
      </w:pPr>
      <w:r>
        <w:rPr>
          <w:rFonts w:eastAsia="仿宋_GB2312"/>
          <w:color w:val="000000"/>
          <w:sz w:val="32"/>
          <w:szCs w:val="32"/>
        </w:rPr>
        <w:t>（三）项目外排污染物应满足以下要求：</w:t>
      </w:r>
    </w:p>
    <w:p w14:paraId="00C9DA4A">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color w:val="000000"/>
          <w:sz w:val="32"/>
          <w:szCs w:val="32"/>
        </w:rPr>
      </w:pPr>
      <w:r>
        <w:rPr>
          <w:rFonts w:eastAsia="仿宋_GB2312"/>
          <w:color w:val="000000"/>
          <w:sz w:val="32"/>
          <w:szCs w:val="32"/>
        </w:rPr>
        <w:t>1. 废气：</w:t>
      </w:r>
      <w:r>
        <w:rPr>
          <w:rFonts w:hint="eastAsia" w:eastAsia="仿宋_GB2312"/>
          <w:sz w:val="32"/>
          <w:szCs w:val="32"/>
        </w:rPr>
        <w:t>破损电池产生的硫酸雾通过负压收集后经碱液喷淋装置处理后由1根15m高排气筒排放，废矿物油贮存过程产生的废气通过负压收集经UV光氧催化+活性炭吸附处理后由1根15m高排气筒排放，废气排放须满足《大气污染物综合排放标准》（GB16297-1996）表2标准要求，</w:t>
      </w:r>
      <w:r>
        <w:rPr>
          <w:rFonts w:eastAsia="仿宋_GB2312"/>
          <w:sz w:val="32"/>
          <w:szCs w:val="32"/>
        </w:rPr>
        <w:t>《挥发性有机物无组织排放控制标准》（GB37822-2019）限值要求及《关于全省开展工业企业挥发性有机物专项治理工作中排放建议值的通知》（豫环攻坚办〔2017〕162号）要求。</w:t>
      </w:r>
    </w:p>
    <w:p w14:paraId="5DC567DC">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bCs/>
          <w:color w:val="000000"/>
          <w:sz w:val="32"/>
          <w:szCs w:val="32"/>
        </w:rPr>
      </w:pPr>
      <w:r>
        <w:rPr>
          <w:rFonts w:eastAsia="仿宋_GB2312"/>
          <w:bCs/>
          <w:color w:val="000000"/>
          <w:sz w:val="32"/>
          <w:szCs w:val="32"/>
        </w:rPr>
        <w:t>2. 废水：生活废水</w:t>
      </w:r>
      <w:r>
        <w:rPr>
          <w:rFonts w:hint="eastAsia" w:eastAsia="仿宋_GB2312"/>
          <w:bCs/>
          <w:color w:val="000000"/>
          <w:sz w:val="32"/>
          <w:szCs w:val="32"/>
        </w:rPr>
        <w:t>依托现有</w:t>
      </w:r>
      <w:r>
        <w:rPr>
          <w:rFonts w:eastAsia="仿宋_GB2312"/>
          <w:bCs/>
          <w:color w:val="000000"/>
          <w:sz w:val="32"/>
          <w:szCs w:val="32"/>
        </w:rPr>
        <w:t>化粪池（</w:t>
      </w:r>
      <w:r>
        <w:rPr>
          <w:rFonts w:hint="eastAsia" w:eastAsia="仿宋_GB2312"/>
          <w:bCs/>
          <w:color w:val="000000"/>
          <w:sz w:val="32"/>
          <w:szCs w:val="32"/>
        </w:rPr>
        <w:t>10</w:t>
      </w:r>
      <w:r>
        <w:rPr>
          <w:rFonts w:eastAsia="仿宋_GB2312"/>
          <w:bCs/>
          <w:color w:val="000000"/>
          <w:sz w:val="32"/>
          <w:szCs w:val="32"/>
        </w:rPr>
        <w:t>m³）处理后由建设单位定期清掏用于肥田。</w:t>
      </w:r>
    </w:p>
    <w:p w14:paraId="5B2B55BC">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bCs/>
          <w:color w:val="000000"/>
          <w:sz w:val="32"/>
          <w:szCs w:val="32"/>
        </w:rPr>
      </w:pPr>
      <w:r>
        <w:rPr>
          <w:rFonts w:eastAsia="仿宋_GB2312"/>
          <w:color w:val="000000"/>
          <w:sz w:val="32"/>
          <w:szCs w:val="32"/>
        </w:rPr>
        <w:t>3. 噪声：经</w:t>
      </w:r>
      <w:r>
        <w:rPr>
          <w:rFonts w:eastAsia="仿宋_GB2312"/>
          <w:bCs/>
          <w:color w:val="000000"/>
          <w:sz w:val="32"/>
          <w:szCs w:val="32"/>
        </w:rPr>
        <w:t>采取基础减振</w:t>
      </w:r>
      <w:r>
        <w:rPr>
          <w:rFonts w:hint="eastAsia" w:eastAsia="仿宋_GB2312"/>
          <w:bCs/>
          <w:color w:val="000000"/>
          <w:sz w:val="32"/>
          <w:szCs w:val="32"/>
        </w:rPr>
        <w:t>、</w:t>
      </w:r>
      <w:r>
        <w:rPr>
          <w:rFonts w:eastAsia="仿宋_GB2312"/>
          <w:bCs/>
          <w:color w:val="000000"/>
          <w:sz w:val="32"/>
          <w:szCs w:val="32"/>
        </w:rPr>
        <w:t>厂房隔声</w:t>
      </w:r>
      <w:r>
        <w:rPr>
          <w:rFonts w:hint="eastAsia" w:eastAsia="仿宋_GB2312"/>
          <w:bCs/>
          <w:color w:val="000000"/>
          <w:sz w:val="32"/>
          <w:szCs w:val="32"/>
        </w:rPr>
        <w:t>、</w:t>
      </w:r>
      <w:r>
        <w:rPr>
          <w:rFonts w:eastAsia="仿宋_GB2312"/>
          <w:bCs/>
          <w:color w:val="000000"/>
          <w:sz w:val="32"/>
          <w:szCs w:val="32"/>
        </w:rPr>
        <w:t>距离衰减等措施后，厂界噪声排放须满足《工业企业厂界环境噪声排放标准》（GB12348-2008）2类标准限值。</w:t>
      </w:r>
    </w:p>
    <w:p w14:paraId="3CD68CCA">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color w:val="000000"/>
          <w:sz w:val="32"/>
          <w:szCs w:val="32"/>
        </w:rPr>
      </w:pPr>
      <w:r>
        <w:rPr>
          <w:rFonts w:eastAsia="仿宋_GB2312"/>
          <w:color w:val="000000"/>
          <w:sz w:val="32"/>
          <w:szCs w:val="32"/>
        </w:rPr>
        <w:t>4. 固体废物：</w:t>
      </w:r>
      <w:r>
        <w:rPr>
          <w:rFonts w:hint="eastAsia" w:eastAsia="仿宋_GB2312"/>
          <w:color w:val="000000"/>
          <w:sz w:val="32"/>
          <w:szCs w:val="32"/>
        </w:rPr>
        <w:t>废电解液、酸雾吸收装置废液、石灰中和渣及废劳保用品</w:t>
      </w:r>
      <w:r>
        <w:rPr>
          <w:rFonts w:eastAsia="仿宋_GB2312"/>
          <w:color w:val="000000"/>
          <w:sz w:val="32"/>
          <w:szCs w:val="32"/>
        </w:rPr>
        <w:t>暂存于10</w:t>
      </w:r>
      <w:r>
        <w:rPr>
          <w:rFonts w:eastAsia="仿宋_GB2312"/>
          <w:bCs/>
          <w:color w:val="000000"/>
          <w:sz w:val="32"/>
          <w:szCs w:val="32"/>
        </w:rPr>
        <w:t xml:space="preserve"> m</w:t>
      </w:r>
      <w:r>
        <w:rPr>
          <w:rFonts w:hint="eastAsia" w:eastAsia="仿宋_GB2312"/>
          <w:bCs/>
          <w:color w:val="000000"/>
          <w:sz w:val="32"/>
          <w:szCs w:val="32"/>
          <w:vertAlign w:val="superscript"/>
        </w:rPr>
        <w:t>2</w:t>
      </w:r>
      <w:r>
        <w:rPr>
          <w:rFonts w:eastAsia="仿宋_GB2312"/>
          <w:color w:val="000000"/>
          <w:sz w:val="32"/>
          <w:szCs w:val="32"/>
        </w:rPr>
        <w:t>危险废物暂存间，定期交由有资质单位处置；废活性炭</w:t>
      </w:r>
      <w:r>
        <w:rPr>
          <w:rFonts w:hint="eastAsia" w:eastAsia="仿宋_GB2312"/>
          <w:color w:val="000000"/>
          <w:sz w:val="32"/>
          <w:szCs w:val="32"/>
        </w:rPr>
        <w:t>、废UV灯管、废催化剂依托</w:t>
      </w:r>
      <w:r>
        <w:rPr>
          <w:rFonts w:eastAsia="仿宋_GB2312"/>
          <w:color w:val="000000"/>
          <w:sz w:val="32"/>
          <w:szCs w:val="32"/>
        </w:rPr>
        <w:t>于</w:t>
      </w:r>
      <w:r>
        <w:rPr>
          <w:rFonts w:hint="eastAsia" w:eastAsia="仿宋_GB2312"/>
          <w:color w:val="000000"/>
          <w:sz w:val="32"/>
          <w:szCs w:val="32"/>
        </w:rPr>
        <w:t>众信</w:t>
      </w:r>
      <w:r>
        <w:rPr>
          <w:rFonts w:eastAsia="仿宋_GB2312"/>
          <w:color w:val="000000"/>
          <w:sz w:val="32"/>
          <w:szCs w:val="32"/>
        </w:rPr>
        <w:t>危险废物暂存间</w:t>
      </w:r>
      <w:r>
        <w:rPr>
          <w:rFonts w:hint="eastAsia" w:eastAsia="仿宋_GB2312"/>
          <w:color w:val="000000"/>
          <w:sz w:val="32"/>
          <w:szCs w:val="32"/>
        </w:rPr>
        <w:t>，</w:t>
      </w:r>
      <w:r>
        <w:rPr>
          <w:rFonts w:eastAsia="仿宋_GB2312"/>
          <w:color w:val="000000"/>
          <w:sz w:val="32"/>
          <w:szCs w:val="32"/>
        </w:rPr>
        <w:t>定期交由有资质单位处置</w:t>
      </w:r>
      <w:r>
        <w:rPr>
          <w:rFonts w:hint="eastAsia" w:eastAsia="仿宋_GB2312"/>
          <w:color w:val="000000"/>
          <w:sz w:val="32"/>
          <w:szCs w:val="32"/>
        </w:rPr>
        <w:t>；</w:t>
      </w:r>
      <w:r>
        <w:rPr>
          <w:rFonts w:eastAsia="仿宋_GB2312"/>
          <w:color w:val="000000"/>
          <w:sz w:val="32"/>
          <w:szCs w:val="32"/>
        </w:rPr>
        <w:t>生活垃圾经垃圾桶收集后，交环卫部门统一处理。一般固体废物暂存应满足《一般工业固体废物贮存和填埋污染控制标准》（GB18599 -2020）要求，危险废物暂存应满足《危险废物贮存污染控制标准》（GB18597-2023）要求。</w:t>
      </w:r>
    </w:p>
    <w:p w14:paraId="7C25D430">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color w:val="000000"/>
          <w:sz w:val="32"/>
          <w:szCs w:val="32"/>
        </w:rPr>
      </w:pPr>
      <w:r>
        <w:rPr>
          <w:rFonts w:eastAsia="仿宋_GB2312"/>
          <w:bCs/>
          <w:color w:val="000000"/>
          <w:sz w:val="32"/>
          <w:szCs w:val="32"/>
        </w:rPr>
        <w:t>（四）</w:t>
      </w:r>
      <w:r>
        <w:rPr>
          <w:rFonts w:eastAsia="仿宋_GB2312"/>
          <w:color w:val="000000"/>
          <w:sz w:val="32"/>
          <w:szCs w:val="32"/>
        </w:rPr>
        <w:t>本项目建成后主要污染物排放总量控制指标为：VOCs0.2</w:t>
      </w:r>
      <w:r>
        <w:rPr>
          <w:rFonts w:hint="eastAsia" w:eastAsia="仿宋_GB2312"/>
          <w:color w:val="000000"/>
          <w:sz w:val="32"/>
          <w:szCs w:val="32"/>
        </w:rPr>
        <w:t>678</w:t>
      </w:r>
      <w:r>
        <w:rPr>
          <w:rFonts w:eastAsia="仿宋_GB2312"/>
          <w:color w:val="000000"/>
          <w:sz w:val="32"/>
          <w:szCs w:val="32"/>
        </w:rPr>
        <w:t>吨/年。VOCs从</w:t>
      </w:r>
      <w:r>
        <w:rPr>
          <w:rFonts w:hint="eastAsia" w:eastAsia="仿宋_GB2312"/>
          <w:color w:val="000000"/>
          <w:sz w:val="32"/>
          <w:szCs w:val="32"/>
        </w:rPr>
        <w:t>安阳盈德气体有限公司</w:t>
      </w:r>
      <w:r>
        <w:rPr>
          <w:rFonts w:eastAsia="仿宋_GB2312"/>
          <w:color w:val="000000"/>
          <w:sz w:val="32"/>
          <w:szCs w:val="32"/>
        </w:rPr>
        <w:t>减排量中倍量替代。</w:t>
      </w:r>
    </w:p>
    <w:p w14:paraId="21689E0C">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color w:val="000000"/>
          <w:sz w:val="32"/>
          <w:szCs w:val="32"/>
        </w:rPr>
      </w:pPr>
      <w:r>
        <w:rPr>
          <w:rFonts w:eastAsia="仿宋_GB2312"/>
          <w:color w:val="000000"/>
          <w:sz w:val="32"/>
          <w:szCs w:val="32"/>
        </w:rPr>
        <w:t>四、在项目发生实际排污行为前，按照经批准的环境影响评价文件认真梳理并确认各项环境保护措施落实后，依法办理排污许可手续。</w:t>
      </w:r>
    </w:p>
    <w:p w14:paraId="11AAF751">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color w:val="000000"/>
          <w:sz w:val="32"/>
          <w:szCs w:val="32"/>
        </w:rPr>
      </w:pPr>
      <w:r>
        <w:rPr>
          <w:rFonts w:eastAsia="仿宋_GB2312"/>
          <w:color w:val="000000"/>
          <w:sz w:val="32"/>
          <w:szCs w:val="32"/>
        </w:rPr>
        <w:t>五、项目建设必须严格执行配套的环境保护设施与主体工程同时设计、同时施工、同时投产使用的“三同时”制度，并按规定程序开展竣工环境保护验收。</w:t>
      </w:r>
    </w:p>
    <w:p w14:paraId="67A3DE55">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color w:val="000000"/>
          <w:sz w:val="32"/>
          <w:szCs w:val="32"/>
        </w:rPr>
      </w:pPr>
      <w:r>
        <w:rPr>
          <w:rFonts w:eastAsia="仿宋_GB2312"/>
          <w:color w:val="000000"/>
          <w:sz w:val="32"/>
          <w:szCs w:val="32"/>
        </w:rPr>
        <w:t>六、环境影响报告表经批准后，项目的性质、规模、地点、生产工艺和环境保护措施发生重大变动的，应当依法重新报批项目环境影响评价手续。</w:t>
      </w:r>
    </w:p>
    <w:p w14:paraId="6D41FB05">
      <w:pPr>
        <w:keepNext w:val="0"/>
        <w:keepLines w:val="0"/>
        <w:pageBreakBefore w:val="0"/>
        <w:widowControl w:val="0"/>
        <w:kinsoku/>
        <w:wordWrap/>
        <w:overflowPunct/>
        <w:topLinePunct w:val="0"/>
        <w:bidi w:val="0"/>
        <w:snapToGrid/>
        <w:spacing w:line="600" w:lineRule="exact"/>
        <w:ind w:firstLine="640" w:firstLineChars="200"/>
        <w:textAlignment w:val="auto"/>
        <w:rPr>
          <w:rFonts w:eastAsia="仿宋_GB2312"/>
          <w:color w:val="000000"/>
          <w:sz w:val="32"/>
          <w:szCs w:val="32"/>
        </w:rPr>
      </w:pPr>
      <w:r>
        <w:rPr>
          <w:rFonts w:eastAsia="仿宋_GB2312"/>
          <w:color w:val="000000"/>
          <w:sz w:val="32"/>
          <w:szCs w:val="32"/>
        </w:rPr>
        <w:t>七、如果今后国家或我省颁布新标准或对治污设施有新要求，你单位应按新标准、新要求执行。</w:t>
      </w:r>
    </w:p>
    <w:p w14:paraId="4A6E9762">
      <w:pPr>
        <w:spacing w:line="620" w:lineRule="exact"/>
        <w:ind w:firstLine="640" w:firstLineChars="200"/>
        <w:rPr>
          <w:rFonts w:hint="eastAsia" w:eastAsia="方正仿宋_GB2312"/>
          <w:color w:val="000000"/>
          <w:sz w:val="32"/>
          <w:szCs w:val="32"/>
        </w:rPr>
      </w:pPr>
      <w:r>
        <w:rPr>
          <w:rFonts w:hint="eastAsia" w:eastAsia="方正仿宋_GB2312"/>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4ABCBEEB">
      <w:pPr>
        <w:spacing w:line="620" w:lineRule="exact"/>
        <w:ind w:firstLine="640" w:firstLineChars="200"/>
        <w:rPr>
          <w:rFonts w:eastAsia="方正仿宋_GB2312"/>
          <w:color w:val="000000"/>
          <w:sz w:val="32"/>
          <w:szCs w:val="32"/>
        </w:rPr>
      </w:pPr>
      <w:r>
        <w:rPr>
          <w:rFonts w:hint="eastAsia" w:eastAsia="方正仿宋_GB2312"/>
          <w:color w:val="000000"/>
          <w:sz w:val="32"/>
          <w:szCs w:val="32"/>
        </w:rPr>
        <w:t>  联系地址：安阳市人民政府</w:t>
      </w:r>
    </w:p>
    <w:p w14:paraId="30620573">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57E4BB1C">
      <w:pPr>
        <w:keepNext w:val="0"/>
        <w:keepLines w:val="0"/>
        <w:pageBreakBefore w:val="0"/>
        <w:widowControl w:val="0"/>
        <w:kinsoku/>
        <w:wordWrap/>
        <w:overflowPunct/>
        <w:topLinePunct w:val="0"/>
        <w:bidi w:val="0"/>
        <w:snapToGrid/>
        <w:spacing w:line="600" w:lineRule="exact"/>
        <w:ind w:firstLine="5440" w:firstLineChars="1700"/>
        <w:textAlignment w:val="auto"/>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rPr>
        <w:t>1</w:t>
      </w:r>
      <w:r>
        <w:rPr>
          <w:rFonts w:eastAsia="仿宋_GB2312"/>
          <w:color w:val="000000"/>
          <w:sz w:val="32"/>
          <w:szCs w:val="32"/>
        </w:rPr>
        <w:t>月</w:t>
      </w:r>
      <w:r>
        <w:rPr>
          <w:rFonts w:hint="eastAsia" w:eastAsia="仿宋_GB2312"/>
          <w:color w:val="000000"/>
          <w:sz w:val="32"/>
          <w:szCs w:val="32"/>
        </w:rPr>
        <w:t>6</w:t>
      </w:r>
      <w:r>
        <w:rPr>
          <w:rFonts w:eastAsia="仿宋_GB2312"/>
          <w:color w:val="000000"/>
          <w:sz w:val="32"/>
          <w:szCs w:val="32"/>
        </w:rPr>
        <w:t>日</w:t>
      </w:r>
    </w:p>
    <w:p w14:paraId="5F27455E">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p>
    <w:p w14:paraId="7ECFF7EF">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bookmarkStart w:id="0" w:name="_GoBack"/>
      <w:bookmarkEnd w:id="0"/>
    </w:p>
    <w:p w14:paraId="2357EA8D">
      <w:pPr>
        <w:pStyle w:val="2"/>
      </w:pPr>
    </w:p>
    <w:p w14:paraId="2807D82C">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w:pict>
          <v:line id="Line 12" o:spid="_x0000_s1026" o:spt="20" style="position:absolute;left:0pt;margin-left:-3.75pt;margin-top:4.7pt;height:0pt;width:450pt;z-index:251661312;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eastAsia="仿宋_GB2312"/>
          <w:color w:val="000000"/>
          <w:sz w:val="32"/>
          <w:szCs w:val="32"/>
        </w:rPr>
        <w:t>主办：环境影响评价科               督办：环境影响评价科</w:t>
      </w:r>
    </w:p>
    <w:p w14:paraId="7BCC3153">
      <w:pPr>
        <w:keepNext w:val="0"/>
        <w:keepLines w:val="0"/>
        <w:pageBreakBefore w:val="0"/>
        <w:widowControl w:val="0"/>
        <w:kinsoku/>
        <w:wordWrap/>
        <w:overflowPunct/>
        <w:topLinePunct w:val="0"/>
        <w:bidi w:val="0"/>
        <w:snapToGrid/>
        <w:spacing w:line="600" w:lineRule="exact"/>
        <w:ind w:left="908" w:hanging="912" w:hangingChars="300"/>
        <w:textAlignment w:val="auto"/>
        <w:rPr>
          <w:rFonts w:eastAsia="仿宋_GB2312"/>
          <w:color w:val="000000"/>
          <w:w w:val="92"/>
          <w:sz w:val="32"/>
          <w:szCs w:val="32"/>
        </w:rPr>
      </w:pPr>
      <w:r>
        <w:rPr>
          <w:rFonts w:eastAsia="仿宋_GB2312"/>
          <w:color w:val="000000"/>
          <w:w w:val="95"/>
          <w:sz w:val="32"/>
          <w:szCs w:val="32"/>
        </w:rPr>
        <w:pict>
          <v:shape id="自选图形 3" o:spid="_x0000_s1030" o:spt="32" type="#_x0000_t32" style="position:absolute;left:0pt;margin-left:-3.75pt;margin-top:3.8pt;height:0pt;width:450pt;z-index:251663360;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eastAsia="仿宋_GB2312"/>
          <w:color w:val="000000"/>
          <w:w w:val="95"/>
          <w:sz w:val="32"/>
          <w:szCs w:val="32"/>
        </w:rPr>
        <w:t>抄送：</w:t>
      </w:r>
      <w:r>
        <w:rPr>
          <w:rFonts w:eastAsia="仿宋_GB2312"/>
          <w:color w:val="000000"/>
          <w:w w:val="92"/>
          <w:sz w:val="32"/>
          <w:szCs w:val="32"/>
        </w:rPr>
        <w:t>滑县环境监察大队、</w:t>
      </w:r>
      <w:r>
        <w:rPr>
          <w:rFonts w:hint="eastAsia" w:eastAsia="仿宋_GB2312"/>
          <w:color w:val="000000"/>
          <w:w w:val="92"/>
          <w:sz w:val="32"/>
          <w:szCs w:val="32"/>
        </w:rPr>
        <w:t>老爷庙乡</w:t>
      </w:r>
      <w:r>
        <w:rPr>
          <w:rFonts w:eastAsia="仿宋_GB2312"/>
          <w:color w:val="000000"/>
          <w:w w:val="92"/>
          <w:sz w:val="32"/>
          <w:szCs w:val="32"/>
        </w:rPr>
        <w:t>环保所。</w:t>
      </w:r>
    </w:p>
    <w:p w14:paraId="588BF295">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w:pict>
          <v:line id="Line 13" o:spid="_x0000_s1029" o:spt="20" style="position:absolute;left:0pt;margin-left:-2.6pt;margin-top:34.2pt;height:0pt;width:450pt;z-index:251662336;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eastAsia="仿宋_GB2312"/>
          <w:color w:val="000000"/>
          <w:sz w:val="32"/>
          <w:szCs w:val="32"/>
        </w:rPr>
        <w:t xml:space="preserve">安阳市生态环境局滑县分局办公室 </w:t>
      </w:r>
      <w:r>
        <w:rPr>
          <w:rFonts w:eastAsia="仿宋_GB2312"/>
          <w:color w:val="000000"/>
          <w:sz w:val="32"/>
          <w:szCs w:val="32"/>
        </w:rPr>
        <w:pict>
          <v:line id="Line 11" o:spid="_x0000_s1028" o:spt="20" style="position:absolute;left:0pt;margin-left:-4pt;margin-top:4pt;height:0pt;width:450pt;z-index:251660288;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eastAsia="仿宋_GB2312"/>
          <w:color w:val="000000"/>
          <w:sz w:val="32"/>
          <w:szCs w:val="32"/>
        </w:rPr>
        <w:pict>
          <v:line id="Line 10" o:spid="_x0000_s1027"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rPr>
        <w:t>1</w:t>
      </w:r>
      <w:r>
        <w:rPr>
          <w:rFonts w:eastAsia="仿宋_GB2312"/>
          <w:color w:val="000000"/>
          <w:sz w:val="32"/>
          <w:szCs w:val="32"/>
        </w:rPr>
        <w:t>月</w:t>
      </w:r>
      <w:r>
        <w:rPr>
          <w:rFonts w:hint="eastAsia" w:eastAsia="仿宋_GB2312"/>
          <w:color w:val="000000"/>
          <w:sz w:val="32"/>
          <w:szCs w:val="32"/>
        </w:rPr>
        <w:t>6</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1881665-D953-4214-9DD4-60DEA35E9CC1}"/>
  </w:font>
  <w:font w:name="方正小标宋简体">
    <w:panose1 w:val="02000000000000000000"/>
    <w:charset w:val="86"/>
    <w:family w:val="script"/>
    <w:pitch w:val="default"/>
    <w:sig w:usb0="00000001" w:usb1="08000000" w:usb2="00000000" w:usb3="00000000" w:csb0="00040000" w:csb1="00000000"/>
    <w:embedRegular r:id="rId2" w:fontKey="{1D8CC9F9-8A73-4A00-B6FF-42861683F8D9}"/>
  </w:font>
  <w:font w:name="方正仿宋_GB2312">
    <w:panose1 w:val="02000000000000000000"/>
    <w:charset w:val="86"/>
    <w:family w:val="auto"/>
    <w:pitch w:val="default"/>
    <w:sig w:usb0="A00002BF" w:usb1="184F6CFA" w:usb2="00000012" w:usb3="00000000" w:csb0="00040001" w:csb1="00000000"/>
    <w:embedRegular r:id="rId3" w:fontKey="{D562612F-4EC7-4A4C-8AA8-4E6501D91F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EE8C">
    <w:pPr>
      <w:pStyle w:val="13"/>
      <w:framePr w:wrap="around" w:vAnchor="text" w:hAnchor="margin" w:xAlign="outside" w:y="1"/>
      <w:rPr>
        <w:rStyle w:val="22"/>
        <w:rFonts w:ascii="宋体"/>
        <w:sz w:val="28"/>
        <w:szCs w:val="28"/>
      </w:rPr>
    </w:pP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- 2 -</w:t>
    </w:r>
    <w:r>
      <w:rPr>
        <w:rFonts w:ascii="宋体" w:hAnsi="宋体"/>
        <w:sz w:val="28"/>
        <w:szCs w:val="28"/>
      </w:rPr>
      <w:fldChar w:fldCharType="end"/>
    </w:r>
  </w:p>
  <w:p w14:paraId="1EC614CD">
    <w:pPr>
      <w:pStyle w:val="13"/>
      <w:ind w:right="360" w:firstLine="360"/>
    </w:pPr>
    <w:r>
      <w:pict>
        <v:shape id="文本框3" o:spid="_x0000_s2049"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14:paraId="08481E95">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BC49">
    <w:pPr>
      <w:pStyle w:val="13"/>
      <w:framePr w:wrap="around" w:vAnchor="text" w:hAnchor="margin" w:xAlign="outside" w:y="1"/>
      <w:rPr>
        <w:rStyle w:val="22"/>
      </w:rPr>
    </w:pPr>
    <w:r>
      <w:fldChar w:fldCharType="begin"/>
    </w:r>
    <w:r>
      <w:rPr>
        <w:rStyle w:val="22"/>
      </w:rPr>
      <w:instrText xml:space="preserve">PAGE  </w:instrText>
    </w:r>
    <w:r>
      <w:fldChar w:fldCharType="separate"/>
    </w:r>
    <w:r>
      <w:rPr>
        <w:rStyle w:val="22"/>
      </w:rPr>
      <w:t>- 13 -</w:t>
    </w:r>
    <w:r>
      <w:fldChar w:fldCharType="end"/>
    </w:r>
  </w:p>
  <w:p w14:paraId="694F72AA">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BE6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6"/>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40BBD"/>
    <w:rsid w:val="0005386E"/>
    <w:rsid w:val="00060AC0"/>
    <w:rsid w:val="00066EE1"/>
    <w:rsid w:val="00094068"/>
    <w:rsid w:val="000B0518"/>
    <w:rsid w:val="000C6A02"/>
    <w:rsid w:val="000D1CA4"/>
    <w:rsid w:val="000E3959"/>
    <w:rsid w:val="000E58BC"/>
    <w:rsid w:val="000E7112"/>
    <w:rsid w:val="00104D99"/>
    <w:rsid w:val="00106F15"/>
    <w:rsid w:val="00134826"/>
    <w:rsid w:val="001427E8"/>
    <w:rsid w:val="00157D23"/>
    <w:rsid w:val="00182063"/>
    <w:rsid w:val="0018283F"/>
    <w:rsid w:val="0019790E"/>
    <w:rsid w:val="001A1610"/>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3626"/>
    <w:rsid w:val="00566265"/>
    <w:rsid w:val="00572452"/>
    <w:rsid w:val="0058585B"/>
    <w:rsid w:val="005C69DA"/>
    <w:rsid w:val="005F2C37"/>
    <w:rsid w:val="006126E7"/>
    <w:rsid w:val="00617100"/>
    <w:rsid w:val="00636FB7"/>
    <w:rsid w:val="00646DBE"/>
    <w:rsid w:val="00666E9F"/>
    <w:rsid w:val="006774B8"/>
    <w:rsid w:val="00690959"/>
    <w:rsid w:val="006A400E"/>
    <w:rsid w:val="006A656A"/>
    <w:rsid w:val="006C2D9C"/>
    <w:rsid w:val="006D265E"/>
    <w:rsid w:val="006E5841"/>
    <w:rsid w:val="00732631"/>
    <w:rsid w:val="007512B6"/>
    <w:rsid w:val="00753FBD"/>
    <w:rsid w:val="0078174E"/>
    <w:rsid w:val="007B6616"/>
    <w:rsid w:val="007D393B"/>
    <w:rsid w:val="00814255"/>
    <w:rsid w:val="00815C8B"/>
    <w:rsid w:val="00820EE3"/>
    <w:rsid w:val="00821154"/>
    <w:rsid w:val="00836AAB"/>
    <w:rsid w:val="00836B67"/>
    <w:rsid w:val="00843F15"/>
    <w:rsid w:val="008550BC"/>
    <w:rsid w:val="00861874"/>
    <w:rsid w:val="00865662"/>
    <w:rsid w:val="008721C0"/>
    <w:rsid w:val="008722BF"/>
    <w:rsid w:val="00891D2B"/>
    <w:rsid w:val="008D50A0"/>
    <w:rsid w:val="00933E59"/>
    <w:rsid w:val="00947CFB"/>
    <w:rsid w:val="00954A91"/>
    <w:rsid w:val="0095624E"/>
    <w:rsid w:val="009609EE"/>
    <w:rsid w:val="00962DE5"/>
    <w:rsid w:val="00991230"/>
    <w:rsid w:val="00993E0C"/>
    <w:rsid w:val="00997F54"/>
    <w:rsid w:val="009B33A5"/>
    <w:rsid w:val="009B4D25"/>
    <w:rsid w:val="009D2D7C"/>
    <w:rsid w:val="009E77B2"/>
    <w:rsid w:val="009E7E70"/>
    <w:rsid w:val="00A35E6F"/>
    <w:rsid w:val="00A706C6"/>
    <w:rsid w:val="00AC1420"/>
    <w:rsid w:val="00AC674C"/>
    <w:rsid w:val="00AD5FEA"/>
    <w:rsid w:val="00B0773A"/>
    <w:rsid w:val="00B13190"/>
    <w:rsid w:val="00B16A72"/>
    <w:rsid w:val="00B171C5"/>
    <w:rsid w:val="00B401AF"/>
    <w:rsid w:val="00B62F23"/>
    <w:rsid w:val="00B85690"/>
    <w:rsid w:val="00BB3035"/>
    <w:rsid w:val="00BB419B"/>
    <w:rsid w:val="00BD62C5"/>
    <w:rsid w:val="00BF5269"/>
    <w:rsid w:val="00C04F51"/>
    <w:rsid w:val="00C256B7"/>
    <w:rsid w:val="00C266A8"/>
    <w:rsid w:val="00C271BD"/>
    <w:rsid w:val="00C314F2"/>
    <w:rsid w:val="00C47F4A"/>
    <w:rsid w:val="00C61FE6"/>
    <w:rsid w:val="00C72FF4"/>
    <w:rsid w:val="00C8086C"/>
    <w:rsid w:val="00C86B5A"/>
    <w:rsid w:val="00C978E2"/>
    <w:rsid w:val="00CA5713"/>
    <w:rsid w:val="00CD4A2B"/>
    <w:rsid w:val="00D22B85"/>
    <w:rsid w:val="00D42C77"/>
    <w:rsid w:val="00D86A02"/>
    <w:rsid w:val="00DA555D"/>
    <w:rsid w:val="00DC2B29"/>
    <w:rsid w:val="00E162A5"/>
    <w:rsid w:val="00E227D3"/>
    <w:rsid w:val="00E42C90"/>
    <w:rsid w:val="00E46459"/>
    <w:rsid w:val="00E60233"/>
    <w:rsid w:val="00EB65D7"/>
    <w:rsid w:val="00EC2978"/>
    <w:rsid w:val="00ED5756"/>
    <w:rsid w:val="00EF41AA"/>
    <w:rsid w:val="00EF5820"/>
    <w:rsid w:val="00F17781"/>
    <w:rsid w:val="00F17E1A"/>
    <w:rsid w:val="00F30D93"/>
    <w:rsid w:val="00F32273"/>
    <w:rsid w:val="00F652A2"/>
    <w:rsid w:val="00FF3AC2"/>
    <w:rsid w:val="01214DE1"/>
    <w:rsid w:val="0158377A"/>
    <w:rsid w:val="0186709F"/>
    <w:rsid w:val="018941C8"/>
    <w:rsid w:val="01A90C48"/>
    <w:rsid w:val="020468C6"/>
    <w:rsid w:val="023D0B8F"/>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4D52E98"/>
    <w:rsid w:val="050132A2"/>
    <w:rsid w:val="053A2D32"/>
    <w:rsid w:val="05593C6D"/>
    <w:rsid w:val="058E1F33"/>
    <w:rsid w:val="05D54DF4"/>
    <w:rsid w:val="06CC08F4"/>
    <w:rsid w:val="06D56A69"/>
    <w:rsid w:val="06DE664F"/>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750671"/>
    <w:rsid w:val="1F870493"/>
    <w:rsid w:val="1F957C80"/>
    <w:rsid w:val="1FAD0E9D"/>
    <w:rsid w:val="1FF526DF"/>
    <w:rsid w:val="20390790"/>
    <w:rsid w:val="20916237"/>
    <w:rsid w:val="20AD475D"/>
    <w:rsid w:val="211C7E96"/>
    <w:rsid w:val="2121158D"/>
    <w:rsid w:val="215C0EF4"/>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4A3D36"/>
    <w:rsid w:val="255F3DE6"/>
    <w:rsid w:val="259F48FF"/>
    <w:rsid w:val="25D0124F"/>
    <w:rsid w:val="26213389"/>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7D322F1"/>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AB0AD4"/>
    <w:rsid w:val="5DD00EDD"/>
    <w:rsid w:val="5E35097B"/>
    <w:rsid w:val="5E8918A8"/>
    <w:rsid w:val="5F171D4D"/>
    <w:rsid w:val="5F5A6C31"/>
    <w:rsid w:val="5F610D25"/>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C517EC"/>
    <w:rsid w:val="66D72272"/>
    <w:rsid w:val="66D91ACA"/>
    <w:rsid w:val="66DE380F"/>
    <w:rsid w:val="66E24FB5"/>
    <w:rsid w:val="6734350F"/>
    <w:rsid w:val="67376452"/>
    <w:rsid w:val="675E42E4"/>
    <w:rsid w:val="67CD5013"/>
    <w:rsid w:val="67F65BEC"/>
    <w:rsid w:val="68227A1B"/>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AC63B4"/>
    <w:rsid w:val="79D313F3"/>
    <w:rsid w:val="7A5E7E3A"/>
    <w:rsid w:val="7B145303"/>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Normal Indent"/>
    <w:basedOn w:val="1"/>
    <w:qFormat/>
    <w:uiPriority w:val="0"/>
    <w:pPr>
      <w:ind w:firstLine="420"/>
    </w:pPr>
    <w:rPr>
      <w:szCs w:val="20"/>
    </w:rPr>
  </w:style>
  <w:style w:type="paragraph" w:styleId="7">
    <w:name w:val="index 5"/>
    <w:basedOn w:val="1"/>
    <w:next w:val="1"/>
    <w:semiHidden/>
    <w:qFormat/>
    <w:uiPriority w:val="0"/>
    <w:pPr>
      <w:ind w:left="1680"/>
    </w:pPr>
    <w:rPr>
      <w:rFonts w:eastAsia="Times New Roman"/>
      <w:sz w:val="32"/>
    </w:rPr>
  </w:style>
  <w:style w:type="paragraph" w:styleId="8">
    <w:name w:val="annotation text"/>
    <w:basedOn w:val="1"/>
    <w:qFormat/>
    <w:uiPriority w:val="0"/>
    <w:pPr>
      <w:jc w:val="left"/>
    </w:pPr>
  </w:style>
  <w:style w:type="paragraph" w:styleId="9">
    <w:name w:val="Body Text"/>
    <w:basedOn w:val="1"/>
    <w:next w:val="1"/>
    <w:autoRedefine/>
    <w:qFormat/>
    <w:uiPriority w:val="0"/>
    <w:rPr>
      <w:b/>
      <w:bCs/>
      <w:sz w:val="24"/>
    </w:rPr>
  </w:style>
  <w:style w:type="paragraph" w:styleId="10">
    <w:name w:val="Body Text Indent"/>
    <w:basedOn w:val="1"/>
    <w:next w:val="1"/>
    <w:qFormat/>
    <w:uiPriority w:val="0"/>
    <w:pPr>
      <w:spacing w:line="360" w:lineRule="auto"/>
      <w:ind w:firstLine="480"/>
    </w:pPr>
    <w:rPr>
      <w:sz w:val="24"/>
    </w:rPr>
  </w:style>
  <w:style w:type="paragraph" w:styleId="11">
    <w:name w:val="Block Text"/>
    <w:basedOn w:val="1"/>
    <w:autoRedefine/>
    <w:qFormat/>
    <w:uiPriority w:val="0"/>
    <w:pPr>
      <w:spacing w:line="320" w:lineRule="exact"/>
      <w:ind w:left="113" w:right="113"/>
      <w:jc w:val="center"/>
    </w:pPr>
    <w:rPr>
      <w:b/>
      <w:sz w:val="13"/>
      <w:szCs w:val="15"/>
    </w:rPr>
  </w:style>
  <w:style w:type="paragraph" w:styleId="12">
    <w:name w:val="Date"/>
    <w:basedOn w:val="1"/>
    <w:next w:val="1"/>
    <w:autoRedefine/>
    <w:qFormat/>
    <w:uiPriority w:val="0"/>
    <w:pPr>
      <w:ind w:left="100" w:leftChars="2500"/>
    </w:p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autoRedefine/>
    <w:qFormat/>
    <w:uiPriority w:val="0"/>
    <w:pPr>
      <w:spacing w:line="320" w:lineRule="exact"/>
      <w:jc w:val="center"/>
    </w:pPr>
    <w:rPr>
      <w:sz w:val="22"/>
    </w:rPr>
  </w:style>
  <w:style w:type="paragraph" w:styleId="16">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9"/>
    <w:autoRedefine/>
    <w:qFormat/>
    <w:uiPriority w:val="0"/>
    <w:pPr>
      <w:spacing w:after="120"/>
      <w:ind w:firstLine="420" w:firstLineChars="100"/>
    </w:pPr>
    <w:rPr>
      <w:sz w:val="21"/>
    </w:rPr>
  </w:style>
  <w:style w:type="paragraph" w:styleId="19">
    <w:name w:val="Body Text First Indent 2"/>
    <w:basedOn w:val="10"/>
    <w:autoRedefine/>
    <w:qFormat/>
    <w:uiPriority w:val="0"/>
    <w:pPr>
      <w:ind w:firstLine="200" w:firstLineChars="200"/>
    </w:pPr>
    <w:rPr>
      <w:szCs w:val="21"/>
    </w:rPr>
  </w:style>
  <w:style w:type="character" w:styleId="22">
    <w:name w:val="page number"/>
    <w:basedOn w:val="21"/>
    <w:autoRedefine/>
    <w:qFormat/>
    <w:uiPriority w:val="0"/>
    <w:rPr>
      <w:rFonts w:cs="Times New Roman"/>
    </w:rPr>
  </w:style>
  <w:style w:type="character" w:styleId="23">
    <w:name w:val="FollowedHyperlink"/>
    <w:basedOn w:val="21"/>
    <w:autoRedefine/>
    <w:qFormat/>
    <w:uiPriority w:val="0"/>
    <w:rPr>
      <w:color w:val="333333"/>
      <w:u w:val="none"/>
    </w:rPr>
  </w:style>
  <w:style w:type="character" w:styleId="24">
    <w:name w:val="Emphasis"/>
    <w:basedOn w:val="21"/>
    <w:autoRedefine/>
    <w:qFormat/>
    <w:locked/>
    <w:uiPriority w:val="0"/>
  </w:style>
  <w:style w:type="character" w:styleId="25">
    <w:name w:val="HTML Definition"/>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333333"/>
      <w:u w:val="none"/>
    </w:rPr>
  </w:style>
  <w:style w:type="character" w:styleId="28">
    <w:name w:val="HTML Cite"/>
    <w:basedOn w:val="21"/>
    <w:autoRedefine/>
    <w:qFormat/>
    <w:uiPriority w:val="0"/>
  </w:style>
  <w:style w:type="paragraph" w:customStyle="1" w:styleId="29">
    <w:name w:val="表格文字"/>
    <w:basedOn w:val="1"/>
    <w:autoRedefine/>
    <w:qFormat/>
    <w:uiPriority w:val="0"/>
    <w:pPr>
      <w:adjustRightInd w:val="0"/>
      <w:jc w:val="center"/>
    </w:pPr>
  </w:style>
  <w:style w:type="character" w:customStyle="1" w:styleId="30">
    <w:name w:val="hover18"/>
    <w:basedOn w:val="21"/>
    <w:autoRedefine/>
    <w:qFormat/>
    <w:uiPriority w:val="0"/>
    <w:rPr>
      <w:color w:val="5FB878"/>
    </w:rPr>
  </w:style>
  <w:style w:type="character" w:customStyle="1" w:styleId="31">
    <w:name w:val="hover19"/>
    <w:basedOn w:val="21"/>
    <w:autoRedefine/>
    <w:qFormat/>
    <w:uiPriority w:val="0"/>
    <w:rPr>
      <w:color w:val="5FB878"/>
    </w:rPr>
  </w:style>
  <w:style w:type="character" w:customStyle="1" w:styleId="32">
    <w:name w:val="layui-laypage-curr"/>
    <w:basedOn w:val="21"/>
    <w:autoRedefine/>
    <w:qFormat/>
    <w:uiPriority w:val="0"/>
  </w:style>
  <w:style w:type="character" w:customStyle="1" w:styleId="33">
    <w:name w:val="hover20"/>
    <w:basedOn w:val="21"/>
    <w:autoRedefine/>
    <w:qFormat/>
    <w:uiPriority w:val="0"/>
    <w:rPr>
      <w:color w:val="FFFFFF"/>
    </w:rPr>
  </w:style>
  <w:style w:type="character" w:customStyle="1" w:styleId="34">
    <w:name w:val="layui-this"/>
    <w:basedOn w:val="21"/>
    <w:autoRedefine/>
    <w:qFormat/>
    <w:uiPriority w:val="0"/>
    <w:rPr>
      <w:bdr w:val="single" w:color="EEEEEE" w:sz="6" w:space="0"/>
      <w:shd w:val="clear" w:color="auto" w:fill="FFFFFF"/>
    </w:rPr>
  </w:style>
  <w:style w:type="character" w:customStyle="1" w:styleId="35">
    <w:name w:val="first-child"/>
    <w:basedOn w:val="21"/>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Char1"/>
    <w:basedOn w:val="1"/>
    <w:autoRedefine/>
    <w:qFormat/>
    <w:uiPriority w:val="0"/>
  </w:style>
  <w:style w:type="character" w:customStyle="1" w:styleId="39">
    <w:name w:val="uni-font-connect"/>
    <w:basedOn w:val="21"/>
    <w:autoRedefine/>
    <w:qFormat/>
    <w:uiPriority w:val="0"/>
  </w:style>
  <w:style w:type="character" w:customStyle="1" w:styleId="40">
    <w:name w:val="tmpztreemove_arrow"/>
    <w:basedOn w:val="21"/>
    <w:autoRedefine/>
    <w:qFormat/>
    <w:uiPriority w:val="0"/>
  </w:style>
  <w:style w:type="character" w:customStyle="1" w:styleId="41">
    <w:name w:val="l-btn-icon-left"/>
    <w:basedOn w:val="21"/>
    <w:autoRedefine/>
    <w:qFormat/>
    <w:uiPriority w:val="0"/>
  </w:style>
  <w:style w:type="character" w:customStyle="1" w:styleId="42">
    <w:name w:val="layui-layer-tabnow"/>
    <w:basedOn w:val="21"/>
    <w:autoRedefine/>
    <w:qFormat/>
    <w:uiPriority w:val="0"/>
    <w:rPr>
      <w:bdr w:val="single" w:color="CCCCCC" w:sz="6" w:space="0"/>
      <w:shd w:val="clear" w:color="auto" w:fill="FFFFFF"/>
    </w:rPr>
  </w:style>
  <w:style w:type="character" w:customStyle="1" w:styleId="43">
    <w:name w:val="l-btn-icon-right"/>
    <w:basedOn w:val="21"/>
    <w:autoRedefine/>
    <w:qFormat/>
    <w:uiPriority w:val="0"/>
  </w:style>
  <w:style w:type="character" w:customStyle="1" w:styleId="44">
    <w:name w:val="l-btn-left"/>
    <w:basedOn w:val="21"/>
    <w:autoRedefine/>
    <w:qFormat/>
    <w:uiPriority w:val="0"/>
  </w:style>
  <w:style w:type="character" w:customStyle="1" w:styleId="45">
    <w:name w:val="l-btn-left1"/>
    <w:basedOn w:val="21"/>
    <w:autoRedefine/>
    <w:qFormat/>
    <w:uiPriority w:val="0"/>
  </w:style>
  <w:style w:type="character" w:customStyle="1" w:styleId="46">
    <w:name w:val="l-btn-left2"/>
    <w:basedOn w:val="21"/>
    <w:autoRedefine/>
    <w:qFormat/>
    <w:uiPriority w:val="0"/>
  </w:style>
  <w:style w:type="character" w:customStyle="1" w:styleId="47">
    <w:name w:val="l-btn-left3"/>
    <w:basedOn w:val="21"/>
    <w:autoRedefine/>
    <w:qFormat/>
    <w:uiPriority w:val="0"/>
  </w:style>
  <w:style w:type="character" w:customStyle="1" w:styleId="48">
    <w:name w:val="l-btn-text"/>
    <w:basedOn w:val="21"/>
    <w:autoRedefine/>
    <w:qFormat/>
    <w:uiPriority w:val="0"/>
    <w:rPr>
      <w:vertAlign w:val="baseline"/>
    </w:rPr>
  </w:style>
  <w:style w:type="character" w:customStyle="1" w:styleId="49">
    <w:name w:val="l-btn-empty"/>
    <w:basedOn w:val="21"/>
    <w:autoRedefine/>
    <w:qFormat/>
    <w:uiPriority w:val="0"/>
  </w:style>
  <w:style w:type="character" w:customStyle="1" w:styleId="50">
    <w:name w:val="button"/>
    <w:basedOn w:val="21"/>
    <w:autoRedefine/>
    <w:qFormat/>
    <w:uiPriority w:val="0"/>
  </w:style>
  <w:style w:type="character" w:customStyle="1" w:styleId="51">
    <w:name w:val="l-btn-left4"/>
    <w:basedOn w:val="21"/>
    <w:autoRedefine/>
    <w:qFormat/>
    <w:uiPriority w:val="0"/>
  </w:style>
  <w:style w:type="character" w:customStyle="1" w:styleId="52">
    <w:name w:val="l-btn-left5"/>
    <w:basedOn w:val="21"/>
    <w:autoRedefine/>
    <w:qFormat/>
    <w:uiPriority w:val="0"/>
  </w:style>
  <w:style w:type="paragraph" w:customStyle="1" w:styleId="53">
    <w:name w:val="表格"/>
    <w:basedOn w:val="15"/>
    <w:next w:val="1"/>
    <w:autoRedefine/>
    <w:qFormat/>
    <w:uiPriority w:val="0"/>
    <w:pPr>
      <w:adjustRightInd w:val="0"/>
      <w:snapToGrid w:val="0"/>
      <w:spacing w:line="240" w:lineRule="auto"/>
    </w:pPr>
    <w:rPr>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1484</Words>
  <Characters>1628</Characters>
  <Lines>12</Lines>
  <Paragraphs>3</Paragraphs>
  <TotalTime>0</TotalTime>
  <ScaleCrop>false</ScaleCrop>
  <LinksUpToDate>false</LinksUpToDate>
  <CharactersWithSpaces>1655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未定义</cp:lastModifiedBy>
  <cp:lastPrinted>2025-01-06T07:34:00Z</cp:lastPrinted>
  <dcterms:modified xsi:type="dcterms:W3CDTF">2025-01-06T07:53:57Z</dcterms:modified>
  <dc:title>滑环〔2016〕  号                    签发人：陈建峰</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81D855EB54A54ADF8E6453A2322E50EF_13</vt:lpwstr>
  </property>
  <property fmtid="{D5CDD505-2E9C-101B-9397-08002B2CF9AE}" pid="4" name="KSOTemplateDocerSaveRecord">
    <vt:lpwstr>eyJoZGlkIjoiMmQxN2E3NzBjNWUyMGQyNjllMzdmZDlhNTNkMGIyNzMifQ==</vt:lpwstr>
  </property>
</Properties>
</file>