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一、关于</w:t>
      </w:r>
      <w:r>
        <w:rPr>
          <w:rFonts w:hint="eastAsia"/>
          <w:sz w:val="30"/>
          <w:szCs w:val="30"/>
          <w:lang w:eastAsia="zh-CN"/>
        </w:rPr>
        <w:t>债务情况说明</w:t>
      </w:r>
    </w:p>
    <w:p>
      <w:pPr>
        <w:numPr>
          <w:ilvl w:val="0"/>
          <w:numId w:val="1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省财政厅核定滑县2019年政府债务限额63.3亿元（债务系统数据）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，其中：一般债券49.26亿元，专项债券14.04亿元。</w:t>
      </w:r>
    </w:p>
    <w:p>
      <w:pPr>
        <w:numPr>
          <w:ilvl w:val="0"/>
          <w:numId w:val="0"/>
        </w:num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</w:t>
      </w:r>
      <w:r>
        <w:rPr>
          <w:rFonts w:hint="default"/>
          <w:sz w:val="30"/>
          <w:szCs w:val="30"/>
          <w:lang w:val="en-US" w:eastAsia="zh-CN"/>
        </w:rPr>
        <w:t>在新增债务限额内，根据河南省财政厅关于下达2019年第三批地方政府新增债券资金的通知，下达我县新增一般债券资金6000万元。根据上述要求，结合我县经济社会发展需要，新增债券6000万元拟用于以下方面：新增一般债券6000万元，拟安排2019年新改建农村公路2300万元，拟安排森林公园人工湖及水系周边景观绿化工程项目3700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B21BE1"/>
    <w:multiLevelType w:val="singleLevel"/>
    <w:tmpl w:val="E5B21B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966C4"/>
    <w:rsid w:val="14C6214C"/>
    <w:rsid w:val="167E5BDD"/>
    <w:rsid w:val="19F575AE"/>
    <w:rsid w:val="1C6966C4"/>
    <w:rsid w:val="2DD3427E"/>
    <w:rsid w:val="42264951"/>
    <w:rsid w:val="42E57931"/>
    <w:rsid w:val="468B0E52"/>
    <w:rsid w:val="5210283D"/>
    <w:rsid w:val="53164E16"/>
    <w:rsid w:val="57B705D5"/>
    <w:rsid w:val="72264E3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2019-10-29T00:32:00Z</dcterms:created>
  <dc:creator>Administrator</dc:creator>
  <cp:lastModifiedBy>Administrator</cp:lastModifiedBy>
  <cp:lastPrinted>2019-10-29T00:32:00Z</cp:lastPrinted>
  <dcterms:modified xsi:type="dcterms:W3CDTF">2019-10-30T00:13:42Z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