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F3B27">
      <w:pPr>
        <w:widowControl/>
        <w:spacing w:before="480" w:after="360" w:line="500" w:lineRule="exact"/>
        <w:jc w:val="center"/>
        <w:rPr>
          <w:rFonts w:hint="default" w:ascii="Times New Roman" w:hAnsi="Times New Roman" w:eastAsia="等线" w:cs="Times New Roman"/>
          <w:b/>
          <w:bCs/>
          <w:sz w:val="44"/>
          <w:szCs w:val="44"/>
        </w:rPr>
      </w:pPr>
    </w:p>
    <w:p w14:paraId="64885F59">
      <w:pPr>
        <w:widowControl/>
        <w:spacing w:before="480" w:after="360" w:line="500" w:lineRule="exact"/>
        <w:jc w:val="center"/>
        <w:rPr>
          <w:rFonts w:hint="default" w:ascii="Times New Roman" w:hAnsi="Times New Roman" w:eastAsia="等线" w:cs="Times New Roman"/>
          <w:b/>
          <w:bCs/>
          <w:sz w:val="44"/>
          <w:szCs w:val="44"/>
        </w:rPr>
      </w:pPr>
    </w:p>
    <w:p w14:paraId="75D3B07F">
      <w:pPr>
        <w:pStyle w:val="25"/>
        <w:rPr>
          <w:rFonts w:hint="default" w:ascii="Times New Roman" w:hAnsi="Times New Roman" w:eastAsia="等线" w:cs="Times New Roman"/>
          <w:b/>
          <w:bCs/>
          <w:sz w:val="44"/>
          <w:szCs w:val="44"/>
        </w:rPr>
      </w:pPr>
    </w:p>
    <w:p w14:paraId="1EF32BE8">
      <w:pPr>
        <w:pStyle w:val="13"/>
        <w:rPr>
          <w:rFonts w:hint="default" w:ascii="Times New Roman" w:hAnsi="Times New Roman" w:cs="Times New Roman"/>
        </w:rPr>
      </w:pPr>
    </w:p>
    <w:p w14:paraId="39F0D5EC">
      <w:pPr>
        <w:widowControl/>
        <w:spacing w:before="120" w:after="120" w:line="50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2022年度滑县财政衔接推进乡村振兴补助</w:t>
      </w:r>
    </w:p>
    <w:p w14:paraId="2244FA9A">
      <w:pPr>
        <w:widowControl/>
        <w:spacing w:before="120" w:after="120" w:line="500" w:lineRule="exact"/>
        <w:jc w:val="center"/>
        <w:rPr>
          <w:rFonts w:hint="default" w:ascii="Times New Roman" w:hAnsi="Times New Roman" w:eastAsia="方正小标宋简体" w:cs="Times New Roman"/>
          <w:b w:val="0"/>
          <w:bCs w:val="0"/>
          <w:sz w:val="44"/>
          <w:szCs w:val="44"/>
          <w:lang w:val="en-US" w:eastAsia="zh-CN"/>
        </w:rPr>
      </w:pPr>
    </w:p>
    <w:p w14:paraId="618937A8">
      <w:pPr>
        <w:widowControl/>
        <w:spacing w:before="120" w:after="120" w:line="500" w:lineRule="exact"/>
        <w:jc w:val="center"/>
        <w:rPr>
          <w:rFonts w:hint="default" w:ascii="Times New Roman" w:hAnsi="Times New Roman" w:eastAsia="方正小标宋简体" w:cs="Times New Roman"/>
          <w:b w:val="0"/>
          <w:bCs w:val="0"/>
          <w:kern w:val="0"/>
          <w:sz w:val="44"/>
          <w:szCs w:val="44"/>
          <w:lang w:bidi="en-US"/>
        </w:rPr>
      </w:pPr>
      <w:r>
        <w:rPr>
          <w:rFonts w:hint="eastAsia" w:ascii="Times New Roman" w:hAnsi="Times New Roman" w:eastAsia="方正小标宋简体" w:cs="Times New Roman"/>
          <w:b w:val="0"/>
          <w:bCs w:val="0"/>
          <w:sz w:val="44"/>
          <w:szCs w:val="44"/>
          <w:lang w:val="en-US" w:eastAsia="zh-CN"/>
        </w:rPr>
        <w:t>资金</w:t>
      </w:r>
      <w:r>
        <w:rPr>
          <w:rFonts w:hint="default" w:ascii="Times New Roman" w:hAnsi="Times New Roman" w:eastAsia="方正小标宋简体" w:cs="Times New Roman"/>
          <w:b w:val="0"/>
          <w:bCs w:val="0"/>
          <w:sz w:val="44"/>
          <w:szCs w:val="44"/>
          <w:lang w:val="en-US" w:eastAsia="zh-CN"/>
        </w:rPr>
        <w:t>绩效评价报告</w:t>
      </w:r>
    </w:p>
    <w:p w14:paraId="25F04869">
      <w:pPr>
        <w:widowControl/>
        <w:spacing w:before="120" w:after="120" w:line="500" w:lineRule="exact"/>
        <w:jc w:val="center"/>
        <w:rPr>
          <w:rFonts w:hint="default" w:ascii="Times New Roman" w:hAnsi="Times New Roman" w:eastAsia="仿宋_GB2312" w:cs="Times New Roman"/>
          <w:kern w:val="0"/>
          <w:sz w:val="44"/>
          <w:szCs w:val="44"/>
          <w:lang w:bidi="en-US"/>
        </w:rPr>
      </w:pPr>
    </w:p>
    <w:p w14:paraId="727AA052">
      <w:pPr>
        <w:widowControl/>
        <w:spacing w:before="120" w:after="120" w:line="500" w:lineRule="exact"/>
        <w:jc w:val="center"/>
        <w:rPr>
          <w:rFonts w:hint="default" w:ascii="Times New Roman" w:hAnsi="Times New Roman" w:eastAsia="仿宋_GB2312" w:cs="Times New Roman"/>
          <w:kern w:val="0"/>
          <w:sz w:val="44"/>
          <w:szCs w:val="44"/>
          <w:lang w:bidi="en-US"/>
        </w:rPr>
      </w:pPr>
    </w:p>
    <w:p w14:paraId="083B2503">
      <w:pPr>
        <w:widowControl/>
        <w:spacing w:before="120" w:after="120" w:line="500" w:lineRule="exact"/>
        <w:jc w:val="center"/>
        <w:rPr>
          <w:rFonts w:hint="default" w:ascii="Times New Roman" w:hAnsi="Times New Roman" w:eastAsia="仿宋_GB2312" w:cs="Times New Roman"/>
          <w:kern w:val="0"/>
          <w:sz w:val="44"/>
          <w:szCs w:val="44"/>
          <w:lang w:bidi="en-US"/>
        </w:rPr>
      </w:pPr>
    </w:p>
    <w:p w14:paraId="602F5F37">
      <w:pPr>
        <w:widowControl/>
        <w:spacing w:before="120" w:after="120" w:line="500" w:lineRule="exact"/>
        <w:jc w:val="center"/>
        <w:rPr>
          <w:rFonts w:hint="default" w:ascii="Times New Roman" w:hAnsi="Times New Roman" w:eastAsia="仿宋_GB2312" w:cs="Times New Roman"/>
          <w:kern w:val="0"/>
          <w:sz w:val="44"/>
          <w:szCs w:val="44"/>
          <w:lang w:bidi="en-US"/>
        </w:rPr>
      </w:pPr>
    </w:p>
    <w:p w14:paraId="74ECAB26">
      <w:pPr>
        <w:widowControl/>
        <w:spacing w:before="120" w:after="120" w:line="500" w:lineRule="exact"/>
        <w:jc w:val="center"/>
        <w:rPr>
          <w:rFonts w:hint="default" w:ascii="Times New Roman" w:hAnsi="Times New Roman" w:eastAsia="仿宋_GB2312" w:cs="Times New Roman"/>
          <w:kern w:val="0"/>
          <w:sz w:val="44"/>
          <w:szCs w:val="44"/>
          <w:lang w:bidi="en-US"/>
        </w:rPr>
      </w:pPr>
    </w:p>
    <w:p w14:paraId="22AF5649">
      <w:pPr>
        <w:widowControl/>
        <w:spacing w:before="120" w:after="120" w:line="500" w:lineRule="exact"/>
        <w:ind w:left="2693" w:leftChars="568" w:hanging="1500" w:hangingChars="500"/>
        <w:jc w:val="left"/>
        <w:rPr>
          <w:rFonts w:hint="eastAsia" w:ascii="Times New Roman" w:hAnsi="Times New Roman" w:eastAsia="黑体" w:cs="Times New Roman"/>
          <w:b w:val="0"/>
          <w:bCs w:val="0"/>
          <w:kern w:val="0"/>
          <w:sz w:val="30"/>
          <w:szCs w:val="30"/>
          <w:lang w:val="en-US" w:eastAsia="zh-CN"/>
        </w:rPr>
      </w:pPr>
      <w:r>
        <w:rPr>
          <w:rFonts w:hint="eastAsia" w:ascii="Times New Roman" w:hAnsi="Times New Roman" w:eastAsia="黑体" w:cs="Times New Roman"/>
          <w:b w:val="0"/>
          <w:bCs w:val="0"/>
          <w:kern w:val="0"/>
          <w:sz w:val="30"/>
          <w:szCs w:val="30"/>
          <w:lang w:val="en-US" w:eastAsia="zh-CN"/>
        </w:rPr>
        <w:t>项目名称：2022年度滑县财政衔接推进乡村振兴补助资金</w:t>
      </w:r>
    </w:p>
    <w:p w14:paraId="6291659D">
      <w:pPr>
        <w:widowControl/>
        <w:spacing w:before="120" w:after="120" w:line="500" w:lineRule="exact"/>
        <w:ind w:firstLine="1200" w:firstLineChars="400"/>
        <w:jc w:val="left"/>
        <w:rPr>
          <w:rFonts w:hint="default" w:ascii="Times New Roman" w:hAnsi="Times New Roman" w:eastAsia="黑体" w:cs="Times New Roman"/>
          <w:b w:val="0"/>
          <w:bCs w:val="0"/>
          <w:kern w:val="0"/>
          <w:sz w:val="30"/>
          <w:szCs w:val="30"/>
          <w:lang w:val="en-US" w:eastAsia="zh-CN"/>
        </w:rPr>
      </w:pPr>
      <w:r>
        <w:rPr>
          <w:rFonts w:hint="eastAsia" w:ascii="Times New Roman" w:hAnsi="Times New Roman" w:eastAsia="黑体" w:cs="Times New Roman"/>
          <w:b w:val="0"/>
          <w:bCs w:val="0"/>
          <w:kern w:val="0"/>
          <w:sz w:val="30"/>
          <w:szCs w:val="30"/>
          <w:lang w:val="en-US" w:eastAsia="zh-CN"/>
        </w:rPr>
        <w:t>委托部门：滑县财政局</w:t>
      </w:r>
    </w:p>
    <w:p w14:paraId="745EA5F1">
      <w:pPr>
        <w:widowControl/>
        <w:spacing w:before="120" w:after="120" w:line="500" w:lineRule="exact"/>
        <w:ind w:firstLine="1200" w:firstLineChars="400"/>
        <w:jc w:val="left"/>
        <w:rPr>
          <w:rFonts w:hint="eastAsia" w:ascii="Times New Roman" w:hAnsi="Times New Roman" w:eastAsia="黑体" w:cs="Times New Roman"/>
          <w:b w:val="0"/>
          <w:bCs w:val="0"/>
          <w:kern w:val="0"/>
          <w:sz w:val="30"/>
          <w:szCs w:val="30"/>
          <w:lang w:val="en-US" w:eastAsia="zh-CN"/>
        </w:rPr>
      </w:pPr>
      <w:r>
        <w:rPr>
          <w:rFonts w:hint="eastAsia" w:ascii="Times New Roman" w:hAnsi="Times New Roman" w:eastAsia="黑体" w:cs="Times New Roman"/>
          <w:b w:val="0"/>
          <w:bCs w:val="0"/>
          <w:kern w:val="0"/>
          <w:sz w:val="30"/>
          <w:szCs w:val="30"/>
          <w:lang w:val="en-US" w:eastAsia="zh-CN"/>
        </w:rPr>
        <w:t>评价机构：安策绩效大数据有限公司</w:t>
      </w:r>
    </w:p>
    <w:p w14:paraId="5C40A5CC">
      <w:pPr>
        <w:pStyle w:val="25"/>
        <w:rPr>
          <w:rFonts w:hint="default"/>
          <w:lang w:val="en-US" w:eastAsia="zh-CN"/>
        </w:rPr>
      </w:pPr>
    </w:p>
    <w:p w14:paraId="27EA81CC">
      <w:pPr>
        <w:widowControl/>
        <w:spacing w:before="120" w:after="120" w:line="500" w:lineRule="exact"/>
        <w:jc w:val="center"/>
        <w:rPr>
          <w:rFonts w:hint="default" w:ascii="Times New Roman" w:hAnsi="Times New Roman" w:eastAsia="黑体" w:cs="Times New Roman"/>
          <w:b/>
          <w:bCs/>
          <w:kern w:val="0"/>
          <w:sz w:val="32"/>
          <w:szCs w:val="32"/>
        </w:rPr>
      </w:pPr>
    </w:p>
    <w:p w14:paraId="66DB0807">
      <w:pPr>
        <w:widowControl/>
        <w:spacing w:before="120" w:after="120" w:line="500" w:lineRule="exact"/>
        <w:jc w:val="center"/>
        <w:rPr>
          <w:rFonts w:hint="default" w:ascii="Times New Roman" w:hAnsi="Times New Roman" w:eastAsia="黑体" w:cs="Times New Roman"/>
          <w:b/>
          <w:bCs/>
          <w:kern w:val="0"/>
          <w:sz w:val="32"/>
          <w:szCs w:val="32"/>
        </w:rPr>
      </w:pPr>
      <w:r>
        <w:rPr>
          <w:rFonts w:hint="default" w:ascii="Times New Roman" w:hAnsi="Times New Roman" w:eastAsia="黑体" w:cs="Times New Roman"/>
          <w:b/>
          <w:bCs/>
          <w:kern w:val="0"/>
          <w:sz w:val="32"/>
          <w:szCs w:val="32"/>
        </w:rPr>
        <w:t>20</w:t>
      </w:r>
      <w:r>
        <w:rPr>
          <w:rFonts w:hint="default" w:ascii="Times New Roman" w:hAnsi="Times New Roman" w:eastAsia="黑体" w:cs="Times New Roman"/>
          <w:b/>
          <w:bCs/>
          <w:kern w:val="0"/>
          <w:sz w:val="32"/>
          <w:szCs w:val="32"/>
          <w:lang w:val="en-US" w:eastAsia="zh-CN"/>
        </w:rPr>
        <w:t>2</w:t>
      </w:r>
      <w:r>
        <w:rPr>
          <w:rFonts w:hint="eastAsia" w:ascii="Times New Roman" w:hAnsi="Times New Roman" w:eastAsia="黑体" w:cs="Times New Roman"/>
          <w:b/>
          <w:bCs/>
          <w:kern w:val="0"/>
          <w:sz w:val="32"/>
          <w:szCs w:val="32"/>
          <w:lang w:val="en-US" w:eastAsia="zh-CN"/>
        </w:rPr>
        <w:t>2</w:t>
      </w:r>
      <w:r>
        <w:rPr>
          <w:rFonts w:hint="default" w:ascii="Times New Roman" w:hAnsi="Times New Roman" w:eastAsia="黑体" w:cs="Times New Roman"/>
          <w:b/>
          <w:bCs/>
          <w:kern w:val="0"/>
          <w:sz w:val="32"/>
          <w:szCs w:val="32"/>
        </w:rPr>
        <w:t>年</w:t>
      </w:r>
      <w:r>
        <w:rPr>
          <w:rFonts w:hint="default" w:ascii="Times New Roman" w:hAnsi="Times New Roman" w:eastAsia="黑体" w:cs="Times New Roman"/>
          <w:b/>
          <w:bCs/>
          <w:kern w:val="0"/>
          <w:sz w:val="32"/>
          <w:szCs w:val="32"/>
          <w:lang w:val="en-US" w:eastAsia="zh-CN"/>
        </w:rPr>
        <w:t>12</w:t>
      </w:r>
      <w:r>
        <w:rPr>
          <w:rFonts w:hint="default" w:ascii="Times New Roman" w:hAnsi="Times New Roman" w:eastAsia="黑体" w:cs="Times New Roman"/>
          <w:b/>
          <w:bCs/>
          <w:kern w:val="0"/>
          <w:sz w:val="32"/>
          <w:szCs w:val="32"/>
        </w:rPr>
        <w:t>月</w:t>
      </w:r>
    </w:p>
    <w:p w14:paraId="48020510">
      <w:pPr>
        <w:widowControl/>
        <w:jc w:val="left"/>
        <w:rPr>
          <w:rFonts w:hint="default" w:ascii="Times New Roman" w:hAnsi="Times New Roman" w:eastAsia="仿宋_GB2312" w:cs="Times New Roman"/>
          <w:b/>
          <w:bCs/>
          <w:kern w:val="0"/>
          <w:sz w:val="32"/>
          <w:szCs w:val="28"/>
        </w:rPr>
      </w:pPr>
      <w:r>
        <w:rPr>
          <w:rFonts w:hint="default" w:ascii="Times New Roman" w:hAnsi="Times New Roman" w:eastAsia="仿宋_GB2312" w:cs="Times New Roman"/>
          <w:b/>
          <w:bCs/>
          <w:kern w:val="0"/>
          <w:sz w:val="32"/>
          <w:szCs w:val="28"/>
        </w:rPr>
        <w:br w:type="page"/>
      </w:r>
    </w:p>
    <w:p w14:paraId="3510EFFC">
      <w:pPr>
        <w:widowControl w:val="0"/>
        <w:wordWrap/>
        <w:adjustRightInd/>
        <w:snapToGrid/>
        <w:spacing w:line="500" w:lineRule="exact"/>
        <w:jc w:val="center"/>
        <w:textAlignment w:val="auto"/>
        <w:rPr>
          <w:rFonts w:hint="eastAsia" w:ascii="方正小标宋简体" w:hAnsi="方正小标宋简体" w:eastAsia="方正小标宋简体" w:cs="方正小标宋简体"/>
          <w:sz w:val="44"/>
          <w:szCs w:val="44"/>
        </w:rPr>
      </w:pPr>
      <w:bookmarkStart w:id="0" w:name="_Toc28170"/>
      <w:bookmarkStart w:id="1" w:name="_Toc10984"/>
      <w:bookmarkStart w:id="2" w:name="_Toc20592"/>
      <w:bookmarkStart w:id="3" w:name="_Toc23265712"/>
      <w:bookmarkStart w:id="4" w:name="_Toc23264180"/>
      <w:r>
        <w:rPr>
          <w:rFonts w:hint="eastAsia" w:ascii="方正小标宋简体" w:hAnsi="方正小标宋简体" w:eastAsia="方正小标宋简体" w:cs="方正小标宋简体"/>
          <w:sz w:val="44"/>
          <w:szCs w:val="44"/>
        </w:rPr>
        <w:t>目  录</w:t>
      </w:r>
      <w:bookmarkEnd w:id="0"/>
      <w:bookmarkEnd w:id="1"/>
      <w:bookmarkEnd w:id="2"/>
    </w:p>
    <w:p w14:paraId="26EAF6C8">
      <w:pPr>
        <w:pStyle w:val="25"/>
        <w:rPr>
          <w:rFonts w:hint="eastAsia"/>
        </w:rPr>
      </w:pPr>
    </w:p>
    <w:p w14:paraId="021B6931">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32"/>
          <w:szCs w:val="32"/>
          <w:lang w:bidi="en-US"/>
        </w:rPr>
        <w:fldChar w:fldCharType="begin"/>
      </w:r>
      <w:r>
        <w:rPr>
          <w:rFonts w:hint="default" w:ascii="Times New Roman" w:hAnsi="Times New Roman" w:eastAsia="仿宋_GB2312" w:cs="Times New Roman"/>
          <w:kern w:val="0"/>
          <w:sz w:val="32"/>
          <w:szCs w:val="32"/>
          <w:lang w:bidi="en-US"/>
        </w:rPr>
        <w:instrText xml:space="preserve"> TOC \o "1-2" \h \z \u </w:instrText>
      </w:r>
      <w:r>
        <w:rPr>
          <w:rFonts w:hint="default" w:ascii="Times New Roman" w:hAnsi="Times New Roman" w:eastAsia="仿宋_GB2312" w:cs="Times New Roman"/>
          <w:kern w:val="0"/>
          <w:sz w:val="32"/>
          <w:szCs w:val="32"/>
          <w:lang w:bidi="en-US"/>
        </w:rPr>
        <w:fldChar w:fldCharType="separate"/>
      </w:r>
      <w:r>
        <w:rPr>
          <w:rFonts w:hint="default" w:ascii="Times New Roman" w:hAnsi="Times New Roman" w:eastAsia="仿宋_GB2312" w:cs="Times New Roman"/>
          <w:kern w:val="0"/>
          <w:sz w:val="28"/>
          <w:szCs w:val="28"/>
          <w:lang w:bidi="en-US"/>
        </w:rPr>
        <w:fldChar w:fldCharType="begin"/>
      </w:r>
      <w:r>
        <w:rPr>
          <w:rFonts w:hint="default" w:ascii="Times New Roman" w:hAnsi="Times New Roman" w:eastAsia="仿宋_GB2312" w:cs="Times New Roman"/>
          <w:kern w:val="0"/>
          <w:sz w:val="28"/>
          <w:szCs w:val="28"/>
          <w:lang w:bidi="en-US"/>
        </w:rPr>
        <w:instrText xml:space="preserve"> HYPERLINK \l _Toc8791 </w:instrText>
      </w:r>
      <w:r>
        <w:rPr>
          <w:rFonts w:hint="default" w:ascii="Times New Roman" w:hAnsi="Times New Roman" w:eastAsia="仿宋_GB2312" w:cs="Times New Roman"/>
          <w:kern w:val="0"/>
          <w:sz w:val="28"/>
          <w:szCs w:val="28"/>
          <w:lang w:bidi="en-US"/>
        </w:rPr>
        <w:fldChar w:fldCharType="separate"/>
      </w:r>
      <w:r>
        <w:rPr>
          <w:rFonts w:hint="default" w:ascii="Times New Roman" w:hAnsi="Times New Roman" w:eastAsia="仿宋_GB2312" w:cs="Times New Roman"/>
          <w:kern w:val="0"/>
          <w:sz w:val="28"/>
          <w:szCs w:val="28"/>
          <w:lang w:bidi="en-US"/>
        </w:rPr>
        <w:t>摘  要</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_Toc8791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kern w:val="0"/>
          <w:sz w:val="28"/>
          <w:szCs w:val="28"/>
          <w:lang w:bidi="en-US"/>
        </w:rPr>
        <w:fldChar w:fldCharType="end"/>
      </w:r>
    </w:p>
    <w:p w14:paraId="6DF9AB19">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_Toc12843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一、项目基本情况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_Toc12843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3C38C443">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_Toc15845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项目背景</w:t>
      </w:r>
      <w:r>
        <w:rPr>
          <w:rFonts w:hint="default" w:ascii="Times New Roman" w:hAnsi="Times New Roman" w:eastAsia="仿宋_GB2312" w:cs="Times New Roman"/>
          <w:sz w:val="28"/>
          <w:szCs w:val="28"/>
          <w:lang w:val="en-US" w:eastAsia="zh-CN"/>
        </w:rPr>
        <w:t>及目的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_Toc15845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25BA7801">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_Toc3971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项目实施</w:t>
      </w:r>
      <w:r>
        <w:rPr>
          <w:rFonts w:hint="default" w:ascii="Times New Roman" w:hAnsi="Times New Roman" w:eastAsia="仿宋_GB2312" w:cs="Times New Roman"/>
          <w:sz w:val="28"/>
          <w:szCs w:val="28"/>
          <w:lang w:val="en-US" w:eastAsia="zh-CN"/>
        </w:rPr>
        <w:t>和完成</w:t>
      </w:r>
      <w:r>
        <w:rPr>
          <w:rFonts w:hint="default" w:ascii="Times New Roman" w:hAnsi="Times New Roman" w:eastAsia="仿宋_GB2312" w:cs="Times New Roman"/>
          <w:sz w:val="28"/>
          <w:szCs w:val="28"/>
        </w:rPr>
        <w:t>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_Toc3971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0DA83183">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_Toc2296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项目资金来源及支出情况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_Toc2296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53B4AD5F">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_Toc11166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项目组织管理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_Toc11166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641DC416">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_Toc18632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五</w:t>
      </w:r>
      <w:r>
        <w:rPr>
          <w:rFonts w:hint="default" w:ascii="Times New Roman" w:hAnsi="Times New Roman" w:eastAsia="仿宋_GB2312" w:cs="Times New Roman"/>
          <w:sz w:val="28"/>
          <w:szCs w:val="28"/>
          <w:highlight w:val="none"/>
        </w:rPr>
        <w:t>）项目绩效目标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_Toc18632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30ADA535">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_Toc2920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二、绩效评价开展情况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_Toc2920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3C79E03E">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_Toc14560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（一）绩效评价目的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_Toc14560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454DCA54">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_Toc17758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（二）绩效评价原则与方法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_Toc17758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244045E3">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_Toc16992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val="en-US" w:eastAsia="zh-CN"/>
        </w:rPr>
        <w:t>（三）绩效评价指标体系框架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_Toc16992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405B6E43">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_Toc87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rPr>
        <w:t>）绩效评价工作过程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50D95CAF">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_Toc4657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bCs w:val="0"/>
          <w:sz w:val="28"/>
          <w:szCs w:val="28"/>
        </w:rPr>
        <w:t>三、综合评价过程及指标分析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_Toc4657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57E909F0">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_Toc31061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（一）总体评价结论</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_Toc31061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31B9FA7E">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_Toc11778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（二）指标分析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_Toc11778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6472C82D">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_Toc20768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highlight w:val="none"/>
        </w:rPr>
        <w:t>四、主要成绩和经验做法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_Toc20768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2FB87E37">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_Toc26119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五、存在的主要问题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_Toc26119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37674F64">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_Toc10108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rPr>
        <w:t>六、有关建议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_Toc10108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68AF4C11">
      <w:pPr>
        <w:pStyle w:val="12"/>
        <w:widowControl w:val="0"/>
        <w:tabs>
          <w:tab w:val="right" w:leader="dot" w:pos="8306"/>
          <w:tab w:val="clear" w:pos="829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_Toc12751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val="en-US" w:eastAsia="zh-CN"/>
        </w:rPr>
        <w:t>七、绩效评价结果应用建议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_Toc12751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59654321">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_Toc31024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val="en-US" w:eastAsia="zh-CN"/>
        </w:rPr>
        <w:t>（一）结果反馈与整改</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_Toc31024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0B6C4796">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_Toc14510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val="en-US" w:eastAsia="zh-CN"/>
        </w:rPr>
        <w:t>（二）报告与公开</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_Toc14510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589F46E9">
      <w:pPr>
        <w:pStyle w:val="15"/>
        <w:widowControl w:val="0"/>
        <w:tabs>
          <w:tab w:val="right" w:leader="dot" w:pos="8306"/>
        </w:tabs>
        <w:wordWrap/>
        <w:adjustRightInd/>
        <w:snapToGrid/>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_Toc8003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z w:val="28"/>
          <w:szCs w:val="28"/>
          <w:lang w:val="zh-CN" w:eastAsia="zh-CN"/>
        </w:rPr>
        <w:t>（</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zh-CN" w:eastAsia="zh-CN"/>
        </w:rPr>
        <w:t>）</w:t>
      </w:r>
      <w:r>
        <w:rPr>
          <w:rFonts w:hint="default" w:ascii="Times New Roman" w:hAnsi="Times New Roman" w:eastAsia="仿宋_GB2312" w:cs="Times New Roman"/>
          <w:sz w:val="28"/>
          <w:szCs w:val="28"/>
          <w:lang w:val="en-US" w:eastAsia="zh-CN"/>
        </w:rPr>
        <w:t>与预算安排相挂钩</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_Toc8003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60496B6C">
      <w:pPr>
        <w:pStyle w:val="12"/>
        <w:widowControl w:val="0"/>
        <w:tabs>
          <w:tab w:val="right" w:leader="dot" w:pos="8306"/>
          <w:tab w:val="clear" w:pos="8296"/>
        </w:tabs>
        <w:wordWrap/>
        <w:adjustRightInd/>
        <w:snapToGrid/>
        <w:spacing w:line="500" w:lineRule="exact"/>
        <w:textAlignment w:val="auto"/>
      </w:pPr>
      <w:r>
        <w:rPr>
          <w:rFonts w:hint="default" w:ascii="Times New Roman" w:hAnsi="Times New Roman" w:eastAsia="仿宋_GB2312" w:cs="Times New Roman"/>
          <w:sz w:val="28"/>
          <w:szCs w:val="28"/>
          <w:lang w:bidi="en-US"/>
        </w:rPr>
        <w:fldChar w:fldCharType="begin"/>
      </w:r>
      <w:r>
        <w:rPr>
          <w:rFonts w:hint="default" w:ascii="Times New Roman" w:hAnsi="Times New Roman" w:eastAsia="仿宋_GB2312" w:cs="Times New Roman"/>
          <w:sz w:val="28"/>
          <w:szCs w:val="28"/>
          <w:lang w:bidi="en-US"/>
        </w:rPr>
        <w:instrText xml:space="preserve"> HYPERLINK \l _Toc2697 </w:instrText>
      </w:r>
      <w:r>
        <w:rPr>
          <w:rFonts w:hint="default" w:ascii="Times New Roman" w:hAnsi="Times New Roman" w:eastAsia="仿宋_GB2312" w:cs="Times New Roman"/>
          <w:sz w:val="28"/>
          <w:szCs w:val="28"/>
          <w:lang w:bidi="en-US"/>
        </w:rPr>
        <w:fldChar w:fldCharType="separate"/>
      </w:r>
      <w:r>
        <w:rPr>
          <w:rFonts w:hint="default" w:ascii="Times New Roman" w:hAnsi="Times New Roman" w:eastAsia="仿宋_GB2312" w:cs="Times New Roman"/>
          <w:snapToGrid w:val="0"/>
          <w:kern w:val="0"/>
          <w:sz w:val="28"/>
          <w:szCs w:val="28"/>
        </w:rPr>
        <w:t xml:space="preserve">附件一 </w:t>
      </w:r>
      <w:r>
        <w:rPr>
          <w:rFonts w:hint="default" w:ascii="Times New Roman" w:hAnsi="Times New Roman" w:eastAsia="仿宋_GB2312" w:cs="Times New Roman"/>
          <w:snapToGrid w:val="0"/>
          <w:kern w:val="0"/>
          <w:sz w:val="28"/>
          <w:szCs w:val="28"/>
          <w:lang w:val="en-US" w:eastAsia="zh-CN"/>
        </w:rPr>
        <w:t>绩效评价指标体系</w:t>
      </w:r>
      <w:r>
        <w:rPr>
          <w:rFonts w:hint="default" w:ascii="Times New Roman" w:hAnsi="Times New Roman" w:eastAsia="仿宋_GB2312" w:cs="Times New Roman"/>
          <w:sz w:val="28"/>
          <w:szCs w:val="28"/>
        </w:rPr>
        <w:t>综合评分表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_Toc2697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bidi="en-US"/>
        </w:rPr>
        <w:fldChar w:fldCharType="end"/>
      </w:r>
    </w:p>
    <w:p w14:paraId="69818756">
      <w:pPr>
        <w:pStyle w:val="26"/>
        <w:widowControl w:val="0"/>
        <w:wordWrap/>
        <w:adjustRightInd/>
        <w:snapToGrid/>
        <w:spacing w:line="560" w:lineRule="exact"/>
        <w:textAlignment w:val="auto"/>
        <w:rPr>
          <w:rFonts w:hint="default" w:ascii="Times New Roman" w:hAnsi="Times New Roman" w:eastAsia="仿宋_GB2312" w:cs="Times New Roman"/>
          <w:sz w:val="30"/>
          <w:szCs w:val="30"/>
          <w:lang w:bidi="en-US"/>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eastAsia="仿宋_GB2312" w:cs="Times New Roman"/>
          <w:szCs w:val="32"/>
          <w:lang w:bidi="en-US"/>
        </w:rPr>
        <w:fldChar w:fldCharType="end"/>
      </w:r>
    </w:p>
    <w:bookmarkEnd w:id="3"/>
    <w:bookmarkEnd w:id="4"/>
    <w:p w14:paraId="6163B995">
      <w:pPr>
        <w:pStyle w:val="3"/>
        <w:ind w:firstLine="0" w:firstLineChars="0"/>
        <w:jc w:val="center"/>
        <w:rPr>
          <w:rFonts w:hint="eastAsia" w:ascii="方正小标宋简体" w:hAnsi="方正小标宋简体" w:eastAsia="方正小标宋简体" w:cs="方正小标宋简体"/>
          <w:kern w:val="0"/>
          <w:sz w:val="44"/>
          <w:szCs w:val="44"/>
          <w:lang w:bidi="en-US"/>
        </w:rPr>
      </w:pPr>
      <w:bookmarkStart w:id="5" w:name="_Toc8791"/>
      <w:r>
        <w:rPr>
          <w:rFonts w:hint="eastAsia" w:ascii="方正小标宋简体" w:hAnsi="方正小标宋简体" w:eastAsia="方正小标宋简体" w:cs="方正小标宋简体"/>
          <w:kern w:val="0"/>
          <w:sz w:val="44"/>
          <w:szCs w:val="44"/>
          <w:lang w:bidi="en-US"/>
        </w:rPr>
        <w:t>摘  要</w:t>
      </w:r>
      <w:bookmarkEnd w:id="5"/>
    </w:p>
    <w:p w14:paraId="4BFFAF70">
      <w:pPr>
        <w:rPr>
          <w:rFonts w:hint="default"/>
        </w:rPr>
      </w:pPr>
    </w:p>
    <w:p w14:paraId="118F1724">
      <w:pPr>
        <w:pStyle w:val="26"/>
        <w:rPr>
          <w:rFonts w:hint="default" w:ascii="Times New Roman" w:hAnsi="Times New Roman" w:cs="Times New Roman"/>
          <w:lang w:val="en-US" w:eastAsia="zh-CN"/>
        </w:rPr>
      </w:pPr>
      <w:r>
        <w:rPr>
          <w:rFonts w:hint="default" w:ascii="Times New Roman" w:hAnsi="Times New Roman" w:cs="Times New Roman"/>
        </w:rPr>
        <w:t>党的十九大提出实施乡村振兴战略，是对“三农”工作作出的重大决策部署，是决胜全面建成小康社会、全面建设社会主义现代化国家的重大历史任务，是新时代做好“三农”工作的总抓手。为贯彻落实党中央、国务院关于</w:t>
      </w:r>
      <w:r>
        <w:rPr>
          <w:rFonts w:hint="default" w:ascii="Times New Roman" w:hAnsi="Times New Roman" w:cs="Times New Roman"/>
          <w:lang w:val="en-US" w:eastAsia="zh-CN"/>
        </w:rPr>
        <w:t>乡村振兴的</w:t>
      </w:r>
      <w:r>
        <w:rPr>
          <w:rFonts w:hint="default" w:ascii="Times New Roman" w:hAnsi="Times New Roman" w:cs="Times New Roman"/>
        </w:rPr>
        <w:t>决策部署，</w:t>
      </w:r>
      <w:r>
        <w:rPr>
          <w:rFonts w:hint="default" w:ascii="Times New Roman" w:hAnsi="Times New Roman" w:cs="Times New Roman"/>
          <w:lang w:eastAsia="zh-CN"/>
        </w:rPr>
        <w:t>中共河南省委、河南省人民政府发布《关于全面推进乡村振兴加快农业农村现代化的实施意见》，明确要求实现巩固拓展脱贫攻坚成果同乡村振兴有效衔接。</w:t>
      </w:r>
      <w:bookmarkStart w:id="6" w:name="_Toc23264181"/>
      <w:r>
        <w:rPr>
          <w:rFonts w:hint="default" w:ascii="Times New Roman" w:hAnsi="Times New Roman" w:cs="Times New Roman"/>
          <w:lang w:val="en-US" w:eastAsia="zh-CN"/>
        </w:rPr>
        <w:t>滑县</w:t>
      </w:r>
      <w:r>
        <w:rPr>
          <w:rFonts w:hint="default" w:ascii="Times New Roman" w:hAnsi="Times New Roman" w:cs="Times New Roman"/>
        </w:rPr>
        <w:t>以</w:t>
      </w:r>
      <w:r>
        <w:rPr>
          <w:rFonts w:hint="default" w:ascii="Times New Roman" w:hAnsi="Times New Roman" w:cs="Times New Roman"/>
          <w:lang w:val="en-US" w:eastAsia="zh-CN"/>
        </w:rPr>
        <w:t>省持续推进减贫工作衔接试点县为契机，不断创新思路和模式，先行先试，持续巩固拓展脱贫攻坚成果</w:t>
      </w:r>
      <w:r>
        <w:rPr>
          <w:rFonts w:hint="default" w:ascii="Times New Roman" w:hAnsi="Times New Roman" w:cs="Times New Roman"/>
        </w:rPr>
        <w:t>，</w:t>
      </w:r>
      <w:r>
        <w:rPr>
          <w:rFonts w:hint="default" w:ascii="Times New Roman" w:hAnsi="Times New Roman" w:cs="Times New Roman"/>
          <w:lang w:val="en-US" w:eastAsia="zh-CN"/>
        </w:rPr>
        <w:t>多措并举高质量完成脱贫攻坚工作。</w:t>
      </w:r>
      <w:bookmarkEnd w:id="6"/>
    </w:p>
    <w:p w14:paraId="55462121">
      <w:pPr>
        <w:pStyle w:val="26"/>
        <w:rPr>
          <w:rFonts w:hint="default" w:ascii="Times New Roman" w:hAnsi="Times New Roman" w:cs="Times New Roman"/>
        </w:rPr>
      </w:pPr>
      <w:r>
        <w:rPr>
          <w:rFonts w:hint="default" w:ascii="Times New Roman" w:hAnsi="Times New Roman" w:cs="Times New Roman"/>
        </w:rPr>
        <w:t>为深入贯彻落实《中共中央 国务院关于全面实施预算绩效管理的意见》《河南省财政衔接推进乡村振兴补助资金管理办法》《河南省衔接推进乡村振兴补助资金绩效评价及考核办法》有关要求，健全绩效评价常态化机制，科学评价滑县统筹整合财政涉农资金使用效果，滑县财政局组织开展此次财政衔接推进乡村振兴补助资金绩效评价工作。评价组通过资料收集、数据复核、实地勘察等工作，于2022年12月初步完成绩效评价工作，现将主要评价结果报告如下：</w:t>
      </w:r>
    </w:p>
    <w:p w14:paraId="4D53CBCD">
      <w:pPr>
        <w:pStyle w:val="26"/>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一、项目基本情况</w:t>
      </w:r>
    </w:p>
    <w:p w14:paraId="245CD11D">
      <w:pPr>
        <w:pStyle w:val="26"/>
        <w:rPr>
          <w:rFonts w:hint="default" w:ascii="Times New Roman" w:hAnsi="Times New Roman" w:cs="Times New Roman"/>
          <w:highlight w:val="none"/>
        </w:rPr>
      </w:pP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年，滑县</w:t>
      </w:r>
      <w:r>
        <w:rPr>
          <w:rFonts w:hint="eastAsia" w:ascii="Times New Roman" w:hAnsi="Times New Roman" w:cs="Times New Roman"/>
          <w:lang w:val="en-US" w:eastAsia="zh-CN"/>
        </w:rPr>
        <w:t>统筹整合财政涉农</w:t>
      </w:r>
      <w:r>
        <w:rPr>
          <w:rFonts w:hint="default" w:ascii="Times New Roman" w:hAnsi="Times New Roman" w:cs="Times New Roman"/>
          <w:lang w:eastAsia="zh-CN"/>
        </w:rPr>
        <w:t>资金</w:t>
      </w:r>
      <w:r>
        <w:rPr>
          <w:rFonts w:hint="default" w:ascii="Times New Roman" w:hAnsi="Times New Roman" w:cs="Times New Roman"/>
        </w:rPr>
        <w:t>实施范围涉及</w:t>
      </w:r>
      <w:r>
        <w:rPr>
          <w:rFonts w:hint="default" w:ascii="Times New Roman" w:hAnsi="Times New Roman" w:cs="Times New Roman"/>
          <w:lang w:val="en-US" w:eastAsia="zh-CN"/>
        </w:rPr>
        <w:t>全县各类项目387个</w:t>
      </w:r>
      <w:r>
        <w:rPr>
          <w:rFonts w:hint="default" w:ascii="Times New Roman" w:hAnsi="Times New Roman" w:cs="Times New Roman"/>
        </w:rPr>
        <w:t>，</w:t>
      </w:r>
      <w:r>
        <w:rPr>
          <w:rFonts w:hint="default" w:ascii="Times New Roman" w:hAnsi="Times New Roman" w:cs="Times New Roman"/>
          <w:lang w:val="en-US" w:eastAsia="zh-CN"/>
        </w:rPr>
        <w:t>包括农村基础设施类项目（背街小巷硬化奖补、道路硬化、危房改造、以工代赈</w:t>
      </w:r>
      <w:r>
        <w:rPr>
          <w:rFonts w:hint="eastAsia" w:ascii="Times New Roman" w:hAnsi="Times New Roman" w:cs="Times New Roman"/>
          <w:lang w:val="en-US" w:eastAsia="zh-CN"/>
        </w:rPr>
        <w:t>、高标准农田机井及配套</w:t>
      </w:r>
      <w:r>
        <w:rPr>
          <w:rFonts w:hint="default" w:ascii="Times New Roman" w:hAnsi="Times New Roman" w:cs="Times New Roman"/>
          <w:lang w:val="en-US" w:eastAsia="zh-CN"/>
        </w:rPr>
        <w:t>）</w:t>
      </w:r>
      <w:r>
        <w:rPr>
          <w:rFonts w:hint="eastAsia" w:ascii="Times New Roman" w:hAnsi="Times New Roman" w:cs="Times New Roman"/>
          <w:lang w:val="en-US" w:eastAsia="zh-CN"/>
        </w:rPr>
        <w:t>350</w:t>
      </w:r>
      <w:r>
        <w:rPr>
          <w:rFonts w:hint="default" w:ascii="Times New Roman" w:hAnsi="Times New Roman" w:cs="Times New Roman"/>
          <w:lang w:val="en-US" w:eastAsia="zh-CN"/>
        </w:rPr>
        <w:t>个、产业发展类项目（设施农业产业扶持村集体经济发展扶持）</w:t>
      </w:r>
      <w:r>
        <w:rPr>
          <w:rFonts w:hint="eastAsia" w:ascii="Times New Roman" w:hAnsi="Times New Roman" w:cs="Times New Roman"/>
          <w:lang w:val="en-US" w:eastAsia="zh-CN"/>
        </w:rPr>
        <w:t>32</w:t>
      </w:r>
      <w:r>
        <w:rPr>
          <w:rFonts w:hint="default" w:ascii="Times New Roman" w:hAnsi="Times New Roman" w:cs="Times New Roman"/>
          <w:lang w:val="en-US" w:eastAsia="zh-CN"/>
        </w:rPr>
        <w:t>个、</w:t>
      </w:r>
      <w:r>
        <w:rPr>
          <w:rFonts w:hint="eastAsia" w:ascii="Times New Roman" w:hAnsi="Times New Roman" w:cs="Times New Roman"/>
          <w:lang w:val="en-US" w:eastAsia="zh-CN"/>
        </w:rPr>
        <w:t>其他类项目（</w:t>
      </w:r>
      <w:r>
        <w:rPr>
          <w:rFonts w:hint="default" w:ascii="Times New Roman" w:hAnsi="Times New Roman" w:cs="Times New Roman"/>
          <w:lang w:val="en-US" w:eastAsia="zh-CN"/>
        </w:rPr>
        <w:t>雨露计划、就业创业技能培训</w:t>
      </w:r>
      <w:r>
        <w:rPr>
          <w:rFonts w:hint="eastAsia" w:ascii="Times New Roman" w:hAnsi="Times New Roman" w:cs="Times New Roman"/>
          <w:lang w:val="en-US" w:eastAsia="zh-CN"/>
        </w:rPr>
        <w:t>、</w:t>
      </w:r>
      <w:r>
        <w:rPr>
          <w:rFonts w:hint="default" w:ascii="Times New Roman" w:hAnsi="Times New Roman" w:cs="Times New Roman"/>
          <w:lang w:val="en-US" w:eastAsia="zh-CN"/>
        </w:rPr>
        <w:t>小额贷款贴息</w:t>
      </w:r>
      <w:r>
        <w:rPr>
          <w:rFonts w:hint="eastAsia" w:ascii="Times New Roman" w:hAnsi="Times New Roman" w:cs="Times New Roman"/>
          <w:lang w:val="en-US" w:eastAsia="zh-CN"/>
        </w:rPr>
        <w:t>、项目管理费、市派第一书记工作经费）5</w:t>
      </w:r>
      <w:r>
        <w:rPr>
          <w:rFonts w:hint="default" w:ascii="Times New Roman" w:hAnsi="Times New Roman" w:cs="Times New Roman"/>
          <w:lang w:val="en-US" w:eastAsia="zh-CN"/>
        </w:rPr>
        <w:t>个。</w:t>
      </w:r>
      <w:r>
        <w:rPr>
          <w:rFonts w:hint="eastAsia" w:ascii="Times New Roman" w:hAnsi="Times New Roman" w:cs="Times New Roman"/>
          <w:lang w:val="en-US" w:eastAsia="zh-CN"/>
        </w:rPr>
        <w:t>除项目管理费、市派第一书记工作经费以外</w:t>
      </w:r>
      <w:r>
        <w:rPr>
          <w:rStyle w:val="24"/>
          <w:rFonts w:hint="eastAsia" w:ascii="Times New Roman" w:hAnsi="Times New Roman" w:cs="Times New Roman"/>
          <w:lang w:val="en-US" w:eastAsia="zh-CN"/>
        </w:rPr>
        <w:footnoteReference w:id="0"/>
      </w:r>
      <w:r>
        <w:rPr>
          <w:rFonts w:hint="eastAsia" w:ascii="Times New Roman" w:hAnsi="Times New Roman" w:cs="Times New Roman"/>
          <w:lang w:val="en-US" w:eastAsia="zh-CN"/>
        </w:rPr>
        <w:t>，</w:t>
      </w:r>
      <w:r>
        <w:rPr>
          <w:rFonts w:hint="default" w:ascii="Times New Roman" w:hAnsi="Times New Roman" w:cs="Times New Roman"/>
          <w:lang w:val="en-US" w:eastAsia="zh-CN"/>
        </w:rPr>
        <w:t>截至评价期结束，</w:t>
      </w:r>
      <w:r>
        <w:rPr>
          <w:rFonts w:hint="eastAsia" w:ascii="Times New Roman" w:hAnsi="Times New Roman" w:cs="Times New Roman"/>
          <w:highlight w:val="none"/>
          <w:lang w:val="en-US" w:eastAsia="zh-CN"/>
        </w:rPr>
        <w:t>385个项目</w:t>
      </w:r>
      <w:r>
        <w:rPr>
          <w:rFonts w:hint="eastAsia" w:cs="Times New Roman"/>
          <w:highlight w:val="none"/>
          <w:lang w:val="en-US" w:eastAsia="zh-CN"/>
        </w:rPr>
        <w:t>已全部</w:t>
      </w:r>
      <w:r>
        <w:rPr>
          <w:rFonts w:hint="default" w:ascii="Times New Roman" w:hAnsi="Times New Roman" w:cs="Times New Roman"/>
          <w:highlight w:val="none"/>
        </w:rPr>
        <w:t>完成</w:t>
      </w:r>
      <w:r>
        <w:rPr>
          <w:rFonts w:hint="default" w:ascii="Times New Roman" w:hAnsi="Times New Roman" w:cs="Times New Roman"/>
          <w:highlight w:val="none"/>
          <w:lang w:val="en-US" w:eastAsia="zh-CN"/>
        </w:rPr>
        <w:t>建设任务</w:t>
      </w:r>
      <w:r>
        <w:rPr>
          <w:rFonts w:hint="default" w:ascii="Times New Roman" w:hAnsi="Times New Roman" w:cs="Times New Roman"/>
          <w:highlight w:val="none"/>
          <w:lang w:eastAsia="zh-CN"/>
        </w:rPr>
        <w:t>，</w:t>
      </w:r>
      <w:r>
        <w:rPr>
          <w:rFonts w:hint="eastAsia" w:ascii="Times New Roman" w:hAnsi="Times New Roman" w:cs="Times New Roman"/>
          <w:highlight w:val="none"/>
          <w:lang w:val="en-US" w:eastAsia="zh-CN"/>
        </w:rPr>
        <w:t>总体</w:t>
      </w:r>
      <w:r>
        <w:rPr>
          <w:rFonts w:hint="default" w:ascii="Times New Roman" w:hAnsi="Times New Roman" w:cs="Times New Roman"/>
          <w:highlight w:val="none"/>
          <w:lang w:val="en-US" w:eastAsia="zh-CN"/>
        </w:rPr>
        <w:t>完工率为</w:t>
      </w:r>
      <w:r>
        <w:rPr>
          <w:rFonts w:hint="eastAsia" w:cs="Times New Roman"/>
          <w:highlight w:val="none"/>
          <w:lang w:val="en-US" w:eastAsia="zh-CN"/>
        </w:rPr>
        <w:t>100</w:t>
      </w:r>
      <w:r>
        <w:rPr>
          <w:rFonts w:hint="default" w:ascii="Times New Roman" w:hAnsi="Times New Roman" w:cs="Times New Roman"/>
          <w:highlight w:val="none"/>
          <w:lang w:val="en-US" w:eastAsia="zh-CN"/>
        </w:rPr>
        <w:t>%</w:t>
      </w:r>
      <w:r>
        <w:rPr>
          <w:rFonts w:hint="default" w:ascii="Times New Roman" w:hAnsi="Times New Roman" w:cs="Times New Roman"/>
          <w:highlight w:val="none"/>
        </w:rPr>
        <w:t>。</w:t>
      </w:r>
    </w:p>
    <w:p w14:paraId="575E8D87">
      <w:pPr>
        <w:pStyle w:val="26"/>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w:t>
      </w:r>
      <w:r>
        <w:rPr>
          <w:rFonts w:hint="eastAsia" w:ascii="Times New Roman" w:hAnsi="Times New Roman" w:cs="Times New Roman"/>
          <w:lang w:val="en-US" w:eastAsia="zh-CN"/>
        </w:rPr>
        <w:t>度</w:t>
      </w:r>
      <w:r>
        <w:rPr>
          <w:rFonts w:hint="default" w:ascii="Times New Roman" w:hAnsi="Times New Roman" w:cs="Times New Roman"/>
          <w:lang w:val="en-US" w:eastAsia="zh-CN"/>
        </w:rPr>
        <w:t>，滑县共安排统筹整合财政涉农资金</w:t>
      </w:r>
      <w:r>
        <w:rPr>
          <w:rFonts w:hint="eastAsia" w:ascii="Times New Roman" w:hAnsi="Times New Roman" w:cs="Times New Roman"/>
          <w:lang w:val="en-US" w:eastAsia="zh-CN"/>
        </w:rPr>
        <w:t>20,108.81万元，包括</w:t>
      </w:r>
      <w:r>
        <w:rPr>
          <w:rFonts w:hint="default" w:ascii="Times New Roman" w:hAnsi="Times New Roman" w:cs="Times New Roman"/>
          <w:lang w:val="en-US" w:eastAsia="zh-CN"/>
        </w:rPr>
        <w:t>财政衔接推进乡村振兴补助资金</w:t>
      </w:r>
      <w:r>
        <w:rPr>
          <w:rFonts w:hint="eastAsia" w:ascii="Times New Roman" w:hAnsi="Times New Roman" w:cs="Times New Roman"/>
          <w:lang w:val="en-US" w:eastAsia="zh-CN"/>
        </w:rPr>
        <w:t>17,254万元（含中央资金8,620万元、省级资金3,071万元、市级资金213万元、县级资金5,350万元），其他统筹整合资金2,854.81万元。截至2022年11月21日，各级资金</w:t>
      </w:r>
      <w:r>
        <w:rPr>
          <w:rFonts w:hint="default" w:ascii="Times New Roman" w:hAnsi="Times New Roman" w:cs="Times New Roman"/>
          <w:lang w:val="en-US" w:eastAsia="zh-CN"/>
        </w:rPr>
        <w:t>实际到位</w:t>
      </w:r>
      <w:r>
        <w:rPr>
          <w:rFonts w:hint="eastAsia" w:ascii="Times New Roman" w:hAnsi="Times New Roman" w:cs="Times New Roman"/>
          <w:lang w:val="en-US" w:eastAsia="zh-CN"/>
        </w:rPr>
        <w:t>20,108.81</w:t>
      </w:r>
      <w:r>
        <w:rPr>
          <w:rFonts w:hint="default" w:ascii="Times New Roman" w:hAnsi="Times New Roman" w:cs="Times New Roman"/>
          <w:lang w:val="en-US" w:eastAsia="zh-CN"/>
        </w:rPr>
        <w:t>万元，资金到位率为100%。累计支出资金</w:t>
      </w:r>
      <w:r>
        <w:rPr>
          <w:rFonts w:hint="eastAsia" w:ascii="Times New Roman" w:hAnsi="Times New Roman" w:cs="Times New Roman"/>
          <w:lang w:val="en-US" w:eastAsia="zh-CN"/>
        </w:rPr>
        <w:t>18,560.33</w:t>
      </w:r>
      <w:r>
        <w:rPr>
          <w:rFonts w:hint="default" w:ascii="Times New Roman" w:hAnsi="Times New Roman" w:cs="Times New Roman"/>
          <w:lang w:val="en-US" w:eastAsia="zh-CN"/>
        </w:rPr>
        <w:t>万元，预算执行率为</w:t>
      </w:r>
      <w:r>
        <w:rPr>
          <w:rFonts w:hint="eastAsia" w:ascii="Times New Roman" w:hAnsi="Times New Roman" w:cs="Times New Roman"/>
          <w:lang w:val="en-US" w:eastAsia="zh-CN"/>
        </w:rPr>
        <w:t>92.30</w:t>
      </w:r>
      <w:r>
        <w:rPr>
          <w:rFonts w:hint="default" w:ascii="Times New Roman" w:hAnsi="Times New Roman" w:cs="Times New Roman"/>
          <w:lang w:val="en-US" w:eastAsia="zh-CN"/>
        </w:rPr>
        <w:t>%</w:t>
      </w:r>
      <w:r>
        <w:rPr>
          <w:rFonts w:hint="eastAsia" w:ascii="Times New Roman" w:hAnsi="Times New Roman" w:cs="Times New Roman"/>
          <w:lang w:val="en-US" w:eastAsia="zh-CN"/>
        </w:rPr>
        <w:t>，</w:t>
      </w:r>
      <w:r>
        <w:rPr>
          <w:rFonts w:hint="default" w:ascii="Times New Roman" w:hAnsi="Times New Roman" w:cs="Times New Roman"/>
          <w:lang w:val="en-US" w:eastAsia="zh-CN"/>
        </w:rPr>
        <w:t>预算执行进度总体较好。</w:t>
      </w:r>
    </w:p>
    <w:p w14:paraId="4E5016AD">
      <w:pPr>
        <w:pStyle w:val="26"/>
        <w:rPr>
          <w:rFonts w:hint="default" w:ascii="Times New Roman" w:hAnsi="Times New Roman" w:cs="Times New Roman"/>
        </w:rPr>
      </w:pPr>
      <w:r>
        <w:rPr>
          <w:rFonts w:hint="default" w:ascii="Times New Roman" w:hAnsi="Times New Roman" w:cs="Times New Roman"/>
        </w:rPr>
        <w:t>为深入了解</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default" w:ascii="Times New Roman" w:hAnsi="Times New Roman" w:cs="Times New Roman"/>
          <w:lang w:val="en-US" w:eastAsia="zh-CN"/>
        </w:rPr>
        <w:t>度滑县</w:t>
      </w:r>
      <w:r>
        <w:rPr>
          <w:rFonts w:hint="eastAsia" w:ascii="Times New Roman" w:hAnsi="Times New Roman" w:cs="Times New Roman"/>
          <w:lang w:val="en-US" w:eastAsia="zh-CN"/>
        </w:rPr>
        <w:t>财政衔接推进乡村振兴补助资金</w:t>
      </w:r>
      <w:r>
        <w:rPr>
          <w:rFonts w:hint="default" w:ascii="Times New Roman" w:hAnsi="Times New Roman" w:cs="Times New Roman"/>
          <w:lang w:val="en-US" w:eastAsia="zh-CN"/>
        </w:rPr>
        <w:t>项目</w:t>
      </w:r>
      <w:r>
        <w:rPr>
          <w:rFonts w:hint="default" w:ascii="Times New Roman" w:hAnsi="Times New Roman" w:cs="Times New Roman"/>
        </w:rPr>
        <w:t>实施完成情况，评价组从</w:t>
      </w:r>
      <w:r>
        <w:rPr>
          <w:rFonts w:hint="default" w:ascii="Times New Roman" w:hAnsi="Times New Roman" w:cs="Times New Roman"/>
          <w:lang w:val="en-US" w:eastAsia="zh-CN"/>
        </w:rPr>
        <w:t>上述</w:t>
      </w:r>
      <w:r>
        <w:rPr>
          <w:rFonts w:hint="default" w:ascii="Times New Roman" w:hAnsi="Times New Roman" w:cs="Times New Roman"/>
        </w:rPr>
        <w:t>项目中抽取</w:t>
      </w:r>
      <w:r>
        <w:rPr>
          <w:rFonts w:hint="eastAsia" w:ascii="Times New Roman" w:hAnsi="Times New Roman" w:cs="Times New Roman"/>
          <w:lang w:val="en-US" w:eastAsia="zh-CN"/>
        </w:rPr>
        <w:t>16个进行重点评价，包括基础设施类8个、产业发展类8个</w:t>
      </w:r>
      <w:r>
        <w:rPr>
          <w:rFonts w:hint="default" w:ascii="Times New Roman" w:hAnsi="Times New Roman" w:cs="Times New Roman"/>
        </w:rPr>
        <w:t>。</w:t>
      </w:r>
      <w:r>
        <w:rPr>
          <w:rFonts w:hint="eastAsia" w:cs="Times New Roman"/>
          <w:lang w:val="en-US" w:eastAsia="zh-CN"/>
        </w:rPr>
        <w:t>此次</w:t>
      </w:r>
      <w:r>
        <w:rPr>
          <w:rFonts w:hint="default" w:ascii="Times New Roman" w:hAnsi="Times New Roman" w:cs="Times New Roman"/>
          <w:lang w:val="en-US" w:eastAsia="zh-CN"/>
        </w:rPr>
        <w:t>抽取的</w:t>
      </w:r>
      <w:r>
        <w:rPr>
          <w:rFonts w:hint="eastAsia" w:ascii="Times New Roman" w:hAnsi="Times New Roman" w:cs="Times New Roman"/>
          <w:lang w:val="en-US" w:eastAsia="zh-CN"/>
        </w:rPr>
        <w:t>16个</w:t>
      </w:r>
      <w:r>
        <w:rPr>
          <w:rFonts w:hint="default" w:ascii="Times New Roman" w:hAnsi="Times New Roman" w:cs="Times New Roman"/>
          <w:lang w:val="en-US" w:eastAsia="zh-CN"/>
        </w:rPr>
        <w:t>项目年初预算安排资金</w:t>
      </w:r>
      <w:r>
        <w:rPr>
          <w:rFonts w:hint="eastAsia" w:ascii="Times New Roman" w:hAnsi="Times New Roman" w:cs="Times New Roman"/>
          <w:lang w:val="en-US" w:eastAsia="zh-CN"/>
        </w:rPr>
        <w:t>6,961.4</w:t>
      </w:r>
      <w:r>
        <w:rPr>
          <w:rFonts w:hint="default" w:ascii="Times New Roman" w:hAnsi="Times New Roman" w:cs="Times New Roman"/>
          <w:lang w:val="en-US" w:eastAsia="zh-CN"/>
        </w:rPr>
        <w:t>万元，全年实际到位资金</w:t>
      </w:r>
      <w:r>
        <w:rPr>
          <w:rFonts w:hint="eastAsia" w:ascii="Times New Roman" w:hAnsi="Times New Roman" w:cs="Times New Roman"/>
          <w:lang w:val="en-US" w:eastAsia="zh-CN"/>
        </w:rPr>
        <w:t>6,958.76</w:t>
      </w:r>
      <w:r>
        <w:rPr>
          <w:rFonts w:hint="default" w:ascii="Times New Roman" w:hAnsi="Times New Roman" w:cs="Times New Roman"/>
          <w:lang w:val="en-US" w:eastAsia="zh-CN"/>
        </w:rPr>
        <w:t>万元，已支付金额</w:t>
      </w:r>
      <w:r>
        <w:rPr>
          <w:rFonts w:hint="eastAsia" w:ascii="Times New Roman" w:hAnsi="Times New Roman" w:cs="Times New Roman"/>
          <w:lang w:val="en-US" w:eastAsia="zh-CN"/>
        </w:rPr>
        <w:t>6,650.88</w:t>
      </w:r>
      <w:r>
        <w:rPr>
          <w:rFonts w:hint="default" w:ascii="Times New Roman" w:hAnsi="Times New Roman" w:cs="Times New Roman"/>
          <w:lang w:val="en-US" w:eastAsia="zh-CN"/>
        </w:rPr>
        <w:t>万元，预算执行率为</w:t>
      </w:r>
      <w:r>
        <w:rPr>
          <w:rFonts w:hint="eastAsia" w:ascii="Times New Roman" w:hAnsi="Times New Roman" w:cs="Times New Roman"/>
          <w:lang w:val="en-US" w:eastAsia="zh-CN"/>
        </w:rPr>
        <w:t>95.58</w:t>
      </w:r>
      <w:r>
        <w:rPr>
          <w:rFonts w:hint="default" w:ascii="Times New Roman" w:hAnsi="Times New Roman" w:cs="Times New Roman"/>
          <w:lang w:val="en-US" w:eastAsia="zh-CN"/>
        </w:rPr>
        <w:t>%。</w:t>
      </w:r>
    </w:p>
    <w:p w14:paraId="77A968AB">
      <w:pPr>
        <w:pStyle w:val="26"/>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二、总体评价结论</w:t>
      </w:r>
    </w:p>
    <w:p w14:paraId="712815D1">
      <w:pPr>
        <w:pStyle w:val="26"/>
        <w:rPr>
          <w:rFonts w:hint="default" w:ascii="Times New Roman" w:hAnsi="Times New Roman" w:cs="Times New Roman"/>
        </w:rPr>
      </w:pPr>
      <w:r>
        <w:rPr>
          <w:rFonts w:hint="default" w:ascii="Times New Roman" w:hAnsi="Times New Roman" w:cs="Times New Roman"/>
        </w:rPr>
        <w:t>运用由评价组</w:t>
      </w:r>
      <w:r>
        <w:rPr>
          <w:rFonts w:hint="default" w:ascii="Times New Roman" w:hAnsi="Times New Roman" w:cs="Times New Roman"/>
          <w:lang w:val="en-US" w:eastAsia="zh-CN"/>
        </w:rPr>
        <w:t>设计</w:t>
      </w:r>
      <w:r>
        <w:rPr>
          <w:rFonts w:hint="default" w:ascii="Times New Roman" w:hAnsi="Times New Roman" w:cs="Times New Roman"/>
        </w:rPr>
        <w:t>的指标体系及评分标准，通过数据采集、访谈、问卷</w:t>
      </w:r>
      <w:r>
        <w:rPr>
          <w:rFonts w:hint="default" w:ascii="Times New Roman" w:hAnsi="Times New Roman" w:cs="Times New Roman"/>
          <w:lang w:val="en-US" w:eastAsia="zh-CN"/>
        </w:rPr>
        <w:t>调研</w:t>
      </w:r>
      <w:r>
        <w:rPr>
          <w:rFonts w:hint="default" w:ascii="Times New Roman" w:hAnsi="Times New Roman" w:cs="Times New Roman"/>
        </w:rPr>
        <w:t>等形式对</w:t>
      </w:r>
      <w:r>
        <w:rPr>
          <w:rFonts w:hint="default" w:ascii="Times New Roman" w:hAnsi="Times New Roman" w:cs="Times New Roman"/>
          <w:lang w:val="en-US" w:eastAsia="zh-CN"/>
        </w:rPr>
        <w:t>滑县</w:t>
      </w:r>
      <w:r>
        <w:rPr>
          <w:rFonts w:hint="default" w:ascii="Times New Roman" w:hAnsi="Times New Roman" w:cs="Times New Roman"/>
          <w:lang w:eastAsia="zh-C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eastAsia" w:ascii="Times New Roman" w:hAnsi="Times New Roman" w:cs="Times New Roman"/>
          <w:lang w:val="en-US" w:eastAsia="zh-CN"/>
        </w:rPr>
        <w:t>财政衔接推进乡村振兴补助资金</w:t>
      </w:r>
      <w:r>
        <w:rPr>
          <w:rFonts w:hint="default" w:ascii="Times New Roman" w:hAnsi="Times New Roman" w:cs="Times New Roman"/>
        </w:rPr>
        <w:t>绩效评价项目进行客观评价，最终评价得分为</w:t>
      </w:r>
      <w:r>
        <w:rPr>
          <w:rFonts w:hint="eastAsia" w:cs="Times New Roman"/>
          <w:highlight w:val="none"/>
          <w:lang w:val="en-US" w:eastAsia="zh-CN"/>
        </w:rPr>
        <w:t>92.65</w:t>
      </w:r>
      <w:r>
        <w:rPr>
          <w:rFonts w:hint="default" w:ascii="Times New Roman" w:hAnsi="Times New Roman" w:cs="Times New Roman"/>
        </w:rPr>
        <w:t>分</w:t>
      </w:r>
      <w:r>
        <w:rPr>
          <w:rFonts w:hint="default" w:ascii="Times New Roman" w:hAnsi="Times New Roman" w:cs="Times New Roman"/>
          <w:lang w:eastAsia="zh-CN"/>
        </w:rPr>
        <w:t>，</w:t>
      </w:r>
      <w:r>
        <w:rPr>
          <w:rFonts w:hint="default" w:ascii="Times New Roman" w:hAnsi="Times New Roman" w:cs="Times New Roman"/>
        </w:rPr>
        <w:t>绩效评价级别为“</w:t>
      </w:r>
      <w:r>
        <w:rPr>
          <w:rFonts w:hint="default" w:ascii="Times New Roman" w:hAnsi="Times New Roman" w:cs="Times New Roman"/>
          <w:highlight w:val="none"/>
          <w:lang w:val="en-US" w:eastAsia="zh-CN"/>
        </w:rPr>
        <w:t>优</w:t>
      </w:r>
      <w:r>
        <w:rPr>
          <w:rFonts w:hint="default" w:ascii="Times New Roman" w:hAnsi="Times New Roman" w:cs="Times New Roman"/>
        </w:rPr>
        <w:t>”。</w:t>
      </w:r>
    </w:p>
    <w:p w14:paraId="1F379F12">
      <w:pPr>
        <w:pStyle w:val="26"/>
        <w:rPr>
          <w:rFonts w:hint="default" w:ascii="Times New Roman" w:hAnsi="Times New Roman" w:cs="Times New Roman"/>
          <w:lang w:val="en-US"/>
        </w:rPr>
      </w:pPr>
      <w:r>
        <w:rPr>
          <w:rFonts w:hint="default" w:ascii="Times New Roman" w:hAnsi="Times New Roman" w:cs="Times New Roman"/>
        </w:rPr>
        <w:t>总体来看，</w:t>
      </w:r>
      <w:r>
        <w:rPr>
          <w:rFonts w:hint="default" w:ascii="Times New Roman" w:hAnsi="Times New Roman" w:cs="Times New Roman"/>
          <w:lang w:val="en-US" w:eastAsia="zh-CN"/>
        </w:rPr>
        <w:t>滑县</w:t>
      </w:r>
      <w:r>
        <w:rPr>
          <w:rFonts w:hint="default" w:ascii="Times New Roman" w:hAnsi="Times New Roman" w:cs="Times New Roman"/>
          <w:lang w:eastAsia="zh-CN"/>
        </w:rPr>
        <w:t>202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eastAsia" w:ascii="Times New Roman" w:hAnsi="Times New Roman" w:cs="Times New Roman"/>
          <w:lang w:val="en-US" w:eastAsia="zh-CN"/>
        </w:rPr>
        <w:t>财政衔接推进乡村振兴补助</w:t>
      </w:r>
      <w:r>
        <w:rPr>
          <w:rFonts w:hint="default" w:ascii="Times New Roman" w:hAnsi="Times New Roman" w:cs="Times New Roman"/>
        </w:rPr>
        <w:t>项目</w:t>
      </w:r>
      <w:r>
        <w:rPr>
          <w:rFonts w:hint="default" w:ascii="Times New Roman" w:hAnsi="Times New Roman" w:cs="Times New Roman"/>
          <w:lang w:val="en-US" w:eastAsia="zh-CN"/>
        </w:rPr>
        <w:t>实施取得了一定成效。</w:t>
      </w:r>
      <w:r>
        <w:rPr>
          <w:rFonts w:hint="eastAsia" w:ascii="Times New Roman" w:hAnsi="Times New Roman" w:cs="Times New Roman"/>
          <w:lang w:val="en-US" w:eastAsia="zh-CN"/>
        </w:rPr>
        <w:t>该</w:t>
      </w:r>
      <w:r>
        <w:rPr>
          <w:rFonts w:hint="default" w:ascii="Times New Roman" w:hAnsi="Times New Roman" w:cs="Times New Roman"/>
          <w:b w:val="0"/>
          <w:bCs w:val="0"/>
          <w:lang w:val="en-US" w:eastAsia="zh-CN"/>
        </w:rPr>
        <w:t>项目</w:t>
      </w:r>
      <w:r>
        <w:rPr>
          <w:rFonts w:hint="default" w:ascii="Times New Roman" w:hAnsi="Times New Roman" w:cs="Times New Roman"/>
        </w:rPr>
        <w:t>立项依据充分、立项程序规范、预算编制合理</w:t>
      </w:r>
      <w:r>
        <w:rPr>
          <w:rFonts w:hint="default" w:ascii="Times New Roman" w:hAnsi="Times New Roman" w:cs="Times New Roman"/>
          <w:lang w:eastAsia="zh-CN"/>
        </w:rPr>
        <w:t>，</w:t>
      </w:r>
      <w:r>
        <w:rPr>
          <w:rFonts w:hint="default" w:ascii="Times New Roman" w:hAnsi="Times New Roman" w:cs="Times New Roman"/>
          <w:lang w:val="en-US" w:eastAsia="zh-CN"/>
        </w:rPr>
        <w:t>绩效目标设置总体较为规范</w:t>
      </w:r>
      <w:r>
        <w:rPr>
          <w:rFonts w:hint="default" w:ascii="Times New Roman" w:hAnsi="Times New Roman" w:cs="Times New Roman"/>
        </w:rPr>
        <w:t>。</w:t>
      </w:r>
      <w:r>
        <w:rPr>
          <w:rFonts w:hint="default" w:ascii="Times New Roman" w:hAnsi="Times New Roman" w:cs="Times New Roman"/>
          <w:lang w:val="en-US" w:eastAsia="zh-CN"/>
        </w:rPr>
        <w:t>滑县</w:t>
      </w:r>
      <w:r>
        <w:rPr>
          <w:rFonts w:hint="default" w:ascii="Times New Roman" w:hAnsi="Times New Roman" w:cs="Times New Roman"/>
        </w:rPr>
        <w:t>财政局、</w:t>
      </w:r>
      <w:r>
        <w:rPr>
          <w:rFonts w:hint="default" w:ascii="Times New Roman" w:hAnsi="Times New Roman" w:cs="Times New Roman"/>
          <w:lang w:val="en-US" w:eastAsia="zh-CN"/>
        </w:rPr>
        <w:t>滑县</w:t>
      </w:r>
      <w:r>
        <w:rPr>
          <w:rFonts w:hint="default" w:ascii="Times New Roman" w:hAnsi="Times New Roman" w:cs="Times New Roman"/>
          <w:lang w:eastAsia="zh-CN"/>
        </w:rPr>
        <w:t>乡村振兴局</w:t>
      </w:r>
      <w:r>
        <w:rPr>
          <w:rFonts w:hint="default" w:ascii="Times New Roman" w:hAnsi="Times New Roman" w:cs="Times New Roman"/>
        </w:rPr>
        <w:t>、各乡镇政府等单位职责分工明确</w:t>
      </w:r>
      <w:r>
        <w:rPr>
          <w:rFonts w:hint="default" w:ascii="Times New Roman" w:hAnsi="Times New Roman" w:cs="Times New Roman"/>
          <w:lang w:eastAsia="zh-CN"/>
        </w:rPr>
        <w:t>，</w:t>
      </w:r>
      <w:r>
        <w:rPr>
          <w:rFonts w:hint="default" w:ascii="Times New Roman" w:hAnsi="Times New Roman" w:cs="Times New Roman"/>
          <w:lang w:val="en-US" w:eastAsia="zh-CN"/>
        </w:rPr>
        <w:t>项目管理制度较为健全，制度执行规范、有效</w:t>
      </w:r>
      <w:r>
        <w:rPr>
          <w:rFonts w:hint="default" w:ascii="Times New Roman" w:hAnsi="Times New Roman" w:cs="Times New Roman"/>
        </w:rPr>
        <w:t>。</w:t>
      </w:r>
      <w:r>
        <w:rPr>
          <w:rFonts w:hint="default" w:ascii="Times New Roman" w:hAnsi="Times New Roman" w:cs="Times New Roman"/>
          <w:lang w:val="en-US" w:eastAsia="zh-CN"/>
        </w:rPr>
        <w:t>资金支付进度总体良好；财政衔接推进乡村振兴补助资金用于产业项目比例高于202</w:t>
      </w:r>
      <w:r>
        <w:rPr>
          <w:rFonts w:hint="eastAsia" w:ascii="Times New Roman" w:hAnsi="Times New Roman" w:cs="Times New Roman"/>
          <w:lang w:val="en-US" w:eastAsia="zh-CN"/>
        </w:rPr>
        <w:t>1</w:t>
      </w:r>
      <w:r>
        <w:rPr>
          <w:rFonts w:hint="default" w:ascii="Times New Roman" w:hAnsi="Times New Roman" w:cs="Times New Roman"/>
          <w:lang w:val="en-US" w:eastAsia="zh-CN"/>
        </w:rPr>
        <w:t>年度产业项目资金占比。</w:t>
      </w:r>
      <w:r>
        <w:rPr>
          <w:rFonts w:hint="eastAsia" w:ascii="Times New Roman" w:hAnsi="Times New Roman" w:cs="Times New Roman"/>
          <w:lang w:val="en-US" w:eastAsia="zh-CN"/>
        </w:rPr>
        <w:t>项目建设完成度总体较高。</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年度全县</w:t>
      </w:r>
      <w:r>
        <w:rPr>
          <w:rFonts w:hint="eastAsia" w:ascii="Times New Roman" w:hAnsi="Times New Roman" w:cs="Times New Roman"/>
          <w:lang w:val="en-US" w:eastAsia="zh-CN"/>
        </w:rPr>
        <w:t>统筹整合财政涉农资金</w:t>
      </w:r>
      <w:r>
        <w:rPr>
          <w:rFonts w:hint="default" w:ascii="Times New Roman" w:hAnsi="Times New Roman" w:cs="Times New Roman"/>
          <w:lang w:val="en-US" w:eastAsia="zh-CN"/>
        </w:rPr>
        <w:t>项目及时完工，项目一次验收合格率达100%。</w:t>
      </w:r>
      <w:r>
        <w:rPr>
          <w:rFonts w:hint="default" w:ascii="Times New Roman" w:hAnsi="Times New Roman" w:cs="Times New Roman"/>
          <w:b w:val="0"/>
          <w:bCs w:val="0"/>
          <w:lang w:val="en-US" w:eastAsia="zh-CN"/>
        </w:rPr>
        <w:t>通过项目实施，受扶持乡镇、行政村农民人均可支配收入、带动村集体经济收入均高于202</w:t>
      </w:r>
      <w:r>
        <w:rPr>
          <w:rFonts w:hint="eastAsia" w:ascii="Times New Roman" w:hAnsi="Times New Roman" w:cs="Times New Roman"/>
          <w:b w:val="0"/>
          <w:bCs w:val="0"/>
          <w:lang w:val="en-US" w:eastAsia="zh-CN"/>
        </w:rPr>
        <w:t>1</w:t>
      </w:r>
      <w:r>
        <w:rPr>
          <w:rFonts w:hint="default" w:ascii="Times New Roman" w:hAnsi="Times New Roman" w:cs="Times New Roman"/>
          <w:b w:val="0"/>
          <w:bCs w:val="0"/>
          <w:lang w:val="en-US" w:eastAsia="zh-CN"/>
        </w:rPr>
        <w:t>年，脱贫户和防止返贫监测对象满意度达</w:t>
      </w:r>
      <w:r>
        <w:rPr>
          <w:rFonts w:hint="eastAsia" w:ascii="Times New Roman" w:hAnsi="Times New Roman" w:cs="Times New Roman"/>
          <w:lang w:val="en-US" w:eastAsia="zh-CN"/>
        </w:rPr>
        <w:t>95</w:t>
      </w:r>
      <w:r>
        <w:rPr>
          <w:rFonts w:hint="default" w:ascii="Times New Roman" w:hAnsi="Times New Roman" w:cs="Times New Roman"/>
          <w:b w:val="0"/>
          <w:bCs w:val="0"/>
          <w:lang w:val="en-US" w:eastAsia="zh-CN"/>
        </w:rPr>
        <w:t>%</w:t>
      </w:r>
      <w:r>
        <w:rPr>
          <w:rFonts w:hint="default" w:ascii="Times New Roman" w:hAnsi="Times New Roman" w:cs="Times New Roman"/>
          <w:lang w:val="en-US" w:eastAsia="zh-CN"/>
        </w:rPr>
        <w:t>。</w:t>
      </w:r>
    </w:p>
    <w:p w14:paraId="01B13CA7">
      <w:pPr>
        <w:pStyle w:val="26"/>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三、主要成绩及经验做法</w:t>
      </w:r>
    </w:p>
    <w:p w14:paraId="630D8903">
      <w:pPr>
        <w:pStyle w:val="26"/>
        <w:rPr>
          <w:rFonts w:hint="default" w:ascii="Times New Roman" w:hAnsi="Times New Roman" w:cs="Times New Roman"/>
          <w:lang w:val="en-US" w:eastAsia="zh-CN"/>
        </w:rPr>
      </w:pPr>
      <w:r>
        <w:rPr>
          <w:rFonts w:hint="eastAsia" w:ascii="楷体" w:hAnsi="楷体" w:eastAsia="楷体" w:cs="楷体"/>
          <w:b/>
          <w:bCs/>
          <w:lang w:val="en-US" w:eastAsia="zh-CN"/>
        </w:rPr>
        <w:t>一是健全组织保障机制，夯实脱贫攻坚责任。</w:t>
      </w:r>
      <w:r>
        <w:rPr>
          <w:rFonts w:hint="default" w:ascii="Times New Roman" w:hAnsi="Times New Roman" w:cs="Times New Roman"/>
        </w:rPr>
        <w:t>坚定不移把脱贫攻坚作为头等大事和第一民生工程，严格落实一把手负责制，及时成立脱贫攻坚指挥部，建立工作例会、战令交办、专班推进、督导问责等制度，确保工作落地见效。</w:t>
      </w:r>
      <w:r>
        <w:rPr>
          <w:rFonts w:hint="default" w:ascii="Times New Roman" w:hAnsi="Times New Roman" w:cs="Times New Roman"/>
          <w:lang w:val="en-US" w:eastAsia="zh-CN"/>
        </w:rPr>
        <w:t>严格落实“四不摘”要求，保持现有帮扶政策、资金支持、帮扶力量总体稳定。</w:t>
      </w:r>
      <w:r>
        <w:rPr>
          <w:rFonts w:hint="default" w:ascii="Times New Roman" w:hAnsi="Times New Roman" w:cs="Times New Roman"/>
        </w:rPr>
        <w:t>将脱贫攻坚工作作为乡镇</w:t>
      </w:r>
      <w:r>
        <w:rPr>
          <w:rFonts w:hint="eastAsia" w:ascii="Times New Roman" w:hAnsi="Times New Roman" w:cs="Times New Roman"/>
          <w:lang w:eastAsia="zh-CN"/>
        </w:rPr>
        <w:t>（</w:t>
      </w:r>
      <w:r>
        <w:rPr>
          <w:rFonts w:hint="default" w:ascii="Times New Roman" w:hAnsi="Times New Roman" w:cs="Times New Roman"/>
        </w:rPr>
        <w:t>街道</w:t>
      </w:r>
      <w:r>
        <w:rPr>
          <w:rFonts w:hint="eastAsia" w:ascii="Times New Roman" w:hAnsi="Times New Roman" w:cs="Times New Roman"/>
          <w:lang w:eastAsia="zh-CN"/>
        </w:rPr>
        <w:t>）</w:t>
      </w:r>
      <w:r>
        <w:rPr>
          <w:rFonts w:hint="default" w:ascii="Times New Roman" w:hAnsi="Times New Roman" w:cs="Times New Roman"/>
        </w:rPr>
        <w:t>和县直单位考核的主要指标，细化考核方案，严格考核制度，注重考核结果运用，并积极引导社会各界开展帮扶工作，凝聚起强大攻坚合力。</w:t>
      </w:r>
    </w:p>
    <w:p w14:paraId="3BA347E8">
      <w:pPr>
        <w:pStyle w:val="26"/>
        <w:rPr>
          <w:rFonts w:hint="default" w:ascii="Times New Roman" w:hAnsi="Times New Roman" w:cs="Times New Roman"/>
          <w:lang w:val="en-US" w:eastAsia="zh-CN"/>
        </w:rPr>
      </w:pPr>
      <w:r>
        <w:rPr>
          <w:rFonts w:hint="eastAsia" w:ascii="楷体" w:hAnsi="楷体" w:eastAsia="楷体" w:cs="楷体"/>
          <w:b/>
          <w:bCs/>
          <w:lang w:val="en-US" w:eastAsia="zh-CN"/>
        </w:rPr>
        <w:t>二是坚持权责匹配分级负责，实施过程分工明确责任落实。</w:t>
      </w:r>
      <w:r>
        <w:rPr>
          <w:rFonts w:hint="default" w:ascii="Times New Roman" w:hAnsi="Times New Roman" w:cs="Times New Roman"/>
          <w:lang w:val="en-US" w:eastAsia="zh-CN"/>
        </w:rPr>
        <w:t>业务主管部门结合工作实际制定项目实施方案，明确项目建设标准、原材料质量要求、项目建设时间安排、项目资金监管办法、项目建成后移交、监管、维护等相关要求，将组织指导贯穿于项目建设的始终，并依据上级要求，结合项目实施方案，对建设进度进行督导；项目主管部门应会同财政部门对项目实施单位的财务决算进行审核，对未通过验收的项目，需要求项目实施单位限时整改直至通过验收；项目主体责任单位对规划项目负有属地管理责任，对项目申报、入库、招标、采购、实施、验收、资金拨付全流程负有主体和监管责任；项目实施单位严格执行行业规范和建设标准，遵照政府采购和招投标有关规定，对项目及时组织验收和竣工决算，并按规定及时提供报账资料。</w:t>
      </w:r>
    </w:p>
    <w:p w14:paraId="356010CF">
      <w:pPr>
        <w:pStyle w:val="26"/>
        <w:rPr>
          <w:rFonts w:hint="default" w:ascii="Times New Roman" w:hAnsi="Times New Roman" w:cs="Times New Roman"/>
        </w:rPr>
      </w:pPr>
      <w:r>
        <w:rPr>
          <w:rFonts w:hint="eastAsia" w:ascii="楷体" w:hAnsi="楷体" w:eastAsia="楷体" w:cs="楷体"/>
          <w:b/>
          <w:bCs/>
          <w:lang w:val="en-US" w:eastAsia="zh-CN"/>
        </w:rPr>
        <w:t>三是资金投入保障有力，</w:t>
      </w:r>
      <w:r>
        <w:rPr>
          <w:rFonts w:hint="eastAsia" w:ascii="楷体" w:hAnsi="楷体" w:eastAsia="楷体" w:cs="楷体"/>
          <w:b/>
          <w:bCs/>
        </w:rPr>
        <w:t>拓宽增收致富门路</w:t>
      </w:r>
      <w:r>
        <w:rPr>
          <w:rFonts w:hint="eastAsia" w:ascii="楷体" w:hAnsi="楷体" w:eastAsia="楷体" w:cs="楷体"/>
          <w:b/>
          <w:bCs/>
          <w:lang w:eastAsia="zh-CN"/>
        </w:rPr>
        <w:t>。</w:t>
      </w:r>
      <w:r>
        <w:rPr>
          <w:rFonts w:hint="default" w:ascii="Times New Roman" w:hAnsi="Times New Roman" w:cs="Times New Roman"/>
          <w:lang w:val="en-US" w:eastAsia="zh-CN"/>
        </w:rPr>
        <w:t>一方面，县本级预算安排资金有所增加。</w:t>
      </w:r>
      <w:r>
        <w:rPr>
          <w:rFonts w:hint="eastAsia" w:ascii="Times New Roman" w:hAnsi="Times New Roman" w:cs="Times New Roman"/>
          <w:lang w:val="en-US" w:eastAsia="zh-CN"/>
        </w:rPr>
        <w:t>2022年度，县本级预算安排衔接资金5,350万元，高于2021年衔接资金规模5,346.21万元。同时，积极统筹整合资金，扎实推进道路硬化、以工代赈等项目，农村生产生活条件明显改善。</w:t>
      </w:r>
      <w:r>
        <w:rPr>
          <w:rFonts w:hint="default" w:ascii="Times New Roman" w:hAnsi="Times New Roman" w:cs="Times New Roman"/>
          <w:lang w:val="en-US" w:eastAsia="zh-CN"/>
        </w:rPr>
        <w:t>另一方面，用于产业项目资金比例大幅提升。2021年、2022年度中央财政衔接资金用于产业发展比例分别</w:t>
      </w:r>
      <w:r>
        <w:rPr>
          <w:rFonts w:hint="eastAsia" w:ascii="Times New Roman" w:hAnsi="Times New Roman" w:cs="Times New Roman"/>
          <w:lang w:val="en-US" w:eastAsia="zh-CN"/>
        </w:rPr>
        <w:t>超过</w:t>
      </w:r>
      <w:r>
        <w:rPr>
          <w:rFonts w:hint="default" w:ascii="Times New Roman" w:hAnsi="Times New Roman" w:cs="Times New Roman"/>
          <w:lang w:val="en-US" w:eastAsia="zh-CN"/>
        </w:rPr>
        <w:t>50%、55%，且2022年中央财政衔接资金用于产业发展比例高于2021年。2022年度共安排中央财政衔接资金8</w:t>
      </w:r>
      <w:r>
        <w:rPr>
          <w:rFonts w:hint="eastAsia" w:ascii="Times New Roman" w:hAnsi="Times New Roman" w:cs="Times New Roman"/>
          <w:lang w:val="en-US" w:eastAsia="zh-CN"/>
        </w:rPr>
        <w:t>,</w:t>
      </w:r>
      <w:r>
        <w:rPr>
          <w:rFonts w:hint="default" w:ascii="Times New Roman" w:hAnsi="Times New Roman" w:cs="Times New Roman"/>
          <w:lang w:val="en-US" w:eastAsia="zh-CN"/>
        </w:rPr>
        <w:t>620万元，其中用于产业发展资金规模7916.47万元，占比91.84%。中央、省、市、县四级财政衔接资金合计用于产业发展比例</w:t>
      </w:r>
      <w:r>
        <w:rPr>
          <w:rFonts w:hint="eastAsia" w:ascii="Times New Roman" w:hAnsi="Times New Roman" w:cs="Times New Roman"/>
          <w:lang w:val="en-US" w:eastAsia="zh-CN"/>
        </w:rPr>
        <w:t>达到</w:t>
      </w:r>
      <w:r>
        <w:rPr>
          <w:rFonts w:hint="default" w:ascii="Times New Roman" w:hAnsi="Times New Roman" w:cs="Times New Roman"/>
          <w:lang w:val="en-US" w:eastAsia="zh-CN"/>
        </w:rPr>
        <w:t>61.45%，高于上年</w:t>
      </w:r>
      <w:r>
        <w:rPr>
          <w:rFonts w:hint="eastAsia" w:ascii="Times New Roman" w:hAnsi="Times New Roman" w:cs="Times New Roman"/>
          <w:lang w:val="en-US" w:eastAsia="zh-CN"/>
        </w:rPr>
        <w:t>产业资金占比</w:t>
      </w:r>
      <w:r>
        <w:rPr>
          <w:rFonts w:hint="default" w:ascii="Times New Roman" w:hAnsi="Times New Roman" w:cs="Times New Roman"/>
          <w:lang w:val="en-US" w:eastAsia="zh-CN"/>
        </w:rPr>
        <w:t>56.54%。始终将产业作为发展之基、增收之源，多方施策，精准对接，不断增强内生动力，拓宽就业渠道，确保</w:t>
      </w:r>
      <w:r>
        <w:rPr>
          <w:rFonts w:hint="eastAsia" w:ascii="Times New Roman" w:hAnsi="Times New Roman" w:cs="Times New Roman"/>
          <w:lang w:val="en-US" w:eastAsia="zh-CN"/>
        </w:rPr>
        <w:t>脱贫户</w:t>
      </w:r>
      <w:r>
        <w:rPr>
          <w:rFonts w:hint="default" w:ascii="Times New Roman" w:hAnsi="Times New Roman" w:cs="Times New Roman"/>
          <w:lang w:val="en-US" w:eastAsia="zh-CN"/>
        </w:rPr>
        <w:t>持续增收。</w:t>
      </w:r>
    </w:p>
    <w:p w14:paraId="3903DAE5">
      <w:pPr>
        <w:pStyle w:val="26"/>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四、存在问题</w:t>
      </w:r>
    </w:p>
    <w:p w14:paraId="6A9087E5">
      <w:pPr>
        <w:pStyle w:val="26"/>
        <w:rPr>
          <w:rFonts w:hint="default"/>
          <w:color w:val="auto"/>
          <w:highlight w:val="none"/>
          <w:lang w:val="en-US" w:eastAsia="zh-CN"/>
        </w:rPr>
      </w:pPr>
      <w:r>
        <w:rPr>
          <w:rFonts w:hint="eastAsia" w:ascii="楷体" w:hAnsi="楷体" w:eastAsia="楷体" w:cs="楷体"/>
          <w:b/>
          <w:bCs/>
          <w:highlight w:val="none"/>
          <w:lang w:val="en-US" w:eastAsia="zh-CN"/>
        </w:rPr>
        <w:t>一是部分项目入库描述不够科学、规范。</w:t>
      </w:r>
      <w:r>
        <w:rPr>
          <w:rFonts w:hint="eastAsia"/>
          <w:highlight w:val="none"/>
          <w:lang w:val="en-US" w:eastAsia="zh-CN"/>
        </w:rPr>
        <w:t>各入库项目内容完整，包括项目名称、项目类型、建设性质、实施地点、时间进度等。但部分入库项目利益链接机制描述不完善。例如，2022年滑县“雨露计划”职业教育助学补助、县雨露计划短期技能培训补助2个项目帮扶机制仅提到“通过对就读全日制中职、高职的享受政策的脱贫家庭（含监测帮扶对象家庭）学生进行补助，引导和鼓励农村脱贫享受政策家庭（含监测帮扶对象家庭）新生劳动力接受中、高等职业教育，提高就业技能水平和综合素质”“带动就业、解决增收问题”，</w:t>
      </w:r>
      <w:r>
        <w:rPr>
          <w:rFonts w:hint="eastAsia"/>
          <w:color w:val="auto"/>
          <w:highlight w:val="none"/>
          <w:lang w:val="en-US" w:eastAsia="zh-CN"/>
        </w:rPr>
        <w:t>未明确具体带动的就业人数，以及受益群体预计增收情况，难以进行有效衡量。</w:t>
      </w:r>
    </w:p>
    <w:p w14:paraId="15EDCF50">
      <w:pPr>
        <w:pStyle w:val="26"/>
        <w:rPr>
          <w:rFonts w:hint="default"/>
          <w:lang w:val="en-US" w:eastAsia="zh-CN"/>
        </w:rPr>
      </w:pPr>
      <w:r>
        <w:rPr>
          <w:rFonts w:hint="eastAsia" w:ascii="楷体" w:hAnsi="楷体" w:eastAsia="楷体" w:cs="楷体"/>
          <w:b/>
          <w:bCs/>
          <w:lang w:val="en-US" w:eastAsia="zh-CN"/>
        </w:rPr>
        <w:t>二是部分项目资金支付进度缓慢。</w:t>
      </w:r>
      <w:r>
        <w:rPr>
          <w:rFonts w:hint="eastAsia"/>
          <w:lang w:val="en-US" w:eastAsia="zh-CN"/>
        </w:rPr>
        <w:t>截至2022年11月底，此次抽查的部分项目预算执行率尚未达到80%。例如，八里营镇谢寨村、四间房镇唐尓庄村高标准农田机井及配套项目资金支付进度均为60%、八里营镇李冢上村道路硬化项目预算执行率为70%，资金支付进度有待提高。</w:t>
      </w:r>
    </w:p>
    <w:p w14:paraId="32207A60">
      <w:pPr>
        <w:pStyle w:val="26"/>
        <w:rPr>
          <w:rFonts w:hint="eastAsia"/>
          <w:color w:val="auto"/>
          <w:highlight w:val="none"/>
          <w:lang w:val="en-US" w:eastAsia="zh-CN"/>
        </w:rPr>
      </w:pPr>
      <w:r>
        <w:rPr>
          <w:rFonts w:hint="eastAsia" w:ascii="楷体" w:hAnsi="楷体" w:eastAsia="楷体" w:cs="楷体"/>
          <w:b/>
          <w:bCs/>
          <w:color w:val="auto"/>
          <w:highlight w:val="none"/>
          <w:lang w:val="en-US" w:eastAsia="zh-CN"/>
        </w:rPr>
        <w:t>三是部分项目效益发挥时效性不足。</w:t>
      </w:r>
      <w:r>
        <w:rPr>
          <w:rFonts w:hint="eastAsia"/>
          <w:color w:val="auto"/>
          <w:highlight w:val="none"/>
          <w:lang w:val="en-US" w:eastAsia="zh-CN"/>
        </w:rPr>
        <w:t>截至2022年11月底，个别产业项目因前期手续较多，导致现阶段运营协议未及时签订。</w:t>
      </w:r>
    </w:p>
    <w:p w14:paraId="08D6288A">
      <w:pPr>
        <w:pStyle w:val="26"/>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highlight w:val="none"/>
          <w:lang w:val="en-US" w:eastAsia="zh-CN"/>
        </w:rPr>
        <w:t>五、有关建议</w:t>
      </w:r>
    </w:p>
    <w:p w14:paraId="1AC731D9">
      <w:pPr>
        <w:pStyle w:val="26"/>
        <w:rPr>
          <w:rFonts w:hint="default"/>
          <w:highlight w:val="none"/>
          <w:lang w:val="en-US" w:eastAsia="zh-CN"/>
        </w:rPr>
      </w:pPr>
      <w:r>
        <w:rPr>
          <w:rFonts w:hint="eastAsia" w:ascii="楷体" w:hAnsi="楷体" w:eastAsia="楷体" w:cs="楷体"/>
          <w:b/>
          <w:bCs/>
          <w:highlight w:val="none"/>
          <w:lang w:val="en-US" w:eastAsia="zh-CN"/>
        </w:rPr>
        <w:t>一是明确项目绩效目标与联农带农机制，确保入库项目规范合理。</w:t>
      </w:r>
      <w:r>
        <w:rPr>
          <w:rFonts w:hint="eastAsia"/>
          <w:highlight w:val="none"/>
          <w:lang w:val="en-US" w:eastAsia="zh-CN"/>
        </w:rPr>
        <w:t>建议后续入库项目能够进一步明确利益链接及帮扶机制，明确联农带农的具体措施、工作方式，以及预期效果，定性描述与定量考核相结合，确保项目目标清晰明确、可衡量。便于在绩效运行监控、自评阶段充分考察项目建设完成情况，发现不足，优化提升。</w:t>
      </w:r>
    </w:p>
    <w:p w14:paraId="25F2B2B1">
      <w:pPr>
        <w:pStyle w:val="26"/>
        <w:rPr>
          <w:highlight w:val="none"/>
        </w:rPr>
      </w:pPr>
      <w:r>
        <w:rPr>
          <w:rFonts w:hint="eastAsia" w:ascii="楷体" w:hAnsi="楷体" w:eastAsia="楷体" w:cs="楷体"/>
          <w:b/>
          <w:bCs/>
          <w:highlight w:val="none"/>
          <w:lang w:val="en-US" w:eastAsia="zh-CN"/>
        </w:rPr>
        <w:t>二是加强项目储备与过程管理，合理规划财政资金支出进度。</w:t>
      </w:r>
      <w:r>
        <w:rPr>
          <w:rFonts w:hint="eastAsia"/>
          <w:highlight w:val="none"/>
        </w:rPr>
        <w:t>建议各项目单位</w:t>
      </w:r>
      <w:r>
        <w:rPr>
          <w:rFonts w:hint="eastAsia"/>
          <w:highlight w:val="none"/>
          <w:lang w:val="en-US" w:eastAsia="zh-CN"/>
        </w:rPr>
        <w:t>加强项目储备</w:t>
      </w:r>
      <w:r>
        <w:rPr>
          <w:rFonts w:hint="eastAsia"/>
          <w:highlight w:val="none"/>
        </w:rPr>
        <w:t>，充分考虑工程建设、设备购置等相关工作的规律性、成果产出的周期性等其他影响因素，明确各项建设任务完成时间节点，合理规划财政资金支出进度，积极妥善解决项目执行中的困难与问题，推动项目按计划进行，提高财政资金使用效率，降低财政资金沉淀的风险。</w:t>
      </w:r>
    </w:p>
    <w:p w14:paraId="71F3F9AB">
      <w:pPr>
        <w:pStyle w:val="26"/>
        <w:rPr>
          <w:rFonts w:hint="default"/>
          <w:highlight w:val="none"/>
          <w:lang w:val="en-US" w:eastAsia="zh-CN"/>
        </w:rPr>
      </w:pPr>
      <w:r>
        <w:rPr>
          <w:rFonts w:hint="eastAsia" w:ascii="楷体" w:hAnsi="楷体" w:eastAsia="楷体" w:cs="楷体"/>
          <w:b/>
          <w:bCs/>
          <w:highlight w:val="none"/>
          <w:lang w:val="en-US" w:eastAsia="zh-CN"/>
        </w:rPr>
        <w:t>三是加强项目前期调研和论证，确保及早发挥应有效益。</w:t>
      </w:r>
      <w:r>
        <w:rPr>
          <w:rFonts w:hint="eastAsia"/>
          <w:highlight w:val="none"/>
          <w:lang w:val="en-US" w:eastAsia="zh-CN"/>
        </w:rPr>
        <w:t>建议产业类项目合理规划项目进度，提前对接运营单位等相关主体，签订运营协议，保障项目预期收益。</w:t>
      </w:r>
      <w:r>
        <w:rPr>
          <w:rFonts w:hint="eastAsia"/>
          <w:highlight w:val="none"/>
        </w:rPr>
        <w:t>此外，可根据阶段性目标要求，将建设目标合理分解至各项工作安排中，执行完善、系统、明确的建设实施方案，指导各项建设工作顺利开展。</w:t>
      </w:r>
    </w:p>
    <w:p w14:paraId="2BE99929"/>
    <w:p w14:paraId="16E390B4">
      <w:pPr>
        <w:widowControl/>
        <w:wordWrap/>
        <w:adjustRightInd/>
        <w:snapToGrid/>
        <w:spacing w:line="560" w:lineRule="exact"/>
        <w:jc w:val="center"/>
        <w:textAlignment w:val="auto"/>
        <w:rPr>
          <w:rFonts w:hint="default" w:ascii="Times New Roman" w:hAnsi="Times New Roman" w:eastAsia="方正小标宋简体" w:cs="Times New Roman"/>
          <w:kern w:val="0"/>
          <w:sz w:val="44"/>
          <w:szCs w:val="44"/>
          <w:highlight w:val="none"/>
          <w:lang w:val="en-US" w:eastAsia="zh-CN" w:bidi="en-US"/>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7777FC81">
      <w:pPr>
        <w:widowControl/>
        <w:wordWrap/>
        <w:adjustRightInd/>
        <w:snapToGrid/>
        <w:spacing w:line="560" w:lineRule="exact"/>
        <w:jc w:val="center"/>
        <w:textAlignment w:val="auto"/>
        <w:rPr>
          <w:rFonts w:hint="default" w:ascii="Times New Roman" w:hAnsi="Times New Roman" w:eastAsia="方正小标宋简体" w:cs="Times New Roman"/>
          <w:kern w:val="0"/>
          <w:sz w:val="44"/>
          <w:szCs w:val="44"/>
          <w:highlight w:val="none"/>
          <w:lang w:val="en-US" w:eastAsia="zh-CN" w:bidi="en-US"/>
        </w:rPr>
      </w:pPr>
      <w:r>
        <w:rPr>
          <w:rFonts w:hint="default" w:ascii="Times New Roman" w:hAnsi="Times New Roman" w:eastAsia="方正小标宋简体" w:cs="Times New Roman"/>
          <w:kern w:val="0"/>
          <w:sz w:val="44"/>
          <w:szCs w:val="44"/>
          <w:highlight w:val="none"/>
          <w:lang w:val="en-US" w:eastAsia="zh-CN" w:bidi="en-US"/>
        </w:rPr>
        <w:t>202</w:t>
      </w:r>
      <w:r>
        <w:rPr>
          <w:rFonts w:hint="eastAsia" w:ascii="Times New Roman" w:hAnsi="Times New Roman" w:eastAsia="方正小标宋简体" w:cs="Times New Roman"/>
          <w:kern w:val="0"/>
          <w:sz w:val="44"/>
          <w:szCs w:val="44"/>
          <w:highlight w:val="none"/>
          <w:lang w:val="en-US" w:eastAsia="zh-CN" w:bidi="en-US"/>
        </w:rPr>
        <w:t>2</w:t>
      </w:r>
      <w:r>
        <w:rPr>
          <w:rFonts w:hint="default" w:ascii="Times New Roman" w:hAnsi="Times New Roman" w:eastAsia="方正小标宋简体" w:cs="Times New Roman"/>
          <w:kern w:val="0"/>
          <w:sz w:val="44"/>
          <w:szCs w:val="44"/>
          <w:highlight w:val="none"/>
          <w:lang w:val="en-US" w:eastAsia="zh-CN" w:bidi="en-US"/>
        </w:rPr>
        <w:t>年度滑县</w:t>
      </w:r>
      <w:r>
        <w:rPr>
          <w:rFonts w:hint="eastAsia" w:ascii="Times New Roman" w:hAnsi="Times New Roman" w:eastAsia="方正小标宋简体" w:cs="Times New Roman"/>
          <w:kern w:val="0"/>
          <w:sz w:val="44"/>
          <w:szCs w:val="44"/>
          <w:highlight w:val="none"/>
          <w:lang w:val="en-US" w:eastAsia="zh-CN" w:bidi="en-US"/>
        </w:rPr>
        <w:t>财政衔接推进乡村振兴补助</w:t>
      </w:r>
      <w:r>
        <w:rPr>
          <w:rFonts w:hint="default" w:ascii="Times New Roman" w:hAnsi="Times New Roman" w:eastAsia="方正小标宋简体" w:cs="Times New Roman"/>
          <w:kern w:val="0"/>
          <w:sz w:val="44"/>
          <w:szCs w:val="44"/>
          <w:highlight w:val="none"/>
          <w:lang w:val="en-US" w:eastAsia="zh-CN" w:bidi="en-US"/>
        </w:rPr>
        <w:t>资金绩效评价报告</w:t>
      </w:r>
    </w:p>
    <w:p w14:paraId="04A7A2A0">
      <w:pPr>
        <w:pStyle w:val="25"/>
        <w:rPr>
          <w:rFonts w:hint="default"/>
          <w:lang w:val="en-US" w:eastAsia="zh-CN"/>
        </w:rPr>
      </w:pPr>
    </w:p>
    <w:p w14:paraId="4DD85E72">
      <w:pPr>
        <w:pStyle w:val="26"/>
        <w:rPr>
          <w:rFonts w:hint="default" w:ascii="Times New Roman" w:hAnsi="Times New Roman" w:eastAsia="仿宋" w:cs="Times New Roman"/>
          <w:lang w:val="en-US" w:eastAsia="zh-CN"/>
        </w:rPr>
      </w:pPr>
      <w:r>
        <w:rPr>
          <w:rFonts w:hint="default" w:ascii="Times New Roman" w:hAnsi="Times New Roman" w:cs="Times New Roman"/>
        </w:rPr>
        <w:t>为深入贯彻落实《中共中央 国务院关于全面实施预算绩效管理的意见》</w:t>
      </w:r>
      <w:r>
        <w:rPr>
          <w:rFonts w:hint="eastAsia"/>
          <w:lang w:val="en-US" w:eastAsia="zh-CN"/>
        </w:rPr>
        <w:t>《河南省财政衔接推进乡村振兴补助资金管理办法》《河南省衔接推进乡村振兴补助资金绩效评价及考核办法》</w:t>
      </w:r>
      <w:r>
        <w:rPr>
          <w:rFonts w:hint="default" w:ascii="Times New Roman" w:hAnsi="Times New Roman" w:cs="Times New Roman"/>
        </w:rPr>
        <w:t>有关要求，健全绩效评价常态化机制，科学评价</w:t>
      </w:r>
      <w:r>
        <w:rPr>
          <w:rFonts w:hint="default" w:ascii="Times New Roman" w:hAnsi="Times New Roman" w:cs="Times New Roman"/>
          <w:lang w:val="en-US" w:eastAsia="zh-CN"/>
        </w:rPr>
        <w:t>滑县</w:t>
      </w:r>
      <w:r>
        <w:rPr>
          <w:rFonts w:hint="eastAsia" w:ascii="Times New Roman" w:hAnsi="Times New Roman" w:cs="Times New Roman"/>
          <w:lang w:val="en-US" w:eastAsia="zh-CN"/>
        </w:rPr>
        <w:t>财政衔接推进乡村振兴补助</w:t>
      </w:r>
      <w:r>
        <w:rPr>
          <w:rFonts w:hint="default" w:ascii="Times New Roman" w:hAnsi="Times New Roman" w:cs="Times New Roman"/>
          <w:lang w:eastAsia="zh-CN"/>
        </w:rPr>
        <w:t>资金</w:t>
      </w:r>
      <w:r>
        <w:rPr>
          <w:rFonts w:hint="default" w:ascii="Times New Roman" w:hAnsi="Times New Roman" w:cs="Times New Roman"/>
        </w:rPr>
        <w:t>使用效果，</w:t>
      </w:r>
      <w:r>
        <w:rPr>
          <w:rFonts w:hint="default" w:ascii="Times New Roman" w:hAnsi="Times New Roman" w:cs="Times New Roman"/>
          <w:lang w:val="en-US" w:eastAsia="zh-CN"/>
        </w:rPr>
        <w:t>滑县财政局组织开展此次</w:t>
      </w:r>
      <w:r>
        <w:rPr>
          <w:rFonts w:hint="eastAsia" w:ascii="Times New Roman" w:hAnsi="Times New Roman" w:cs="Times New Roman"/>
          <w:lang w:val="en-US" w:eastAsia="zh-CN"/>
        </w:rPr>
        <w:t>财政衔接推进乡村振兴补助</w:t>
      </w:r>
      <w:r>
        <w:rPr>
          <w:rFonts w:hint="default" w:ascii="Times New Roman" w:hAnsi="Times New Roman" w:cs="Times New Roman"/>
          <w:lang w:eastAsia="zh-CN"/>
        </w:rPr>
        <w:t>资金</w:t>
      </w:r>
      <w:r>
        <w:rPr>
          <w:rFonts w:hint="default" w:ascii="Times New Roman" w:hAnsi="Times New Roman" w:cs="Times New Roman"/>
        </w:rPr>
        <w:t>绩效评价工作。</w:t>
      </w:r>
      <w:r>
        <w:rPr>
          <w:rFonts w:hint="eastAsia" w:ascii="Times New Roman" w:hAnsi="Times New Roman" w:cs="Times New Roman"/>
          <w:lang w:val="en-US" w:eastAsia="zh-CN"/>
        </w:rPr>
        <w:t>评价组通过资料收集、数据复核、实地勘察等工作，于2022年12月初步完成评价工作，形成评价结论，现将主要评价结果报告如下：</w:t>
      </w:r>
    </w:p>
    <w:p w14:paraId="68A6758E">
      <w:pPr>
        <w:pStyle w:val="3"/>
        <w:ind w:firstLine="643"/>
        <w:rPr>
          <w:rFonts w:hint="default" w:ascii="Times New Roman" w:hAnsi="Times New Roman" w:cs="Times New Roman"/>
        </w:rPr>
      </w:pPr>
      <w:bookmarkStart w:id="7" w:name="_Toc23264183"/>
      <w:bookmarkStart w:id="8" w:name="_Toc23265713"/>
      <w:bookmarkStart w:id="9" w:name="_Toc12843"/>
      <w:r>
        <w:rPr>
          <w:rFonts w:hint="default" w:ascii="Times New Roman" w:hAnsi="Times New Roman" w:cs="Times New Roman"/>
        </w:rPr>
        <w:t>一、项目基本情况</w:t>
      </w:r>
      <w:bookmarkEnd w:id="7"/>
      <w:bookmarkEnd w:id="8"/>
      <w:bookmarkEnd w:id="9"/>
    </w:p>
    <w:p w14:paraId="26547270">
      <w:pPr>
        <w:pStyle w:val="4"/>
        <w:rPr>
          <w:rFonts w:hint="default"/>
          <w:lang w:val="en-US" w:eastAsia="zh-CN"/>
        </w:rPr>
      </w:pPr>
      <w:bookmarkStart w:id="10" w:name="_Toc15869"/>
      <w:bookmarkStart w:id="11" w:name="_Toc23264185"/>
      <w:bookmarkStart w:id="12" w:name="_Toc23266455"/>
      <w:bookmarkStart w:id="13" w:name="_Toc27624"/>
      <w:bookmarkStart w:id="14" w:name="_Toc23265715"/>
      <w:bookmarkStart w:id="15" w:name="_Toc15845"/>
      <w:r>
        <w:rPr>
          <w:rFonts w:hint="eastAsia"/>
          <w:lang w:eastAsia="zh-CN"/>
        </w:rPr>
        <w:t>（</w:t>
      </w:r>
      <w:r>
        <w:rPr>
          <w:rFonts w:hint="eastAsia"/>
          <w:lang w:val="en-US" w:eastAsia="zh-CN"/>
        </w:rPr>
        <w:t>一</w:t>
      </w:r>
      <w:r>
        <w:rPr>
          <w:rFonts w:hint="eastAsia"/>
          <w:lang w:eastAsia="zh-CN"/>
        </w:rPr>
        <w:t>）</w:t>
      </w:r>
      <w:r>
        <w:rPr>
          <w:rFonts w:hint="default"/>
        </w:rPr>
        <w:t>项目背景</w:t>
      </w:r>
      <w:bookmarkEnd w:id="10"/>
      <w:bookmarkEnd w:id="11"/>
      <w:bookmarkEnd w:id="12"/>
      <w:bookmarkEnd w:id="13"/>
      <w:bookmarkEnd w:id="14"/>
      <w:r>
        <w:rPr>
          <w:rFonts w:hint="eastAsia"/>
          <w:lang w:val="en-US" w:eastAsia="zh-CN"/>
        </w:rPr>
        <w:t>及目的</w:t>
      </w:r>
      <w:bookmarkEnd w:id="15"/>
    </w:p>
    <w:p w14:paraId="016B6843">
      <w:pPr>
        <w:pStyle w:val="26"/>
        <w:rPr>
          <w:rFonts w:hint="default" w:ascii="Times New Roman" w:hAnsi="Times New Roman" w:cs="Times New Roman"/>
          <w:lang w:eastAsia="zh-CN"/>
        </w:rPr>
      </w:pPr>
      <w:bookmarkStart w:id="16" w:name="_Toc21781491"/>
      <w:bookmarkStart w:id="17" w:name="_Toc23264188"/>
      <w:r>
        <w:rPr>
          <w:rFonts w:hint="default" w:ascii="Times New Roman" w:hAnsi="Times New Roman" w:cs="Times New Roman"/>
          <w:lang w:eastAsia="zh-CN"/>
        </w:rPr>
        <w:t>实施乡村振兴战略，</w:t>
      </w:r>
      <w:r>
        <w:rPr>
          <w:rFonts w:hint="eastAsia" w:cs="Times New Roman"/>
          <w:lang w:eastAsia="zh-CN"/>
        </w:rPr>
        <w:t>以习近平同志为核心的党中央</w:t>
      </w:r>
      <w:bookmarkStart w:id="140" w:name="_GoBack"/>
      <w:bookmarkEnd w:id="140"/>
      <w:r>
        <w:rPr>
          <w:rFonts w:hint="default" w:ascii="Times New Roman" w:hAnsi="Times New Roman" w:cs="Times New Roman"/>
          <w:lang w:eastAsia="zh-CN"/>
        </w:rPr>
        <w:t>，着眼党和国家事业全局，深刻把握现代化建设规律和城乡关系变化特征，顺应亿万农民对美好生活的向往，对“三农”工作作出的重大决策部署。到2020年我国现行标准下农村贫困人口全部实现脱贫、贫困县全部摘帽、区域性整体贫困得到解决，脱贫攻坚取得全面胜利，全面建成小康社会，实现了第一个百年奋斗目标。</w:t>
      </w:r>
    </w:p>
    <w:p w14:paraId="3AC7C291">
      <w:pPr>
        <w:pStyle w:val="26"/>
        <w:rPr>
          <w:rFonts w:hint="default" w:ascii="Times New Roman" w:hAnsi="Times New Roman" w:cs="Times New Roman"/>
          <w:lang w:eastAsia="zh-CN"/>
        </w:rPr>
      </w:pPr>
      <w:r>
        <w:rPr>
          <w:rFonts w:hint="default" w:ascii="Times New Roman" w:hAnsi="Times New Roman" w:cs="Times New Roman"/>
          <w:lang w:eastAsia="zh-CN"/>
        </w:rPr>
        <w:t>为进一步巩固拓展脱贫攻坚成果，接续推动脱贫地区发展和乡村全面振兴，助力实现第二个百年奋斗目标，2020年12月，中共中央、国务院发布了《关于实现巩固拓展脱贫攻坚成果同乡村振兴有效衔接的意见》，明确指出打赢脱贫攻坚战、全面建成小康社会后，要在巩固拓展脱贫攻坚成果的基础上，做好乡村振兴这篇大文章，接续推进脱贫地区发展和群众生活改善。做好巩固拓展脱贫攻坚成果同乡村振兴有效衔接，这不仅关系到构建以国内大循环为主体、国内国际双循环相互促进的新发展格局，更关系到我国全面建设社会主义现代化国家全局和实现第二个百年奋斗目标</w:t>
      </w:r>
      <w:r>
        <w:rPr>
          <w:rFonts w:hint="default" w:ascii="Times New Roman" w:hAnsi="Times New Roman" w:cs="Times New Roman"/>
          <w:lang w:val="en-US" w:eastAsia="zh-CN"/>
        </w:rPr>
        <w:t>的</w:t>
      </w:r>
      <w:r>
        <w:rPr>
          <w:rFonts w:hint="default" w:ascii="Times New Roman" w:hAnsi="Times New Roman" w:cs="Times New Roman"/>
          <w:lang w:eastAsia="zh-CN"/>
        </w:rPr>
        <w:t>总体国家建设发展蓝图。</w:t>
      </w:r>
    </w:p>
    <w:p w14:paraId="241491AA">
      <w:pPr>
        <w:pStyle w:val="26"/>
        <w:rPr>
          <w:rFonts w:hint="default" w:ascii="Times New Roman" w:hAnsi="Times New Roman" w:cs="Times New Roman"/>
          <w:lang w:eastAsia="zh-CN"/>
        </w:rPr>
      </w:pPr>
      <w:r>
        <w:rPr>
          <w:rFonts w:hint="default" w:ascii="Times New Roman" w:hAnsi="Times New Roman" w:cs="Times New Roman"/>
          <w:lang w:eastAsia="zh-CN"/>
        </w:rPr>
        <w:t>为深入贯彻落实党中央、国务院文件精神，巩固河南省脱贫攻坚成果，中共河南省委、河南省人民政府发布《关于全面推进乡村振兴加快农业农村现代化的实施意见》，明确要求实现巩固拓展脱贫攻坚成果同乡村振兴有效衔接。</w:t>
      </w:r>
      <w:r>
        <w:rPr>
          <w:rFonts w:hint="eastAsia" w:ascii="Times New Roman" w:hAnsi="Times New Roman" w:cs="Times New Roman"/>
          <w:lang w:val="en-US" w:eastAsia="zh-CN"/>
        </w:rPr>
        <w:t>并</w:t>
      </w:r>
      <w:r>
        <w:rPr>
          <w:rFonts w:hint="eastAsia"/>
          <w:lang w:val="en-US" w:eastAsia="zh-CN"/>
        </w:rPr>
        <w:t>按照《中央财政衔接推进乡村振兴补助资金管理办法》（财农〔2021〕19号）有关要求，原河南省财政专项扶贫资金更名为河南省财政衔接推进乡村振兴补助资金（以下简称“衔接资金”），用于支持巩固拓展脱贫攻坚成果同乡村振兴有效衔接工作。为加强资金使用管理，河南省财政厅、河南省乡村振兴局等五部门研究制定了《河南省财政衔接推进乡村振兴补助资金管理办法》，要求各地加强衔接资金和项目管理，落实绩效管理要求，提高资金使用效益。</w:t>
      </w:r>
    </w:p>
    <w:p w14:paraId="427867FC">
      <w:pPr>
        <w:pStyle w:val="26"/>
        <w:rPr>
          <w:rFonts w:hint="default" w:ascii="Times New Roman" w:hAnsi="Times New Roman" w:cs="Times New Roman"/>
        </w:rPr>
      </w:pPr>
      <w:r>
        <w:rPr>
          <w:rFonts w:hint="default" w:ascii="Times New Roman" w:hAnsi="Times New Roman" w:cs="Times New Roman"/>
          <w:lang w:val="en-US" w:eastAsia="zh-CN"/>
        </w:rPr>
        <w:t>滑县严格落实“四个不摘”要求，持续做好巩固拓展脱贫攻坚成果与实施乡村振兴、新型城镇化战略有效衔接。健全防止返贫动态监测和帮扶机制，培养乡村振兴带头人，拓宽科技兴农途径，走出一条彰显</w:t>
      </w:r>
      <w:r>
        <w:rPr>
          <w:rFonts w:hint="eastAsia" w:ascii="Times New Roman" w:hAnsi="Times New Roman" w:cs="Times New Roman"/>
          <w:lang w:val="en-US" w:eastAsia="zh-CN"/>
        </w:rPr>
        <w:t>地方</w:t>
      </w:r>
      <w:r>
        <w:rPr>
          <w:rFonts w:hint="default" w:ascii="Times New Roman" w:hAnsi="Times New Roman" w:cs="Times New Roman"/>
          <w:lang w:val="en-US" w:eastAsia="zh-CN"/>
        </w:rPr>
        <w:t>特色的乡村振兴之路。</w:t>
      </w:r>
      <w:r>
        <w:rPr>
          <w:rFonts w:hint="eastAsia" w:ascii="Times New Roman" w:hAnsi="Times New Roman" w:cs="Times New Roman"/>
          <w:lang w:val="en-US" w:eastAsia="zh-CN"/>
        </w:rPr>
        <w:t>为持续</w:t>
      </w:r>
      <w:r>
        <w:rPr>
          <w:rFonts w:hint="default" w:ascii="Times New Roman" w:hAnsi="Times New Roman" w:cs="Times New Roman"/>
          <w:lang w:val="en-US" w:eastAsia="zh-CN"/>
        </w:rPr>
        <w:t>巩固拓展脱贫攻坚成果</w:t>
      </w:r>
      <w:r>
        <w:rPr>
          <w:rFonts w:hint="eastAsia" w:ascii="Times New Roman" w:hAnsi="Times New Roman" w:cs="Times New Roman"/>
          <w:lang w:val="en-US" w:eastAsia="zh-CN"/>
        </w:rPr>
        <w:t>，</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w:t>
      </w:r>
      <w:r>
        <w:rPr>
          <w:rFonts w:hint="eastAsia" w:ascii="Times New Roman" w:hAnsi="Times New Roman" w:cs="Times New Roman"/>
          <w:lang w:val="en-US" w:eastAsia="zh-CN"/>
        </w:rPr>
        <w:t>度共安排</w:t>
      </w:r>
      <w:r>
        <w:rPr>
          <w:rFonts w:hint="default" w:ascii="Times New Roman" w:hAnsi="Times New Roman" w:cs="Times New Roman"/>
          <w:lang w:val="en-US" w:eastAsia="zh-CN"/>
        </w:rPr>
        <w:t>统筹整合</w:t>
      </w:r>
      <w:r>
        <w:rPr>
          <w:rFonts w:hint="eastAsia" w:ascii="Times New Roman" w:hAnsi="Times New Roman" w:cs="Times New Roman"/>
          <w:lang w:val="en-US" w:eastAsia="zh-CN"/>
        </w:rPr>
        <w:t>财政</w:t>
      </w:r>
      <w:r>
        <w:rPr>
          <w:rFonts w:hint="default" w:ascii="Times New Roman" w:hAnsi="Times New Roman" w:cs="Times New Roman"/>
          <w:lang w:val="en-US" w:eastAsia="zh-CN"/>
        </w:rPr>
        <w:t>涉农资金20</w:t>
      </w:r>
      <w:r>
        <w:rPr>
          <w:rFonts w:hint="eastAsia" w:ascii="Times New Roman" w:hAnsi="Times New Roman" w:cs="Times New Roman"/>
          <w:lang w:val="en-US" w:eastAsia="zh-CN"/>
        </w:rPr>
        <w:t>,108</w:t>
      </w:r>
      <w:r>
        <w:rPr>
          <w:rFonts w:hint="default" w:ascii="Times New Roman" w:hAnsi="Times New Roman" w:cs="Times New Roman"/>
          <w:lang w:val="en-US" w:eastAsia="zh-CN"/>
        </w:rPr>
        <w:t>.81万元，</w:t>
      </w:r>
      <w:r>
        <w:rPr>
          <w:rFonts w:hint="eastAsia" w:ascii="Times New Roman" w:hAnsi="Times New Roman" w:cs="Times New Roman"/>
          <w:lang w:val="en-US" w:eastAsia="zh-CN"/>
        </w:rPr>
        <w:t>以继续支持各类项目建设，聚焦产业兴旺，优化农业产业布局，丰富乡村经济业态，拓展农民增收空间</w:t>
      </w:r>
      <w:r>
        <w:rPr>
          <w:rFonts w:hint="default" w:ascii="Times New Roman" w:hAnsi="Times New Roman" w:cs="Times New Roman"/>
          <w:lang w:val="en-US" w:eastAsia="zh-CN"/>
        </w:rPr>
        <w:t>。</w:t>
      </w:r>
      <w:bookmarkEnd w:id="16"/>
      <w:bookmarkEnd w:id="17"/>
      <w:r>
        <w:rPr>
          <w:rFonts w:hint="default" w:ascii="Times New Roman" w:hAnsi="Times New Roman" w:cs="Times New Roman"/>
          <w:lang w:val="en-US" w:eastAsia="zh-CN"/>
        </w:rPr>
        <w:t>推动形成工农互促、城乡互补、协调发展、共同繁荣的新型工农城乡关系，加快农业农村现代化进程。</w:t>
      </w:r>
    </w:p>
    <w:p w14:paraId="12E62860">
      <w:pPr>
        <w:pStyle w:val="4"/>
        <w:rPr>
          <w:rFonts w:hint="default"/>
        </w:rPr>
      </w:pPr>
      <w:bookmarkStart w:id="18" w:name="_Toc23264189"/>
      <w:bookmarkStart w:id="19" w:name="_Toc3971"/>
      <w:bookmarkStart w:id="20" w:name="_Toc5856"/>
      <w:bookmarkStart w:id="21" w:name="_Toc23265716"/>
      <w:bookmarkStart w:id="22" w:name="_Toc23266456"/>
      <w:bookmarkStart w:id="23" w:name="_Toc18432"/>
      <w:r>
        <w:rPr>
          <w:rFonts w:hint="eastAsia"/>
          <w:lang w:eastAsia="zh-CN"/>
        </w:rPr>
        <w:t>（</w:t>
      </w:r>
      <w:r>
        <w:rPr>
          <w:rFonts w:hint="eastAsia"/>
          <w:lang w:val="en-US" w:eastAsia="zh-CN"/>
        </w:rPr>
        <w:t>二</w:t>
      </w:r>
      <w:r>
        <w:rPr>
          <w:rFonts w:hint="eastAsia"/>
          <w:lang w:eastAsia="zh-CN"/>
        </w:rPr>
        <w:t>）</w:t>
      </w:r>
      <w:r>
        <w:rPr>
          <w:rFonts w:hint="default"/>
        </w:rPr>
        <w:t>项目实施</w:t>
      </w:r>
      <w:r>
        <w:rPr>
          <w:rFonts w:hint="eastAsia"/>
          <w:lang w:val="en-US" w:eastAsia="zh-CN"/>
        </w:rPr>
        <w:t>和完成</w:t>
      </w:r>
      <w:r>
        <w:rPr>
          <w:rFonts w:hint="default"/>
        </w:rPr>
        <w:t>情况</w:t>
      </w:r>
      <w:bookmarkEnd w:id="18"/>
      <w:bookmarkEnd w:id="19"/>
      <w:bookmarkEnd w:id="20"/>
      <w:bookmarkEnd w:id="21"/>
      <w:bookmarkEnd w:id="22"/>
      <w:bookmarkEnd w:id="23"/>
    </w:p>
    <w:p w14:paraId="16ACE2DE">
      <w:pPr>
        <w:pStyle w:val="26"/>
        <w:rPr>
          <w:rFonts w:hint="default" w:ascii="Times New Roman" w:hAnsi="Times New Roman" w:cs="Times New Roman"/>
          <w:lang w:val="en-US" w:eastAsia="zh-CN"/>
        </w:rPr>
      </w:pPr>
      <w:bookmarkStart w:id="24" w:name="_Toc23264190"/>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年，滑县</w:t>
      </w:r>
      <w:r>
        <w:rPr>
          <w:rFonts w:hint="eastAsia" w:ascii="Times New Roman" w:hAnsi="Times New Roman" w:cs="Times New Roman"/>
          <w:lang w:val="en-US" w:eastAsia="zh-CN"/>
        </w:rPr>
        <w:t>统筹整合财政涉农</w:t>
      </w:r>
      <w:r>
        <w:rPr>
          <w:rFonts w:hint="default" w:ascii="Times New Roman" w:hAnsi="Times New Roman" w:cs="Times New Roman"/>
          <w:lang w:eastAsia="zh-CN"/>
        </w:rPr>
        <w:t>资金</w:t>
      </w:r>
      <w:r>
        <w:rPr>
          <w:rFonts w:hint="default" w:ascii="Times New Roman" w:hAnsi="Times New Roman" w:cs="Times New Roman"/>
        </w:rPr>
        <w:t>实施范围涉及</w:t>
      </w:r>
      <w:r>
        <w:rPr>
          <w:rFonts w:hint="default" w:ascii="Times New Roman" w:hAnsi="Times New Roman" w:cs="Times New Roman"/>
          <w:lang w:val="en-US" w:eastAsia="zh-CN"/>
        </w:rPr>
        <w:t>全县各类项目387个</w:t>
      </w:r>
      <w:r>
        <w:rPr>
          <w:rFonts w:hint="default" w:ascii="Times New Roman" w:hAnsi="Times New Roman" w:cs="Times New Roman"/>
        </w:rPr>
        <w:t>，</w:t>
      </w:r>
      <w:r>
        <w:rPr>
          <w:rFonts w:hint="default" w:ascii="Times New Roman" w:hAnsi="Times New Roman" w:cs="Times New Roman"/>
          <w:lang w:val="en-US" w:eastAsia="zh-CN"/>
        </w:rPr>
        <w:t>包括农村基础设施类项目（背街小巷硬化奖补、道路硬化、危房改造、以工代赈</w:t>
      </w:r>
      <w:r>
        <w:rPr>
          <w:rFonts w:hint="eastAsia" w:ascii="Times New Roman" w:hAnsi="Times New Roman" w:cs="Times New Roman"/>
          <w:lang w:val="en-US" w:eastAsia="zh-CN"/>
        </w:rPr>
        <w:t>、高标准农田机井及配套</w:t>
      </w:r>
      <w:r>
        <w:rPr>
          <w:rFonts w:hint="default" w:ascii="Times New Roman" w:hAnsi="Times New Roman" w:cs="Times New Roman"/>
          <w:lang w:val="en-US" w:eastAsia="zh-CN"/>
        </w:rPr>
        <w:t>）</w:t>
      </w:r>
      <w:r>
        <w:rPr>
          <w:rFonts w:hint="eastAsia" w:ascii="Times New Roman" w:hAnsi="Times New Roman" w:cs="Times New Roman"/>
          <w:lang w:val="en-US" w:eastAsia="zh-CN"/>
        </w:rPr>
        <w:t>350</w:t>
      </w:r>
      <w:r>
        <w:rPr>
          <w:rFonts w:hint="default" w:ascii="Times New Roman" w:hAnsi="Times New Roman" w:cs="Times New Roman"/>
          <w:lang w:val="en-US" w:eastAsia="zh-CN"/>
        </w:rPr>
        <w:t>个、产业发展类项目（设施农业产业扶持</w:t>
      </w:r>
      <w:r>
        <w:rPr>
          <w:rFonts w:hint="eastAsia" w:cs="Times New Roman"/>
          <w:lang w:val="en-US" w:eastAsia="zh-CN"/>
        </w:rPr>
        <w:t>、</w:t>
      </w:r>
      <w:r>
        <w:rPr>
          <w:rFonts w:hint="default" w:ascii="Times New Roman" w:hAnsi="Times New Roman" w:cs="Times New Roman"/>
          <w:lang w:val="en-US" w:eastAsia="zh-CN"/>
        </w:rPr>
        <w:t>村集体经济发展扶持）</w:t>
      </w:r>
      <w:r>
        <w:rPr>
          <w:rFonts w:hint="eastAsia" w:ascii="Times New Roman" w:hAnsi="Times New Roman" w:cs="Times New Roman"/>
          <w:lang w:val="en-US" w:eastAsia="zh-CN"/>
        </w:rPr>
        <w:t>32</w:t>
      </w:r>
      <w:r>
        <w:rPr>
          <w:rFonts w:hint="default" w:ascii="Times New Roman" w:hAnsi="Times New Roman" w:cs="Times New Roman"/>
          <w:lang w:val="en-US" w:eastAsia="zh-CN"/>
        </w:rPr>
        <w:t>个、</w:t>
      </w:r>
      <w:r>
        <w:rPr>
          <w:rFonts w:hint="eastAsia" w:ascii="Times New Roman" w:hAnsi="Times New Roman" w:cs="Times New Roman"/>
          <w:lang w:val="en-US" w:eastAsia="zh-CN"/>
        </w:rPr>
        <w:t>其他类项目（</w:t>
      </w:r>
      <w:r>
        <w:rPr>
          <w:rFonts w:hint="default" w:ascii="Times New Roman" w:hAnsi="Times New Roman" w:cs="Times New Roman"/>
          <w:lang w:val="en-US" w:eastAsia="zh-CN"/>
        </w:rPr>
        <w:t>雨露计划、就业创业技能培训</w:t>
      </w:r>
      <w:r>
        <w:rPr>
          <w:rFonts w:hint="eastAsia" w:ascii="Times New Roman" w:hAnsi="Times New Roman" w:cs="Times New Roman"/>
          <w:lang w:val="en-US" w:eastAsia="zh-CN"/>
        </w:rPr>
        <w:t>、</w:t>
      </w:r>
      <w:r>
        <w:rPr>
          <w:rFonts w:hint="default" w:ascii="Times New Roman" w:hAnsi="Times New Roman" w:cs="Times New Roman"/>
          <w:lang w:val="en-US" w:eastAsia="zh-CN"/>
        </w:rPr>
        <w:t>小额贷款贴息</w:t>
      </w:r>
      <w:r>
        <w:rPr>
          <w:rFonts w:hint="eastAsia" w:ascii="Times New Roman" w:hAnsi="Times New Roman" w:cs="Times New Roman"/>
          <w:lang w:val="en-US" w:eastAsia="zh-CN"/>
        </w:rPr>
        <w:t>、项目管理费、市派第一书记工作经费）5</w:t>
      </w:r>
      <w:r>
        <w:rPr>
          <w:rFonts w:hint="default" w:ascii="Times New Roman" w:hAnsi="Times New Roman" w:cs="Times New Roman"/>
          <w:lang w:val="en-US" w:eastAsia="zh-CN"/>
        </w:rPr>
        <w:t>个。截至评价期结束，</w:t>
      </w:r>
      <w:r>
        <w:rPr>
          <w:rFonts w:hint="eastAsia" w:ascii="Times New Roman" w:hAnsi="Times New Roman" w:cs="Times New Roman"/>
          <w:lang w:val="en-US" w:eastAsia="zh-CN"/>
        </w:rPr>
        <w:t>除项目管理费、市派第一书记工作经费外</w:t>
      </w:r>
      <w:r>
        <w:rPr>
          <w:rStyle w:val="24"/>
          <w:rFonts w:hint="eastAsia" w:ascii="Times New Roman" w:hAnsi="Times New Roman" w:cs="Times New Roman"/>
          <w:lang w:val="en-US" w:eastAsia="zh-CN"/>
        </w:rPr>
        <w:footnoteReference w:id="1"/>
      </w:r>
      <w:r>
        <w:rPr>
          <w:rFonts w:hint="eastAsia" w:ascii="Times New Roman" w:hAnsi="Times New Roman" w:cs="Times New Roman"/>
          <w:lang w:val="en-US" w:eastAsia="zh-CN"/>
        </w:rPr>
        <w:t>，385个项目</w:t>
      </w:r>
      <w:r>
        <w:rPr>
          <w:rFonts w:hint="default" w:ascii="Times New Roman" w:hAnsi="Times New Roman" w:cs="Times New Roman"/>
        </w:rPr>
        <w:t>已</w:t>
      </w:r>
      <w:r>
        <w:rPr>
          <w:rFonts w:hint="eastAsia" w:cs="Times New Roman"/>
          <w:lang w:val="en-US" w:eastAsia="zh-CN"/>
        </w:rPr>
        <w:t>全部</w:t>
      </w:r>
      <w:r>
        <w:rPr>
          <w:rFonts w:hint="default" w:ascii="Times New Roman" w:hAnsi="Times New Roman" w:cs="Times New Roman"/>
        </w:rPr>
        <w:t>完成</w:t>
      </w:r>
      <w:r>
        <w:rPr>
          <w:rFonts w:hint="default" w:ascii="Times New Roman" w:hAnsi="Times New Roman" w:cs="Times New Roman"/>
          <w:lang w:val="en-US" w:eastAsia="zh-CN"/>
        </w:rPr>
        <w:t>建设任务</w:t>
      </w:r>
      <w:r>
        <w:rPr>
          <w:rFonts w:hint="default" w:ascii="Times New Roman" w:hAnsi="Times New Roman" w:cs="Times New Roman"/>
          <w:lang w:eastAsia="zh-CN"/>
        </w:rPr>
        <w:t>，</w:t>
      </w:r>
      <w:r>
        <w:rPr>
          <w:rFonts w:hint="eastAsia" w:ascii="Times New Roman" w:hAnsi="Times New Roman" w:cs="Times New Roman"/>
          <w:lang w:val="en-US" w:eastAsia="zh-CN"/>
        </w:rPr>
        <w:t>总体</w:t>
      </w:r>
      <w:r>
        <w:rPr>
          <w:rFonts w:hint="default" w:ascii="Times New Roman" w:hAnsi="Times New Roman" w:cs="Times New Roman"/>
          <w:lang w:val="en-US" w:eastAsia="zh-CN"/>
        </w:rPr>
        <w:t>完工率为</w:t>
      </w:r>
      <w:r>
        <w:rPr>
          <w:rFonts w:hint="eastAsia" w:cs="Times New Roman"/>
          <w:lang w:val="en-US" w:eastAsia="zh-CN"/>
        </w:rPr>
        <w:t>100</w:t>
      </w:r>
      <w:r>
        <w:rPr>
          <w:rFonts w:hint="default" w:ascii="Times New Roman" w:hAnsi="Times New Roman" w:cs="Times New Roman"/>
          <w:lang w:val="en-US" w:eastAsia="zh-CN"/>
        </w:rPr>
        <w:t>%</w:t>
      </w:r>
      <w:r>
        <w:rPr>
          <w:rFonts w:hint="default" w:ascii="Times New Roman" w:hAnsi="Times New Roman" w:cs="Times New Roman"/>
        </w:rPr>
        <w:t>。</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年度各类项目建设完成情况如表1-1所示：</w:t>
      </w:r>
    </w:p>
    <w:p w14:paraId="45118268">
      <w:pPr>
        <w:pStyle w:val="25"/>
        <w:widowControl w:val="0"/>
        <w:wordWrap/>
        <w:autoSpaceDE w:val="0"/>
        <w:autoSpaceDN w:val="0"/>
        <w:adjustRightInd w:val="0"/>
        <w:snapToGrid/>
        <w:spacing w:line="560" w:lineRule="exact"/>
        <w:jc w:val="center"/>
        <w:textAlignment w:val="auto"/>
      </w:pPr>
      <w:r>
        <w:rPr>
          <w:rFonts w:hint="default" w:ascii="Times New Roman" w:hAnsi="Times New Roman" w:eastAsia="仿宋_GB2312" w:cs="Times New Roman"/>
          <w:b/>
          <w:bCs/>
          <w:kern w:val="0"/>
          <w:sz w:val="24"/>
          <w:szCs w:val="24"/>
          <w:lang w:val="en-US" w:eastAsia="zh-CN" w:bidi="en-US"/>
        </w:rPr>
        <w:t>表1-1 202</w:t>
      </w:r>
      <w:r>
        <w:rPr>
          <w:rFonts w:hint="eastAsia" w:ascii="Times New Roman" w:hAnsi="Times New Roman" w:eastAsia="仿宋_GB2312" w:cs="Times New Roman"/>
          <w:b/>
          <w:bCs/>
          <w:kern w:val="0"/>
          <w:sz w:val="24"/>
          <w:szCs w:val="24"/>
          <w:lang w:val="en-US" w:eastAsia="zh-CN" w:bidi="en-US"/>
        </w:rPr>
        <w:t>2</w:t>
      </w:r>
      <w:r>
        <w:rPr>
          <w:rFonts w:hint="default" w:ascii="Times New Roman" w:hAnsi="Times New Roman" w:eastAsia="仿宋_GB2312" w:cs="Times New Roman"/>
          <w:b/>
          <w:bCs/>
          <w:kern w:val="0"/>
          <w:sz w:val="24"/>
          <w:szCs w:val="24"/>
          <w:lang w:val="en-US" w:eastAsia="zh-CN" w:bidi="en-US"/>
        </w:rPr>
        <w:t>年度滑县</w:t>
      </w:r>
      <w:r>
        <w:rPr>
          <w:rFonts w:hint="eastAsia" w:ascii="Times New Roman" w:hAnsi="Times New Roman" w:eastAsia="仿宋_GB2312" w:cs="Times New Roman"/>
          <w:b/>
          <w:bCs/>
          <w:kern w:val="0"/>
          <w:sz w:val="24"/>
          <w:szCs w:val="24"/>
          <w:lang w:val="en-US" w:eastAsia="zh-CN" w:bidi="en-US"/>
        </w:rPr>
        <w:t>财政衔接推进乡村振兴补助资金</w:t>
      </w:r>
      <w:r>
        <w:rPr>
          <w:rFonts w:hint="default" w:ascii="Times New Roman" w:hAnsi="Times New Roman" w:eastAsia="仿宋_GB2312" w:cs="Times New Roman"/>
          <w:b/>
          <w:bCs/>
          <w:kern w:val="0"/>
          <w:sz w:val="24"/>
          <w:szCs w:val="24"/>
          <w:lang w:val="en-US" w:eastAsia="zh-CN" w:bidi="en-US"/>
        </w:rPr>
        <w:t>项目建设完成情况</w:t>
      </w:r>
    </w:p>
    <w:tbl>
      <w:tblPr>
        <w:tblStyle w:val="18"/>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4"/>
        <w:gridCol w:w="2582"/>
        <w:gridCol w:w="1464"/>
        <w:gridCol w:w="1844"/>
        <w:gridCol w:w="1465"/>
      </w:tblGrid>
      <w:tr w14:paraId="4C7D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blHeader/>
          <w:jc w:val="center"/>
        </w:trPr>
        <w:tc>
          <w:tcPr>
            <w:tcW w:w="3746"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14:paraId="383B9AE4">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项目类别</w:t>
            </w:r>
          </w:p>
        </w:tc>
        <w:tc>
          <w:tcPr>
            <w:tcW w:w="146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EC30D9E">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项目数量（个）</w:t>
            </w:r>
          </w:p>
        </w:tc>
        <w:tc>
          <w:tcPr>
            <w:tcW w:w="184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58A636D">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已完工项目数量（个）</w:t>
            </w:r>
          </w:p>
        </w:tc>
        <w:tc>
          <w:tcPr>
            <w:tcW w:w="146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9EED470">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完工比例</w:t>
            </w:r>
          </w:p>
        </w:tc>
      </w:tr>
      <w:tr w14:paraId="2BFC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vAlign w:val="center"/>
          </w:tcPr>
          <w:p w14:paraId="47870B7C">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农村基础设施类</w:t>
            </w:r>
          </w:p>
        </w:tc>
        <w:tc>
          <w:tcPr>
            <w:tcW w:w="2582" w:type="dxa"/>
            <w:tcBorders>
              <w:top w:val="single" w:color="000000" w:sz="4" w:space="0"/>
              <w:left w:val="single" w:color="000000" w:sz="4" w:space="0"/>
              <w:bottom w:val="single" w:color="000000" w:sz="4" w:space="0"/>
              <w:right w:val="single" w:color="000000" w:sz="4" w:space="0"/>
            </w:tcBorders>
            <w:vAlign w:val="center"/>
          </w:tcPr>
          <w:p w14:paraId="0EA8C13E">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背街小巷硬化奖补项目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4D74444C">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308</w:t>
            </w:r>
          </w:p>
        </w:tc>
        <w:tc>
          <w:tcPr>
            <w:tcW w:w="1844" w:type="dxa"/>
            <w:tcBorders>
              <w:top w:val="single" w:color="000000" w:sz="4" w:space="0"/>
              <w:left w:val="single" w:color="000000" w:sz="4" w:space="0"/>
              <w:bottom w:val="single" w:color="000000" w:sz="4" w:space="0"/>
              <w:right w:val="single" w:color="000000" w:sz="4" w:space="0"/>
            </w:tcBorders>
            <w:vAlign w:val="center"/>
          </w:tcPr>
          <w:p w14:paraId="07BA34A6">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308</w:t>
            </w:r>
          </w:p>
        </w:tc>
        <w:tc>
          <w:tcPr>
            <w:tcW w:w="1465" w:type="dxa"/>
            <w:tcBorders>
              <w:top w:val="single" w:color="000000" w:sz="4" w:space="0"/>
              <w:left w:val="single" w:color="000000" w:sz="4" w:space="0"/>
              <w:bottom w:val="single" w:color="000000" w:sz="4" w:space="0"/>
              <w:right w:val="single" w:color="000000" w:sz="4" w:space="0"/>
            </w:tcBorders>
            <w:vAlign w:val="center"/>
          </w:tcPr>
          <w:p w14:paraId="035FD660">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019B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646B25C8">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58BE5A48">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道路硬化项目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5A786E8F">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9</w:t>
            </w:r>
          </w:p>
        </w:tc>
        <w:tc>
          <w:tcPr>
            <w:tcW w:w="1844" w:type="dxa"/>
            <w:tcBorders>
              <w:top w:val="single" w:color="000000" w:sz="4" w:space="0"/>
              <w:left w:val="single" w:color="000000" w:sz="4" w:space="0"/>
              <w:bottom w:val="single" w:color="000000" w:sz="4" w:space="0"/>
              <w:right w:val="single" w:color="000000" w:sz="4" w:space="0"/>
            </w:tcBorders>
            <w:vAlign w:val="center"/>
          </w:tcPr>
          <w:p w14:paraId="49DBD9C4">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9</w:t>
            </w:r>
          </w:p>
        </w:tc>
        <w:tc>
          <w:tcPr>
            <w:tcW w:w="1465" w:type="dxa"/>
            <w:tcBorders>
              <w:top w:val="single" w:color="000000" w:sz="4" w:space="0"/>
              <w:left w:val="single" w:color="000000" w:sz="4" w:space="0"/>
              <w:bottom w:val="single" w:color="000000" w:sz="4" w:space="0"/>
              <w:right w:val="single" w:color="000000" w:sz="4" w:space="0"/>
            </w:tcBorders>
            <w:vAlign w:val="center"/>
          </w:tcPr>
          <w:p w14:paraId="606339BA">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096E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1CE8E158">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3F927460">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高标准农田机井及配套</w:t>
            </w:r>
          </w:p>
        </w:tc>
        <w:tc>
          <w:tcPr>
            <w:tcW w:w="1464" w:type="dxa"/>
            <w:tcBorders>
              <w:top w:val="single" w:color="000000" w:sz="4" w:space="0"/>
              <w:left w:val="single" w:color="000000" w:sz="4" w:space="0"/>
              <w:bottom w:val="single" w:color="000000" w:sz="4" w:space="0"/>
              <w:right w:val="single" w:color="000000" w:sz="4" w:space="0"/>
            </w:tcBorders>
            <w:vAlign w:val="center"/>
          </w:tcPr>
          <w:p w14:paraId="6476CB6D">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30</w:t>
            </w:r>
          </w:p>
        </w:tc>
        <w:tc>
          <w:tcPr>
            <w:tcW w:w="1844" w:type="dxa"/>
            <w:tcBorders>
              <w:top w:val="single" w:color="000000" w:sz="4" w:space="0"/>
              <w:left w:val="single" w:color="000000" w:sz="4" w:space="0"/>
              <w:bottom w:val="single" w:color="000000" w:sz="4" w:space="0"/>
              <w:right w:val="single" w:color="000000" w:sz="4" w:space="0"/>
            </w:tcBorders>
            <w:vAlign w:val="center"/>
          </w:tcPr>
          <w:p w14:paraId="0ACCC10A">
            <w:pPr>
              <w:widowControl/>
              <w:wordWrap/>
              <w:adjustRightInd/>
              <w:snapToGrid/>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30</w:t>
            </w:r>
          </w:p>
        </w:tc>
        <w:tc>
          <w:tcPr>
            <w:tcW w:w="1465" w:type="dxa"/>
            <w:tcBorders>
              <w:top w:val="single" w:color="000000" w:sz="4" w:space="0"/>
              <w:left w:val="single" w:color="000000" w:sz="4" w:space="0"/>
              <w:bottom w:val="single" w:color="000000" w:sz="4" w:space="0"/>
              <w:right w:val="single" w:color="000000" w:sz="4" w:space="0"/>
            </w:tcBorders>
            <w:vAlign w:val="center"/>
          </w:tcPr>
          <w:p w14:paraId="71BE203B">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100.00</w:t>
            </w:r>
            <w:r>
              <w:rPr>
                <w:rFonts w:hint="default" w:ascii="Times New Roman" w:hAnsi="Times New Roman" w:eastAsia="宋体" w:cs="Times New Roman"/>
                <w:i w:val="0"/>
                <w:iCs w:val="0"/>
                <w:color w:val="000000"/>
                <w:kern w:val="0"/>
                <w:sz w:val="22"/>
                <w:szCs w:val="22"/>
                <w:u w:val="none"/>
                <w:lang w:val="en-US" w:eastAsia="zh-CN"/>
              </w:rPr>
              <w:t>%</w:t>
            </w:r>
          </w:p>
        </w:tc>
      </w:tr>
      <w:tr w14:paraId="4293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1850404D">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5E18E6CC">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危房改造项目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6F525642">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14:paraId="7C811BC5">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14:paraId="60C68228">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53BF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5F96928B">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5819AD4F">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以工代赈项目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4BBFBDB6">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w:t>
            </w:r>
          </w:p>
        </w:tc>
        <w:tc>
          <w:tcPr>
            <w:tcW w:w="1844" w:type="dxa"/>
            <w:tcBorders>
              <w:top w:val="single" w:color="000000" w:sz="4" w:space="0"/>
              <w:left w:val="single" w:color="000000" w:sz="4" w:space="0"/>
              <w:bottom w:val="single" w:color="000000" w:sz="4" w:space="0"/>
              <w:right w:val="single" w:color="000000" w:sz="4" w:space="0"/>
            </w:tcBorders>
            <w:vAlign w:val="center"/>
          </w:tcPr>
          <w:p w14:paraId="526E49D0">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w:t>
            </w:r>
          </w:p>
        </w:tc>
        <w:tc>
          <w:tcPr>
            <w:tcW w:w="1465" w:type="dxa"/>
            <w:tcBorders>
              <w:top w:val="single" w:color="000000" w:sz="4" w:space="0"/>
              <w:left w:val="single" w:color="000000" w:sz="4" w:space="0"/>
              <w:bottom w:val="single" w:color="000000" w:sz="4" w:space="0"/>
              <w:right w:val="single" w:color="000000" w:sz="4" w:space="0"/>
            </w:tcBorders>
            <w:vAlign w:val="center"/>
          </w:tcPr>
          <w:p w14:paraId="4EA12921">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1430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697B0392">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1EDEE074">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小计</w:t>
            </w:r>
          </w:p>
        </w:tc>
        <w:tc>
          <w:tcPr>
            <w:tcW w:w="1464" w:type="dxa"/>
            <w:tcBorders>
              <w:top w:val="single" w:color="000000" w:sz="4" w:space="0"/>
              <w:left w:val="single" w:color="000000" w:sz="4" w:space="0"/>
              <w:bottom w:val="single" w:color="000000" w:sz="4" w:space="0"/>
              <w:right w:val="single" w:color="000000" w:sz="4" w:space="0"/>
            </w:tcBorders>
            <w:vAlign w:val="center"/>
          </w:tcPr>
          <w:p w14:paraId="0683CF69">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350</w:t>
            </w:r>
          </w:p>
        </w:tc>
        <w:tc>
          <w:tcPr>
            <w:tcW w:w="1844" w:type="dxa"/>
            <w:tcBorders>
              <w:top w:val="single" w:color="000000" w:sz="4" w:space="0"/>
              <w:left w:val="single" w:color="000000" w:sz="4" w:space="0"/>
              <w:bottom w:val="single" w:color="000000" w:sz="4" w:space="0"/>
              <w:right w:val="single" w:color="000000" w:sz="4" w:space="0"/>
            </w:tcBorders>
            <w:vAlign w:val="center"/>
          </w:tcPr>
          <w:p w14:paraId="1BECFC7B">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lang w:val="en-US"/>
              </w:rPr>
            </w:pPr>
            <w:r>
              <w:rPr>
                <w:rFonts w:hint="eastAsia" w:ascii="Times New Roman" w:hAnsi="Times New Roman" w:cs="Times New Roman"/>
                <w:b/>
                <w:bCs/>
                <w:i w:val="0"/>
                <w:iCs w:val="0"/>
                <w:color w:val="000000"/>
                <w:kern w:val="0"/>
                <w:sz w:val="22"/>
                <w:szCs w:val="22"/>
                <w:u w:val="none"/>
                <w:lang w:val="en-US" w:eastAsia="zh-CN"/>
              </w:rPr>
              <w:t>350</w:t>
            </w:r>
          </w:p>
        </w:tc>
        <w:tc>
          <w:tcPr>
            <w:tcW w:w="1465" w:type="dxa"/>
            <w:tcBorders>
              <w:top w:val="single" w:color="000000" w:sz="4" w:space="0"/>
              <w:left w:val="single" w:color="000000" w:sz="4" w:space="0"/>
              <w:bottom w:val="single" w:color="000000" w:sz="4" w:space="0"/>
              <w:right w:val="single" w:color="000000" w:sz="4" w:space="0"/>
            </w:tcBorders>
            <w:vAlign w:val="center"/>
          </w:tcPr>
          <w:p w14:paraId="173CCF06">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100.00</w:t>
            </w:r>
            <w:r>
              <w:rPr>
                <w:rFonts w:hint="default" w:ascii="Times New Roman" w:hAnsi="Times New Roman" w:eastAsia="宋体" w:cs="Times New Roman"/>
                <w:b/>
                <w:bCs/>
                <w:i w:val="0"/>
                <w:iCs w:val="0"/>
                <w:color w:val="000000"/>
                <w:kern w:val="0"/>
                <w:sz w:val="22"/>
                <w:szCs w:val="22"/>
                <w:u w:val="none"/>
                <w:lang w:val="en-US" w:eastAsia="zh-CN"/>
              </w:rPr>
              <w:t>%</w:t>
            </w:r>
          </w:p>
        </w:tc>
      </w:tr>
      <w:tr w14:paraId="0DA4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vAlign w:val="center"/>
          </w:tcPr>
          <w:p w14:paraId="3F0D7D8F">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产业发展类</w:t>
            </w:r>
          </w:p>
        </w:tc>
        <w:tc>
          <w:tcPr>
            <w:tcW w:w="2582" w:type="dxa"/>
            <w:tcBorders>
              <w:top w:val="single" w:color="000000" w:sz="4" w:space="0"/>
              <w:left w:val="single" w:color="000000" w:sz="4" w:space="0"/>
              <w:bottom w:val="single" w:color="000000" w:sz="4" w:space="0"/>
              <w:right w:val="single" w:color="000000" w:sz="4" w:space="0"/>
            </w:tcBorders>
            <w:vAlign w:val="center"/>
          </w:tcPr>
          <w:p w14:paraId="74630219">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村集体经济发展项目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6CB54FA4">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7</w:t>
            </w:r>
          </w:p>
        </w:tc>
        <w:tc>
          <w:tcPr>
            <w:tcW w:w="1844" w:type="dxa"/>
            <w:tcBorders>
              <w:top w:val="single" w:color="000000" w:sz="4" w:space="0"/>
              <w:left w:val="single" w:color="000000" w:sz="4" w:space="0"/>
              <w:bottom w:val="single" w:color="000000" w:sz="4" w:space="0"/>
              <w:right w:val="single" w:color="000000" w:sz="4" w:space="0"/>
            </w:tcBorders>
            <w:vAlign w:val="center"/>
          </w:tcPr>
          <w:p w14:paraId="263EAF8E">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7</w:t>
            </w:r>
          </w:p>
        </w:tc>
        <w:tc>
          <w:tcPr>
            <w:tcW w:w="1465" w:type="dxa"/>
            <w:tcBorders>
              <w:top w:val="single" w:color="000000" w:sz="4" w:space="0"/>
              <w:left w:val="single" w:color="000000" w:sz="4" w:space="0"/>
              <w:bottom w:val="single" w:color="000000" w:sz="4" w:space="0"/>
              <w:right w:val="single" w:color="000000" w:sz="4" w:space="0"/>
            </w:tcBorders>
            <w:vAlign w:val="center"/>
          </w:tcPr>
          <w:p w14:paraId="52CA2533">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182D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3EED7D01">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369E6FC3">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设施农业产业扶持项目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1F97E468">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25</w:t>
            </w:r>
          </w:p>
        </w:tc>
        <w:tc>
          <w:tcPr>
            <w:tcW w:w="1844" w:type="dxa"/>
            <w:tcBorders>
              <w:top w:val="single" w:color="000000" w:sz="4" w:space="0"/>
              <w:left w:val="single" w:color="000000" w:sz="4" w:space="0"/>
              <w:bottom w:val="single" w:color="000000" w:sz="4" w:space="0"/>
              <w:right w:val="single" w:color="000000" w:sz="4" w:space="0"/>
            </w:tcBorders>
            <w:vAlign w:val="center"/>
          </w:tcPr>
          <w:p w14:paraId="5A57E690">
            <w:pPr>
              <w:widowControl/>
              <w:wordWrap/>
              <w:adjustRightInd/>
              <w:snapToGrid/>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25</w:t>
            </w:r>
          </w:p>
        </w:tc>
        <w:tc>
          <w:tcPr>
            <w:tcW w:w="1465" w:type="dxa"/>
            <w:tcBorders>
              <w:top w:val="single" w:color="000000" w:sz="4" w:space="0"/>
              <w:left w:val="single" w:color="000000" w:sz="4" w:space="0"/>
              <w:bottom w:val="single" w:color="000000" w:sz="4" w:space="0"/>
              <w:right w:val="single" w:color="000000" w:sz="4" w:space="0"/>
            </w:tcBorders>
            <w:vAlign w:val="center"/>
          </w:tcPr>
          <w:p w14:paraId="15D058BE">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100</w:t>
            </w:r>
            <w:r>
              <w:rPr>
                <w:rFonts w:hint="default" w:ascii="Times New Roman" w:hAnsi="Times New Roman" w:eastAsia="宋体" w:cs="Times New Roman"/>
                <w:i w:val="0"/>
                <w:iCs w:val="0"/>
                <w:color w:val="000000"/>
                <w:kern w:val="0"/>
                <w:sz w:val="22"/>
                <w:szCs w:val="22"/>
                <w:u w:val="none"/>
                <w:lang w:val="en-US" w:eastAsia="zh-CN"/>
              </w:rPr>
              <w:t>.00%</w:t>
            </w:r>
          </w:p>
        </w:tc>
      </w:tr>
      <w:tr w14:paraId="3FE8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579406C7">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05C7B491">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小计</w:t>
            </w:r>
          </w:p>
        </w:tc>
        <w:tc>
          <w:tcPr>
            <w:tcW w:w="1464" w:type="dxa"/>
            <w:tcBorders>
              <w:top w:val="single" w:color="000000" w:sz="4" w:space="0"/>
              <w:left w:val="single" w:color="000000" w:sz="4" w:space="0"/>
              <w:bottom w:val="single" w:color="000000" w:sz="4" w:space="0"/>
              <w:right w:val="single" w:color="000000" w:sz="4" w:space="0"/>
            </w:tcBorders>
            <w:vAlign w:val="center"/>
          </w:tcPr>
          <w:p w14:paraId="06BEB02E">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32</w:t>
            </w:r>
          </w:p>
        </w:tc>
        <w:tc>
          <w:tcPr>
            <w:tcW w:w="1844" w:type="dxa"/>
            <w:tcBorders>
              <w:top w:val="single" w:color="000000" w:sz="4" w:space="0"/>
              <w:left w:val="single" w:color="000000" w:sz="4" w:space="0"/>
              <w:bottom w:val="single" w:color="000000" w:sz="4" w:space="0"/>
              <w:right w:val="single" w:color="000000" w:sz="4" w:space="0"/>
            </w:tcBorders>
            <w:vAlign w:val="center"/>
          </w:tcPr>
          <w:p w14:paraId="67F1A420">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lang w:val="en-US"/>
              </w:rPr>
            </w:pPr>
            <w:r>
              <w:rPr>
                <w:rFonts w:hint="eastAsia" w:ascii="Times New Roman" w:hAnsi="Times New Roman" w:cs="Times New Roman"/>
                <w:b/>
                <w:bCs/>
                <w:i w:val="0"/>
                <w:iCs w:val="0"/>
                <w:color w:val="000000"/>
                <w:kern w:val="0"/>
                <w:sz w:val="22"/>
                <w:szCs w:val="22"/>
                <w:u w:val="none"/>
                <w:lang w:val="en-US" w:eastAsia="zh-CN"/>
              </w:rPr>
              <w:t>32</w:t>
            </w:r>
          </w:p>
        </w:tc>
        <w:tc>
          <w:tcPr>
            <w:tcW w:w="1465" w:type="dxa"/>
            <w:tcBorders>
              <w:top w:val="single" w:color="000000" w:sz="4" w:space="0"/>
              <w:left w:val="single" w:color="000000" w:sz="4" w:space="0"/>
              <w:bottom w:val="single" w:color="000000" w:sz="4" w:space="0"/>
              <w:right w:val="single" w:color="000000" w:sz="4" w:space="0"/>
            </w:tcBorders>
            <w:vAlign w:val="center"/>
          </w:tcPr>
          <w:p w14:paraId="2C9B690B">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100.00</w:t>
            </w:r>
            <w:r>
              <w:rPr>
                <w:rFonts w:hint="default" w:ascii="Times New Roman" w:hAnsi="Times New Roman" w:eastAsia="宋体" w:cs="Times New Roman"/>
                <w:b/>
                <w:bCs/>
                <w:i w:val="0"/>
                <w:iCs w:val="0"/>
                <w:color w:val="000000"/>
                <w:kern w:val="0"/>
                <w:sz w:val="22"/>
                <w:szCs w:val="22"/>
                <w:u w:val="none"/>
                <w:lang w:val="en-US" w:eastAsia="zh-CN"/>
              </w:rPr>
              <w:t>%</w:t>
            </w:r>
          </w:p>
        </w:tc>
      </w:tr>
      <w:tr w14:paraId="57AB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vAlign w:val="center"/>
          </w:tcPr>
          <w:p w14:paraId="7B831960">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其他类</w:t>
            </w:r>
          </w:p>
        </w:tc>
        <w:tc>
          <w:tcPr>
            <w:tcW w:w="2582" w:type="dxa"/>
            <w:tcBorders>
              <w:top w:val="single" w:color="000000" w:sz="4" w:space="0"/>
              <w:left w:val="single" w:color="000000" w:sz="4" w:space="0"/>
              <w:bottom w:val="single" w:color="000000" w:sz="4" w:space="0"/>
              <w:right w:val="single" w:color="000000" w:sz="4" w:space="0"/>
            </w:tcBorders>
            <w:vAlign w:val="center"/>
          </w:tcPr>
          <w:p w14:paraId="78FA3BA6">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小额贷款贴息项目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2DA1C631">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14:paraId="6B792451">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14:paraId="0FC61DB8">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1637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17765B5E">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1B95B40A">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雨露计划项目</w:t>
            </w:r>
          </w:p>
        </w:tc>
        <w:tc>
          <w:tcPr>
            <w:tcW w:w="1464" w:type="dxa"/>
            <w:tcBorders>
              <w:top w:val="single" w:color="000000" w:sz="4" w:space="0"/>
              <w:left w:val="single" w:color="000000" w:sz="4" w:space="0"/>
              <w:bottom w:val="single" w:color="000000" w:sz="4" w:space="0"/>
              <w:right w:val="single" w:color="000000" w:sz="4" w:space="0"/>
            </w:tcBorders>
            <w:vAlign w:val="center"/>
          </w:tcPr>
          <w:p w14:paraId="1C46DB94">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w:t>
            </w:r>
          </w:p>
        </w:tc>
        <w:tc>
          <w:tcPr>
            <w:tcW w:w="1844" w:type="dxa"/>
            <w:tcBorders>
              <w:top w:val="single" w:color="000000" w:sz="4" w:space="0"/>
              <w:left w:val="single" w:color="000000" w:sz="4" w:space="0"/>
              <w:bottom w:val="single" w:color="000000" w:sz="4" w:space="0"/>
              <w:right w:val="single" w:color="000000" w:sz="4" w:space="0"/>
            </w:tcBorders>
            <w:vAlign w:val="center"/>
          </w:tcPr>
          <w:p w14:paraId="7E5E85A9">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w:t>
            </w:r>
          </w:p>
        </w:tc>
        <w:tc>
          <w:tcPr>
            <w:tcW w:w="1465" w:type="dxa"/>
            <w:tcBorders>
              <w:top w:val="single" w:color="000000" w:sz="4" w:space="0"/>
              <w:left w:val="single" w:color="000000" w:sz="4" w:space="0"/>
              <w:bottom w:val="single" w:color="000000" w:sz="4" w:space="0"/>
              <w:right w:val="single" w:color="000000" w:sz="4" w:space="0"/>
            </w:tcBorders>
            <w:vAlign w:val="center"/>
          </w:tcPr>
          <w:p w14:paraId="0824C6B2">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164D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787854E8">
            <w:pPr>
              <w:widowControl/>
              <w:wordWrap/>
              <w:adjustRightInd/>
              <w:snapToGrid/>
              <w:jc w:val="center"/>
              <w:rPr>
                <w:rFonts w:hint="default" w:ascii="Times New Roman" w:hAnsi="Times New Roman" w:eastAsia="宋体" w:cs="Times New Roman"/>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vAlign w:val="center"/>
          </w:tcPr>
          <w:p w14:paraId="535ED212">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小计</w:t>
            </w:r>
          </w:p>
        </w:tc>
        <w:tc>
          <w:tcPr>
            <w:tcW w:w="1464" w:type="dxa"/>
            <w:tcBorders>
              <w:top w:val="single" w:color="000000" w:sz="4" w:space="0"/>
              <w:left w:val="single" w:color="000000" w:sz="4" w:space="0"/>
              <w:bottom w:val="single" w:color="000000" w:sz="4" w:space="0"/>
              <w:right w:val="single" w:color="000000" w:sz="4" w:space="0"/>
            </w:tcBorders>
            <w:vAlign w:val="center"/>
          </w:tcPr>
          <w:p w14:paraId="3E5E0810">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3</w:t>
            </w:r>
          </w:p>
        </w:tc>
        <w:tc>
          <w:tcPr>
            <w:tcW w:w="1844" w:type="dxa"/>
            <w:tcBorders>
              <w:top w:val="single" w:color="000000" w:sz="4" w:space="0"/>
              <w:left w:val="single" w:color="000000" w:sz="4" w:space="0"/>
              <w:bottom w:val="single" w:color="000000" w:sz="4" w:space="0"/>
              <w:right w:val="single" w:color="000000" w:sz="4" w:space="0"/>
            </w:tcBorders>
            <w:vAlign w:val="center"/>
          </w:tcPr>
          <w:p w14:paraId="5C5A4BD7">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3</w:t>
            </w:r>
          </w:p>
        </w:tc>
        <w:tc>
          <w:tcPr>
            <w:tcW w:w="1465" w:type="dxa"/>
            <w:tcBorders>
              <w:top w:val="single" w:color="000000" w:sz="4" w:space="0"/>
              <w:left w:val="single" w:color="000000" w:sz="4" w:space="0"/>
              <w:bottom w:val="single" w:color="000000" w:sz="4" w:space="0"/>
              <w:right w:val="single" w:color="000000" w:sz="4" w:space="0"/>
            </w:tcBorders>
            <w:vAlign w:val="center"/>
          </w:tcPr>
          <w:p w14:paraId="6987487B">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14:paraId="0CB2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746" w:type="dxa"/>
            <w:gridSpan w:val="2"/>
            <w:tcBorders>
              <w:top w:val="single" w:color="000000" w:sz="4" w:space="0"/>
              <w:left w:val="single" w:color="000000" w:sz="4" w:space="0"/>
              <w:bottom w:val="single" w:color="000000" w:sz="4" w:space="0"/>
              <w:right w:val="single" w:color="000000" w:sz="4" w:space="0"/>
            </w:tcBorders>
            <w:vAlign w:val="center"/>
          </w:tcPr>
          <w:p w14:paraId="1A4D5050">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合计</w:t>
            </w:r>
          </w:p>
        </w:tc>
        <w:tc>
          <w:tcPr>
            <w:tcW w:w="1464" w:type="dxa"/>
            <w:tcBorders>
              <w:top w:val="single" w:color="000000" w:sz="4" w:space="0"/>
              <w:left w:val="single" w:color="000000" w:sz="4" w:space="0"/>
              <w:bottom w:val="single" w:color="000000" w:sz="4" w:space="0"/>
              <w:right w:val="single" w:color="000000" w:sz="4" w:space="0"/>
            </w:tcBorders>
            <w:vAlign w:val="center"/>
          </w:tcPr>
          <w:p w14:paraId="6D4B8891">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385</w:t>
            </w:r>
          </w:p>
        </w:tc>
        <w:tc>
          <w:tcPr>
            <w:tcW w:w="1844" w:type="dxa"/>
            <w:tcBorders>
              <w:top w:val="single" w:color="000000" w:sz="4" w:space="0"/>
              <w:left w:val="single" w:color="000000" w:sz="4" w:space="0"/>
              <w:bottom w:val="single" w:color="000000" w:sz="4" w:space="0"/>
              <w:right w:val="single" w:color="000000" w:sz="4" w:space="0"/>
            </w:tcBorders>
            <w:vAlign w:val="center"/>
          </w:tcPr>
          <w:p w14:paraId="7F3AF7FB">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rPr>
              <w:t>38</w:t>
            </w:r>
            <w:r>
              <w:rPr>
                <w:rFonts w:hint="eastAsia" w:ascii="Times New Roman" w:hAnsi="Times New Roman" w:cs="Times New Roman"/>
                <w:b/>
                <w:bCs/>
                <w:i w:val="0"/>
                <w:iCs w:val="0"/>
                <w:color w:val="000000"/>
                <w:kern w:val="0"/>
                <w:sz w:val="22"/>
                <w:szCs w:val="22"/>
                <w:u w:val="none"/>
                <w:lang w:val="en-US" w:eastAsia="zh-CN"/>
              </w:rPr>
              <w:t>5</w:t>
            </w:r>
          </w:p>
        </w:tc>
        <w:tc>
          <w:tcPr>
            <w:tcW w:w="1465" w:type="dxa"/>
            <w:tcBorders>
              <w:top w:val="single" w:color="000000" w:sz="4" w:space="0"/>
              <w:left w:val="single" w:color="000000" w:sz="4" w:space="0"/>
              <w:bottom w:val="single" w:color="000000" w:sz="4" w:space="0"/>
              <w:right w:val="single" w:color="000000" w:sz="4" w:space="0"/>
            </w:tcBorders>
            <w:vAlign w:val="center"/>
          </w:tcPr>
          <w:p w14:paraId="7893AD51">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100.00</w:t>
            </w:r>
            <w:r>
              <w:rPr>
                <w:rFonts w:hint="default" w:ascii="Times New Roman" w:hAnsi="Times New Roman" w:eastAsia="宋体" w:cs="Times New Roman"/>
                <w:b/>
                <w:bCs/>
                <w:i w:val="0"/>
                <w:iCs w:val="0"/>
                <w:color w:val="000000"/>
                <w:kern w:val="0"/>
                <w:sz w:val="22"/>
                <w:szCs w:val="22"/>
                <w:u w:val="none"/>
                <w:lang w:val="en-US" w:eastAsia="zh-CN"/>
              </w:rPr>
              <w:t>%</w:t>
            </w:r>
          </w:p>
        </w:tc>
      </w:tr>
    </w:tbl>
    <w:p w14:paraId="2E724DD7">
      <w:pPr>
        <w:pStyle w:val="26"/>
        <w:rPr>
          <w:rFonts w:hint="default" w:ascii="Times New Roman" w:hAnsi="Times New Roman" w:cs="Times New Roman"/>
        </w:rPr>
      </w:pPr>
      <w:r>
        <w:rPr>
          <w:rFonts w:hint="default" w:ascii="Times New Roman" w:hAnsi="Times New Roman" w:cs="Times New Roman"/>
        </w:rPr>
        <w:t>同时，为深入了解</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default" w:ascii="Times New Roman" w:hAnsi="Times New Roman" w:cs="Times New Roman"/>
          <w:lang w:val="en-US" w:eastAsia="zh-CN"/>
        </w:rPr>
        <w:t>度滑县</w:t>
      </w:r>
      <w:r>
        <w:rPr>
          <w:rFonts w:hint="eastAsia" w:ascii="Times New Roman" w:hAnsi="Times New Roman" w:cs="Times New Roman"/>
          <w:lang w:val="en-US" w:eastAsia="zh-CN"/>
        </w:rPr>
        <w:t>财政衔接推进乡村振兴补助</w:t>
      </w:r>
      <w:r>
        <w:rPr>
          <w:rFonts w:hint="default" w:ascii="Times New Roman" w:hAnsi="Times New Roman" w:cs="Times New Roman"/>
          <w:lang w:val="en-US" w:eastAsia="zh-CN"/>
        </w:rPr>
        <w:t>项目</w:t>
      </w:r>
      <w:r>
        <w:rPr>
          <w:rFonts w:hint="default" w:ascii="Times New Roman" w:hAnsi="Times New Roman" w:cs="Times New Roman"/>
        </w:rPr>
        <w:t>实施完成情况，评价组从</w:t>
      </w:r>
      <w:r>
        <w:rPr>
          <w:rFonts w:hint="default" w:ascii="Times New Roman" w:hAnsi="Times New Roman" w:cs="Times New Roman"/>
          <w:lang w:val="en-US" w:eastAsia="zh-CN"/>
        </w:rPr>
        <w:t>上述</w:t>
      </w:r>
      <w:r>
        <w:rPr>
          <w:rFonts w:hint="default" w:ascii="Times New Roman" w:hAnsi="Times New Roman" w:cs="Times New Roman"/>
        </w:rPr>
        <w:t>项目中</w:t>
      </w:r>
      <w:r>
        <w:rPr>
          <w:rFonts w:hint="eastAsia" w:ascii="Times New Roman" w:hAnsi="Times New Roman" w:cs="Times New Roman"/>
          <w:lang w:val="en-US" w:eastAsia="zh-CN"/>
        </w:rPr>
        <w:t>共</w:t>
      </w:r>
      <w:r>
        <w:rPr>
          <w:rFonts w:hint="default" w:ascii="Times New Roman" w:hAnsi="Times New Roman" w:cs="Times New Roman"/>
        </w:rPr>
        <w:t>抽取</w:t>
      </w:r>
      <w:r>
        <w:rPr>
          <w:rFonts w:hint="eastAsia" w:ascii="Times New Roman" w:hAnsi="Times New Roman" w:cs="Times New Roman"/>
          <w:lang w:val="en-US" w:eastAsia="zh-CN"/>
        </w:rPr>
        <w:t>16个项目进行重点评价，包括基础设施类8个、产业发展类8个</w:t>
      </w:r>
      <w:r>
        <w:rPr>
          <w:rFonts w:hint="default" w:ascii="Times New Roman" w:hAnsi="Times New Roman" w:cs="Times New Roman"/>
        </w:rPr>
        <w:t>。</w:t>
      </w:r>
      <w:r>
        <w:rPr>
          <w:rFonts w:hint="eastAsia" w:cs="Times New Roman"/>
          <w:lang w:val="en-US" w:eastAsia="zh-CN"/>
        </w:rPr>
        <w:t>为了解以往年度项目运营管护情况、联农带农情况，评价组另抽取4个2021年度项目，包括基础设施类1个、产业发展类3个，综合评价项目可持续发展情况。</w:t>
      </w:r>
      <w:r>
        <w:rPr>
          <w:rFonts w:hint="default" w:ascii="Times New Roman" w:hAnsi="Times New Roman" w:cs="Times New Roman"/>
        </w:rPr>
        <w:t>具体项目实施内容与完成情况</w:t>
      </w:r>
      <w:bookmarkEnd w:id="24"/>
      <w:r>
        <w:rPr>
          <w:rFonts w:hint="default" w:ascii="Times New Roman" w:hAnsi="Times New Roman" w:cs="Times New Roman"/>
        </w:rPr>
        <w:t>如表1-</w:t>
      </w:r>
      <w:r>
        <w:rPr>
          <w:rFonts w:hint="default" w:ascii="Times New Roman" w:hAnsi="Times New Roman" w:cs="Times New Roman"/>
          <w:lang w:val="en-US" w:eastAsia="zh-CN"/>
        </w:rPr>
        <w:t>2</w:t>
      </w:r>
      <w:r>
        <w:rPr>
          <w:rFonts w:hint="eastAsia" w:cs="Times New Roman"/>
          <w:lang w:val="en-US" w:eastAsia="zh-CN"/>
        </w:rPr>
        <w:t>、表1-3</w:t>
      </w:r>
      <w:r>
        <w:rPr>
          <w:rFonts w:hint="default" w:ascii="Times New Roman" w:hAnsi="Times New Roman" w:cs="Times New Roman"/>
        </w:rPr>
        <w:t>所示：</w:t>
      </w:r>
    </w:p>
    <w:p w14:paraId="4879AA56">
      <w:pPr>
        <w:pStyle w:val="26"/>
        <w:rPr>
          <w:rFonts w:hint="default" w:ascii="Times New Roman" w:hAnsi="Times New Roman" w:cs="Times New Roman"/>
        </w:rPr>
        <w:sectPr>
          <w:footerReference r:id="rId7" w:type="default"/>
          <w:pgSz w:w="11906" w:h="16838"/>
          <w:pgMar w:top="1440" w:right="1800" w:bottom="1440" w:left="1800" w:header="851" w:footer="992" w:gutter="0"/>
          <w:pgNumType w:fmt="decimal" w:start="1"/>
          <w:cols w:space="720" w:num="1"/>
          <w:docGrid w:type="lines" w:linePitch="312" w:charSpace="0"/>
        </w:sectPr>
      </w:pPr>
    </w:p>
    <w:p w14:paraId="193AEED5">
      <w:pPr>
        <w:pStyle w:val="26"/>
        <w:ind w:firstLine="482"/>
        <w:jc w:val="center"/>
      </w:pPr>
      <w:bookmarkStart w:id="25" w:name="_Toc23265717"/>
      <w:bookmarkStart w:id="26" w:name="_Toc23264191"/>
      <w:bookmarkStart w:id="27" w:name="_Toc23266457"/>
      <w:r>
        <w:rPr>
          <w:rFonts w:hint="default" w:ascii="Times New Roman" w:hAnsi="Times New Roman" w:cs="Times New Roman"/>
          <w:b/>
          <w:sz w:val="24"/>
          <w:szCs w:val="24"/>
        </w:rPr>
        <w:t>表1-</w:t>
      </w:r>
      <w:r>
        <w:rPr>
          <w:rFonts w:hint="default" w:ascii="Times New Roman" w:hAnsi="Times New Roman" w:cs="Times New Roman"/>
          <w:b/>
          <w:sz w:val="24"/>
          <w:szCs w:val="24"/>
          <w:lang w:val="en-US" w:eastAsia="zh-CN"/>
        </w:rPr>
        <w:t xml:space="preserve">2 </w:t>
      </w:r>
      <w:r>
        <w:rPr>
          <w:rFonts w:hint="eastAsia" w:cs="Times New Roman"/>
          <w:b/>
          <w:sz w:val="24"/>
          <w:szCs w:val="24"/>
          <w:lang w:val="en-US" w:eastAsia="zh-CN"/>
        </w:rPr>
        <w:t>抽取的16个</w:t>
      </w:r>
      <w:r>
        <w:rPr>
          <w:rFonts w:hint="default" w:ascii="Times New Roman" w:hAnsi="Times New Roman" w:cs="Times New Roman"/>
          <w:b/>
          <w:sz w:val="24"/>
          <w:szCs w:val="24"/>
          <w:lang w:eastAsia="zh-CN"/>
        </w:rPr>
        <w:t>202</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lang w:eastAsia="zh-CN"/>
        </w:rPr>
        <w:t>年</w:t>
      </w:r>
      <w:r>
        <w:rPr>
          <w:rFonts w:hint="eastAsia" w:ascii="Times New Roman" w:hAnsi="Times New Roman" w:cs="Times New Roman"/>
          <w:b/>
          <w:sz w:val="24"/>
          <w:szCs w:val="24"/>
          <w:lang w:val="en-US" w:eastAsia="zh-CN"/>
        </w:rPr>
        <w:t>财政衔接推进乡村振兴补助</w:t>
      </w:r>
      <w:r>
        <w:rPr>
          <w:rFonts w:hint="default" w:ascii="Times New Roman" w:hAnsi="Times New Roman" w:cs="Times New Roman"/>
          <w:b/>
          <w:sz w:val="24"/>
          <w:szCs w:val="24"/>
        </w:rPr>
        <w:t>项目</w:t>
      </w:r>
      <w:r>
        <w:rPr>
          <w:rFonts w:hint="eastAsia" w:ascii="Times New Roman" w:hAnsi="Times New Roman" w:cs="Times New Roman"/>
          <w:b/>
          <w:sz w:val="24"/>
          <w:szCs w:val="24"/>
          <w:lang w:val="en-US" w:eastAsia="zh-CN"/>
        </w:rPr>
        <w:t>建设</w:t>
      </w:r>
      <w:r>
        <w:rPr>
          <w:rFonts w:hint="default" w:ascii="Times New Roman" w:hAnsi="Times New Roman" w:cs="Times New Roman"/>
          <w:b/>
          <w:sz w:val="24"/>
          <w:szCs w:val="24"/>
        </w:rPr>
        <w:t>情况</w:t>
      </w:r>
      <w:bookmarkEnd w:id="25"/>
      <w:bookmarkEnd w:id="26"/>
      <w:bookmarkEnd w:id="27"/>
      <w:r>
        <w:rPr>
          <w:rFonts w:hint="eastAsia" w:ascii="Times New Roman" w:hAnsi="Times New Roman" w:cs="Times New Roman"/>
          <w:b/>
          <w:sz w:val="24"/>
          <w:szCs w:val="24"/>
          <w:lang w:val="en-US" w:eastAsia="zh-CN"/>
        </w:rPr>
        <w:t>表</w:t>
      </w:r>
    </w:p>
    <w:tbl>
      <w:tblPr>
        <w:tblStyle w:val="18"/>
        <w:tblW w:w="14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
        <w:gridCol w:w="1040"/>
        <w:gridCol w:w="1598"/>
        <w:gridCol w:w="4299"/>
        <w:gridCol w:w="3894"/>
        <w:gridCol w:w="2885"/>
      </w:tblGrid>
      <w:tr w14:paraId="03D0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blHeader/>
          <w:jc w:val="center"/>
        </w:trPr>
        <w:tc>
          <w:tcPr>
            <w:tcW w:w="44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6A9F9B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号</w:t>
            </w:r>
          </w:p>
        </w:tc>
        <w:tc>
          <w:tcPr>
            <w:tcW w:w="104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76630B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项目类型</w:t>
            </w:r>
          </w:p>
        </w:tc>
        <w:tc>
          <w:tcPr>
            <w:tcW w:w="159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2B2326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项目名称</w:t>
            </w:r>
          </w:p>
        </w:tc>
        <w:tc>
          <w:tcPr>
            <w:tcW w:w="429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247BAD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项目内容</w:t>
            </w:r>
          </w:p>
        </w:tc>
        <w:tc>
          <w:tcPr>
            <w:tcW w:w="389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19338A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绩效目标</w:t>
            </w:r>
          </w:p>
        </w:tc>
        <w:tc>
          <w:tcPr>
            <w:tcW w:w="288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F5AFCC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帮扶机制</w:t>
            </w:r>
          </w:p>
        </w:tc>
      </w:tr>
      <w:tr w14:paraId="619F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574E234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1040" w:type="dxa"/>
            <w:tcBorders>
              <w:top w:val="single" w:color="000000" w:sz="4" w:space="0"/>
              <w:left w:val="single" w:color="000000" w:sz="4" w:space="0"/>
              <w:bottom w:val="single" w:color="000000" w:sz="4" w:space="0"/>
              <w:right w:val="single" w:color="000000" w:sz="4" w:space="0"/>
            </w:tcBorders>
            <w:vAlign w:val="center"/>
          </w:tcPr>
          <w:p w14:paraId="2ADF05F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背街小巷硬化奖补</w:t>
            </w:r>
          </w:p>
        </w:tc>
        <w:tc>
          <w:tcPr>
            <w:tcW w:w="1598" w:type="dxa"/>
            <w:tcBorders>
              <w:top w:val="single" w:color="000000" w:sz="4" w:space="0"/>
              <w:left w:val="single" w:color="000000" w:sz="4" w:space="0"/>
              <w:bottom w:val="single" w:color="000000" w:sz="4" w:space="0"/>
              <w:right w:val="single" w:color="000000" w:sz="4" w:space="0"/>
            </w:tcBorders>
            <w:vAlign w:val="center"/>
          </w:tcPr>
          <w:p w14:paraId="019629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留固镇横村村庄背街小巷硬化奖补项目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29074B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新建水泥道路长4575.8米，宽度3.5米以内，厚0.12米，C25混凝土道路；（2）新建水泥道路长192米，宽度3.5米以内，厚0.15米，C25混凝土道路，对其使用的硬化原材料商砼实际用量给予60%奖补。</w:t>
            </w:r>
          </w:p>
        </w:tc>
        <w:tc>
          <w:tcPr>
            <w:tcW w:w="3894" w:type="dxa"/>
            <w:tcBorders>
              <w:top w:val="single" w:color="000000" w:sz="4" w:space="0"/>
              <w:left w:val="single" w:color="000000" w:sz="4" w:space="0"/>
              <w:bottom w:val="single" w:color="000000" w:sz="4" w:space="0"/>
              <w:right w:val="single" w:color="000000" w:sz="4" w:space="0"/>
            </w:tcBorders>
            <w:vAlign w:val="center"/>
          </w:tcPr>
          <w:p w14:paraId="02DCBEB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投资35.25万元，对使用的原材料商砼给予60%奖补。便于806户群众出行，改善村内交通条件，提高村民生产生活质量，大大提高群众对巩固拓展脱贫攻坚成果工作满意度。</w:t>
            </w:r>
          </w:p>
        </w:tc>
        <w:tc>
          <w:tcPr>
            <w:tcW w:w="2885" w:type="dxa"/>
            <w:tcBorders>
              <w:top w:val="single" w:color="000000" w:sz="4" w:space="0"/>
              <w:left w:val="single" w:color="000000" w:sz="4" w:space="0"/>
              <w:bottom w:val="single" w:color="000000" w:sz="4" w:space="0"/>
              <w:right w:val="single" w:color="000000" w:sz="4" w:space="0"/>
            </w:tcBorders>
            <w:vAlign w:val="center"/>
          </w:tcPr>
          <w:p w14:paraId="334BC09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通过实施该项目，惠及脱贫不稳定户5户、脱贫户11户、突发严重困难户5户，改善该村人居环境，顺应广大农民过上美好生活的期待，建设生态宜居美丽乡村。</w:t>
            </w:r>
          </w:p>
        </w:tc>
      </w:tr>
      <w:tr w14:paraId="069B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712DE80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1040" w:type="dxa"/>
            <w:tcBorders>
              <w:top w:val="single" w:color="000000" w:sz="4" w:space="0"/>
              <w:left w:val="single" w:color="000000" w:sz="4" w:space="0"/>
              <w:bottom w:val="single" w:color="000000" w:sz="4" w:space="0"/>
              <w:right w:val="single" w:color="000000" w:sz="4" w:space="0"/>
            </w:tcBorders>
            <w:vAlign w:val="center"/>
          </w:tcPr>
          <w:p w14:paraId="1369E75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背街小巷硬化奖补</w:t>
            </w:r>
          </w:p>
        </w:tc>
        <w:tc>
          <w:tcPr>
            <w:tcW w:w="1598" w:type="dxa"/>
            <w:tcBorders>
              <w:top w:val="single" w:color="000000" w:sz="4" w:space="0"/>
              <w:left w:val="single" w:color="000000" w:sz="4" w:space="0"/>
              <w:bottom w:val="single" w:color="000000" w:sz="4" w:space="0"/>
              <w:right w:val="single" w:color="000000" w:sz="4" w:space="0"/>
            </w:tcBorders>
            <w:vAlign w:val="center"/>
          </w:tcPr>
          <w:p w14:paraId="299755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八里营镇黄琉璃村村庄背街小巷硬化奖补项目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7C3037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新建水泥道路长5039米，宽度3米以内，厚0.12米，C25混凝土道路；（2）新建水泥道路长2597.5米，宽度3米，厚0.12米，C25混凝土道路，（3）新建水泥道路长718米，宽度3米，厚0.15米，C25混凝土道路，（4）新建水泥道路长68米，宽度4米，厚0.15米，C25混凝土道路，对其使用的硬化原材料商砼实际用量给予60%奖补。</w:t>
            </w:r>
          </w:p>
        </w:tc>
        <w:tc>
          <w:tcPr>
            <w:tcW w:w="3894" w:type="dxa"/>
            <w:tcBorders>
              <w:top w:val="single" w:color="000000" w:sz="4" w:space="0"/>
              <w:left w:val="single" w:color="000000" w:sz="4" w:space="0"/>
              <w:bottom w:val="single" w:color="000000" w:sz="4" w:space="0"/>
              <w:right w:val="single" w:color="000000" w:sz="4" w:space="0"/>
            </w:tcBorders>
            <w:vAlign w:val="center"/>
          </w:tcPr>
          <w:p w14:paraId="306D4E8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投资37.5万元，对使用的原材料商砼给予60%奖补。便于467户群众出行，改善村内交通条件，提高村民生产生活质量，大大提高群众对巩固拓展脱贫攻坚成果工作满意度。</w:t>
            </w:r>
          </w:p>
        </w:tc>
        <w:tc>
          <w:tcPr>
            <w:tcW w:w="2885" w:type="dxa"/>
            <w:tcBorders>
              <w:top w:val="single" w:color="000000" w:sz="4" w:space="0"/>
              <w:left w:val="single" w:color="000000" w:sz="4" w:space="0"/>
              <w:bottom w:val="single" w:color="000000" w:sz="4" w:space="0"/>
              <w:right w:val="single" w:color="000000" w:sz="4" w:space="0"/>
            </w:tcBorders>
            <w:vAlign w:val="center"/>
          </w:tcPr>
          <w:p w14:paraId="731A124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通过实施该项目，惠及脱贫不稳定户20户、脱贫户10户、突发严重困难户3户，改善该村人居环境，顺应广大农民过上美好生活的期待，建设生态宜居美丽乡村。</w:t>
            </w:r>
          </w:p>
        </w:tc>
      </w:tr>
      <w:tr w14:paraId="7AF7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24841E8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1040" w:type="dxa"/>
            <w:tcBorders>
              <w:top w:val="single" w:color="000000" w:sz="4" w:space="0"/>
              <w:left w:val="single" w:color="000000" w:sz="4" w:space="0"/>
              <w:bottom w:val="single" w:color="000000" w:sz="4" w:space="0"/>
              <w:right w:val="single" w:color="000000" w:sz="4" w:space="0"/>
            </w:tcBorders>
            <w:vAlign w:val="center"/>
          </w:tcPr>
          <w:p w14:paraId="41B03AA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以工代赈</w:t>
            </w:r>
          </w:p>
        </w:tc>
        <w:tc>
          <w:tcPr>
            <w:tcW w:w="1598" w:type="dxa"/>
            <w:tcBorders>
              <w:top w:val="single" w:color="000000" w:sz="4" w:space="0"/>
              <w:left w:val="single" w:color="000000" w:sz="4" w:space="0"/>
              <w:bottom w:val="single" w:color="000000" w:sz="4" w:space="0"/>
              <w:right w:val="single" w:color="000000" w:sz="4" w:space="0"/>
            </w:tcBorders>
            <w:vAlign w:val="center"/>
          </w:tcPr>
          <w:p w14:paraId="1803D7A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滑县老店镇2022年中央财政预算内以工代赈项目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77D549A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新建村内6米宽道路287米，1722平方；5米宽道路1582米，7910平方；4米宽道路2193米，8772平方；3米宽道路840米，2520平方。厚0.18米,C25混凝土道路。</w:t>
            </w:r>
          </w:p>
        </w:tc>
        <w:tc>
          <w:tcPr>
            <w:tcW w:w="3894" w:type="dxa"/>
            <w:tcBorders>
              <w:top w:val="single" w:color="000000" w:sz="4" w:space="0"/>
              <w:left w:val="single" w:color="000000" w:sz="4" w:space="0"/>
              <w:bottom w:val="single" w:color="000000" w:sz="4" w:space="0"/>
              <w:right w:val="single" w:color="000000" w:sz="4" w:space="0"/>
            </w:tcBorders>
            <w:vAlign w:val="center"/>
          </w:tcPr>
          <w:p w14:paraId="767B9C1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275.85万元，新建小屯村内主次街道路宽5米长3895米，厚0.18米；宽3米长350米，厚0.18米；C25混凝土道路。共计长4245米，20525平方米。便于185户群众出行、改善村内交通条件、提高村民生产生活质量、大大提高群众对脱贫攻坚工作满意度,助推乡村振兴。</w:t>
            </w:r>
          </w:p>
        </w:tc>
        <w:tc>
          <w:tcPr>
            <w:tcW w:w="2885" w:type="dxa"/>
            <w:tcBorders>
              <w:top w:val="single" w:color="000000" w:sz="4" w:space="0"/>
              <w:left w:val="single" w:color="000000" w:sz="4" w:space="0"/>
              <w:bottom w:val="single" w:color="000000" w:sz="4" w:space="0"/>
              <w:right w:val="single" w:color="000000" w:sz="4" w:space="0"/>
            </w:tcBorders>
            <w:vAlign w:val="center"/>
          </w:tcPr>
          <w:p w14:paraId="59B12BD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通过项目实施，可以使77户脱贫不稳定户、边缘易致贫户、脱贫户、突发严重困难户受益，方便群众出行。</w:t>
            </w:r>
          </w:p>
        </w:tc>
      </w:tr>
      <w:tr w14:paraId="639B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5C0F786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1040" w:type="dxa"/>
            <w:tcBorders>
              <w:top w:val="single" w:color="000000" w:sz="4" w:space="0"/>
              <w:left w:val="single" w:color="000000" w:sz="4" w:space="0"/>
              <w:bottom w:val="single" w:color="000000" w:sz="4" w:space="0"/>
              <w:right w:val="single" w:color="000000" w:sz="4" w:space="0"/>
            </w:tcBorders>
            <w:vAlign w:val="center"/>
          </w:tcPr>
          <w:p w14:paraId="58639B4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以工代赈</w:t>
            </w:r>
          </w:p>
        </w:tc>
        <w:tc>
          <w:tcPr>
            <w:tcW w:w="1598" w:type="dxa"/>
            <w:tcBorders>
              <w:top w:val="single" w:color="000000" w:sz="4" w:space="0"/>
              <w:left w:val="single" w:color="000000" w:sz="4" w:space="0"/>
              <w:bottom w:val="single" w:color="000000" w:sz="4" w:space="0"/>
              <w:right w:val="single" w:color="000000" w:sz="4" w:space="0"/>
            </w:tcBorders>
            <w:vAlign w:val="center"/>
          </w:tcPr>
          <w:p w14:paraId="7A4261B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滑县瓦岗寨乡2022年第二批中央财政以工代赈项目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401BF05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铺设瓦岗寨乡瓦岗寨集村长580米，宽16.5米，约9570㎡碎石垫层+水稳基层+6cm沥青路面；铺设瓦岗寨集路口至瓦岗寨景区长500米，宽6米，约3000㎡碎石垫层+水稳基层+6cm沥青路面。</w:t>
            </w:r>
          </w:p>
        </w:tc>
        <w:tc>
          <w:tcPr>
            <w:tcW w:w="3894" w:type="dxa"/>
            <w:tcBorders>
              <w:top w:val="single" w:color="000000" w:sz="4" w:space="0"/>
              <w:left w:val="single" w:color="000000" w:sz="4" w:space="0"/>
              <w:bottom w:val="single" w:color="000000" w:sz="4" w:space="0"/>
              <w:right w:val="single" w:color="000000" w:sz="4" w:space="0"/>
            </w:tcBorders>
            <w:vAlign w:val="center"/>
          </w:tcPr>
          <w:p w14:paraId="6DEC2D4A">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投资181万元，铺设瓦岗寨乡瓦岗寨集村长580米，宽16.5米，约9570㎡碎石垫层+水稳基层+6cm沥青路面；铺设瓦岗寨集路口至瓦岗寨景区长500米，宽6米，约3000㎡碎石垫层+水稳基层+6cm沥青路面。 便1400户左右群众出行、改善村内交通条件、提高村民生产生活质量、大大提高群众对脱贫攻坚工作满意度,助推乡村振兴。</w:t>
            </w:r>
          </w:p>
        </w:tc>
        <w:tc>
          <w:tcPr>
            <w:tcW w:w="2885" w:type="dxa"/>
            <w:tcBorders>
              <w:top w:val="single" w:color="000000" w:sz="4" w:space="0"/>
              <w:left w:val="single" w:color="000000" w:sz="4" w:space="0"/>
              <w:bottom w:val="single" w:color="000000" w:sz="4" w:space="0"/>
              <w:right w:val="single" w:color="000000" w:sz="4" w:space="0"/>
            </w:tcBorders>
            <w:vAlign w:val="center"/>
          </w:tcPr>
          <w:p w14:paraId="33EB20B2">
            <w:pPr>
              <w:widowControl/>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通过项目实施，可以使45户脱贫不稳定户、边缘易致贫户、脱贫户、突发严重困难户受益，可以带动当地务工群众45人受益，方便群众出行。</w:t>
            </w:r>
          </w:p>
        </w:tc>
      </w:tr>
      <w:tr w14:paraId="42D1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4336E6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1040" w:type="dxa"/>
            <w:tcBorders>
              <w:top w:val="single" w:color="000000" w:sz="4" w:space="0"/>
              <w:left w:val="single" w:color="000000" w:sz="4" w:space="0"/>
              <w:bottom w:val="single" w:color="000000" w:sz="4" w:space="0"/>
              <w:right w:val="single" w:color="000000" w:sz="4" w:space="0"/>
            </w:tcBorders>
            <w:vAlign w:val="center"/>
          </w:tcPr>
          <w:p w14:paraId="3FF8BC4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高标准农田机井及配套项目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11E5C90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2022年滑县四间房镇唐尓庄村高标准农田机井及配套项目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12056A0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新打机井16眼，机井配套（含水泵、泵管、钢制井房、水电双计量）16套，水电智能管理机1台，硬化5米宽道路570米，4米宽道路435米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670311C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113.63万元，1、新打机井16眼，井深76米；2、给新打机井配套安装水泵、泵管、钢制井房、水电双计量16套，3、配备水电智能管理机1台；4、硬化5米宽道路570米，4米宽道路435米。项目建成后便于380户群众灌溉农田，为发展农业生产提供便利条件。</w:t>
            </w:r>
          </w:p>
        </w:tc>
        <w:tc>
          <w:tcPr>
            <w:tcW w:w="2885" w:type="dxa"/>
            <w:tcBorders>
              <w:top w:val="single" w:color="000000" w:sz="4" w:space="0"/>
              <w:left w:val="single" w:color="000000" w:sz="4" w:space="0"/>
              <w:bottom w:val="single" w:color="000000" w:sz="4" w:space="0"/>
              <w:right w:val="single" w:color="000000" w:sz="4" w:space="0"/>
            </w:tcBorders>
            <w:vAlign w:val="center"/>
          </w:tcPr>
          <w:p w14:paraId="37BE8C1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通过实施该项目，可帮扶带动脱贫不稳定户、边缘易致贫户、脱贫户、突发严重困难户122户,为发展高效农业提供便利条件。</w:t>
            </w:r>
          </w:p>
        </w:tc>
      </w:tr>
      <w:tr w14:paraId="7814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63894F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w:t>
            </w:r>
          </w:p>
        </w:tc>
        <w:tc>
          <w:tcPr>
            <w:tcW w:w="1040" w:type="dxa"/>
            <w:tcBorders>
              <w:top w:val="single" w:color="000000" w:sz="4" w:space="0"/>
              <w:left w:val="single" w:color="000000" w:sz="4" w:space="0"/>
              <w:bottom w:val="single" w:color="000000" w:sz="4" w:space="0"/>
              <w:right w:val="single" w:color="000000" w:sz="4" w:space="0"/>
            </w:tcBorders>
            <w:vAlign w:val="center"/>
          </w:tcPr>
          <w:p w14:paraId="01738A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高标准农田机井及配套项目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31D9051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2022年滑县八里营镇谢寨村高标准农田机井及配套项目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5FE82DB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新打机井48眼，机井配套（含水泵、泵管、钢制井房、水电双计量）48套，水电智能管理机1台</w:t>
            </w:r>
          </w:p>
        </w:tc>
        <w:tc>
          <w:tcPr>
            <w:tcW w:w="3894" w:type="dxa"/>
            <w:tcBorders>
              <w:top w:val="single" w:color="000000" w:sz="4" w:space="0"/>
              <w:left w:val="single" w:color="000000" w:sz="4" w:space="0"/>
              <w:bottom w:val="single" w:color="000000" w:sz="4" w:space="0"/>
              <w:right w:val="single" w:color="000000" w:sz="4" w:space="0"/>
            </w:tcBorders>
            <w:vAlign w:val="center"/>
          </w:tcPr>
          <w:p w14:paraId="190D5A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投资153.14万元，1、新打机井48眼，井深70米；2、给新打机井配套安装水泵、泵管、钢制井房、水电双计量48套，3、配备水电智能管理机。项目建成后，便于347户群众灌溉农田，为发展农业生产提供便利条件。</w:t>
            </w:r>
          </w:p>
        </w:tc>
        <w:tc>
          <w:tcPr>
            <w:tcW w:w="2885" w:type="dxa"/>
            <w:tcBorders>
              <w:top w:val="single" w:color="000000" w:sz="4" w:space="0"/>
              <w:left w:val="single" w:color="000000" w:sz="4" w:space="0"/>
              <w:bottom w:val="single" w:color="000000" w:sz="4" w:space="0"/>
              <w:right w:val="single" w:color="000000" w:sz="4" w:space="0"/>
            </w:tcBorders>
            <w:vAlign w:val="center"/>
          </w:tcPr>
          <w:p w14:paraId="4882BCB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通过实施该项目，可帮扶带动脱贫不稳定户、边缘易致贫户、脱贫户、突发严重困难户17户,为发展高效农业提供便利条件。</w:t>
            </w:r>
          </w:p>
        </w:tc>
      </w:tr>
      <w:tr w14:paraId="26D0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60C719D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1040" w:type="dxa"/>
            <w:tcBorders>
              <w:top w:val="single" w:color="000000" w:sz="4" w:space="0"/>
              <w:left w:val="single" w:color="000000" w:sz="4" w:space="0"/>
              <w:bottom w:val="single" w:color="000000" w:sz="4" w:space="0"/>
              <w:right w:val="single" w:color="000000" w:sz="4" w:space="0"/>
            </w:tcBorders>
            <w:vAlign w:val="center"/>
          </w:tcPr>
          <w:p w14:paraId="601C84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道路硬化项目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393BDE6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高平镇张八寨村道路硬化项目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4B27136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改建道路长703米，宽4米，厚0.18米，c25混凝土道路，合计2812平方米。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5C80CF6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投资26.04万元，改建道路长703米，宽4米，厚0.18米，c25混凝土道路，合计2812平方米。便于628户群众出行，改善村内交通条件，方便群众正常生活，提升基础设施水平和群众满意度。</w:t>
            </w:r>
          </w:p>
        </w:tc>
        <w:tc>
          <w:tcPr>
            <w:tcW w:w="2885" w:type="dxa"/>
            <w:tcBorders>
              <w:top w:val="single" w:color="000000" w:sz="4" w:space="0"/>
              <w:left w:val="single" w:color="000000" w:sz="4" w:space="0"/>
              <w:bottom w:val="single" w:color="000000" w:sz="4" w:space="0"/>
              <w:right w:val="single" w:color="000000" w:sz="4" w:space="0"/>
            </w:tcBorders>
            <w:vAlign w:val="center"/>
          </w:tcPr>
          <w:p w14:paraId="42EF18D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该项目惠及监测对象户、脱贫户19户，使群众出行安全条件显著改善，村基础建设水平明显提高，提高群众满意度，巩固拓展脱贫攻坚成果。</w:t>
            </w:r>
          </w:p>
        </w:tc>
      </w:tr>
      <w:tr w14:paraId="190F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49F3E93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c>
          <w:tcPr>
            <w:tcW w:w="1040" w:type="dxa"/>
            <w:tcBorders>
              <w:top w:val="single" w:color="000000" w:sz="4" w:space="0"/>
              <w:left w:val="single" w:color="000000" w:sz="4" w:space="0"/>
              <w:bottom w:val="single" w:color="000000" w:sz="4" w:space="0"/>
              <w:right w:val="single" w:color="000000" w:sz="4" w:space="0"/>
            </w:tcBorders>
            <w:vAlign w:val="center"/>
          </w:tcPr>
          <w:p w14:paraId="51853B2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道路硬化项目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331324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八里营镇李冢上村道路硬化项目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4120AB4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新建道路长354米、宽4.5米，共计1593平方米，厚0.18米，C25混凝土道路。</w:t>
            </w:r>
          </w:p>
        </w:tc>
        <w:tc>
          <w:tcPr>
            <w:tcW w:w="3894" w:type="dxa"/>
            <w:tcBorders>
              <w:top w:val="single" w:color="000000" w:sz="4" w:space="0"/>
              <w:left w:val="single" w:color="000000" w:sz="4" w:space="0"/>
              <w:bottom w:val="single" w:color="000000" w:sz="4" w:space="0"/>
              <w:right w:val="single" w:color="000000" w:sz="4" w:space="0"/>
            </w:tcBorders>
            <w:vAlign w:val="center"/>
          </w:tcPr>
          <w:p w14:paraId="227E4E7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投资14.75万元，新建道路长354米、宽4.5米，共计1593平方米，厚0.18米，C25混凝土道路。便于548户群众出行，改善村内交通条件，提高村民生产生活质量，大大提高群众对脱贫攻坚工作满意度,助推乡村振兴。</w:t>
            </w:r>
          </w:p>
        </w:tc>
        <w:tc>
          <w:tcPr>
            <w:tcW w:w="2885" w:type="dxa"/>
            <w:tcBorders>
              <w:top w:val="single" w:color="000000" w:sz="4" w:space="0"/>
              <w:left w:val="single" w:color="000000" w:sz="4" w:space="0"/>
              <w:bottom w:val="single" w:color="000000" w:sz="4" w:space="0"/>
              <w:right w:val="single" w:color="000000" w:sz="4" w:space="0"/>
            </w:tcBorders>
            <w:vAlign w:val="center"/>
          </w:tcPr>
          <w:p w14:paraId="78F40EE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该项目惠及监测对象户、脱贫户37户，使群众出行安全条件显著改善，村基础建设水平明显提高，顺应广大农民过上美好生活的期待，建设生态宜居美丽乡村。</w:t>
            </w:r>
          </w:p>
        </w:tc>
      </w:tr>
      <w:tr w14:paraId="51C9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5B7628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w:t>
            </w:r>
          </w:p>
        </w:tc>
        <w:tc>
          <w:tcPr>
            <w:tcW w:w="1040" w:type="dxa"/>
            <w:tcBorders>
              <w:top w:val="single" w:color="000000" w:sz="4" w:space="0"/>
              <w:left w:val="single" w:color="000000" w:sz="4" w:space="0"/>
              <w:bottom w:val="single" w:color="000000" w:sz="4" w:space="0"/>
              <w:right w:val="single" w:color="000000" w:sz="4" w:space="0"/>
            </w:tcBorders>
            <w:vAlign w:val="center"/>
          </w:tcPr>
          <w:p w14:paraId="14486D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7CDDD69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2022年八里营镇刘苑村塑料大棚扶持项目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7C1CAE7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对新型经营主体新建的大棚给予50%的产业扶持。建设内容主要为：新建（冷棚）50座，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规格：长度100米*跨度15米，50座，共75000平米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2A4F276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465.61万元，对新型经营主体新建的大棚给予50%的产业扶持。项目建成后，扶持资金形成的资产归项目所在乡镇（街道）所有，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突发严重困难户、脱贫户帮扶及巩固拓展脱贫攻坚成果、乡村振兴事业发展，增加群众满意度。5年内上级政策有调整的，执行上级政策。5年后，按照上级有关政策执行。</w:t>
            </w:r>
          </w:p>
        </w:tc>
        <w:tc>
          <w:tcPr>
            <w:tcW w:w="2885" w:type="dxa"/>
            <w:tcBorders>
              <w:top w:val="single" w:color="000000" w:sz="4" w:space="0"/>
              <w:left w:val="single" w:color="000000" w:sz="4" w:space="0"/>
              <w:bottom w:val="single" w:color="000000" w:sz="4" w:space="0"/>
              <w:right w:val="single" w:color="000000" w:sz="4" w:space="0"/>
            </w:tcBorders>
            <w:vAlign w:val="center"/>
          </w:tcPr>
          <w:p w14:paraId="0417116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脱贫户帮扶及巩固拓展脱贫攻坚成果、乡村振兴事业发展，增加群众满意度。可帮扶带动脱贫不稳定户、边缘易致贫户、脱贫户、突发严重困难户121户,为发展高效农业提供便利条件。</w:t>
            </w:r>
          </w:p>
        </w:tc>
      </w:tr>
      <w:tr w14:paraId="08C4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1B18FF1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1040" w:type="dxa"/>
            <w:tcBorders>
              <w:top w:val="single" w:color="000000" w:sz="4" w:space="0"/>
              <w:left w:val="single" w:color="000000" w:sz="4" w:space="0"/>
              <w:bottom w:val="single" w:color="000000" w:sz="4" w:space="0"/>
              <w:right w:val="single" w:color="000000" w:sz="4" w:space="0"/>
            </w:tcBorders>
            <w:vAlign w:val="center"/>
          </w:tcPr>
          <w:p w14:paraId="11F9FD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1BD08AD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2022年高平镇大子厢后街村塑料大棚扶持项目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619FC69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对新型经营主体新建设施农业大棚进行50%的奖补，建设内容为：新建大棚18座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1、新建（双拱连栋薄膜温室）3座，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规格：长度176米*跨度88米-24米*16米：1座，共15104平米；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规格：长度128米*跨度88米-24米*16米：1座，共10880米；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规格：长度120米*跨度80米：1座，共9600平米；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共35584平米。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2、新建（暖棚）15座，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规格：长度100米*跨度20米：6座，共12000平米；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规格：长度108米*跨度20米：3座，共6480平米；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规格：长度112米*跨度20米：2座，共4480平米；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规格：长度97米*跨度20米：2座，共3880平米；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规格：长度100米*跨度18米：1座，共1800平米；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共30640平米。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06FA88D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694.16万元，对新型经营主体新建的大棚给予50%的产业扶持。项目建成后，扶持资金形成的资产归项目所在乡镇（街道）所有，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突发严重困难户、脱贫户帮扶及巩固拓展脱贫攻坚成果、乡村振兴事业发展，增加群众满意度。5年内上级政策有调整的，执行上级政策。5年后，按照上级有关政策执行。</w:t>
            </w:r>
          </w:p>
        </w:tc>
        <w:tc>
          <w:tcPr>
            <w:tcW w:w="2885" w:type="dxa"/>
            <w:tcBorders>
              <w:top w:val="single" w:color="000000" w:sz="4" w:space="0"/>
              <w:left w:val="single" w:color="000000" w:sz="4" w:space="0"/>
              <w:bottom w:val="single" w:color="000000" w:sz="4" w:space="0"/>
              <w:right w:val="single" w:color="000000" w:sz="4" w:space="0"/>
            </w:tcBorders>
            <w:vAlign w:val="center"/>
          </w:tcPr>
          <w:p w14:paraId="260F58B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脱贫户帮扶及巩固拓展脱贫攻坚成果、乡村振兴事业发展，增加群众满意度。可帮扶带动脱贫不稳定户、边缘易致贫户、脱贫户、突发严重困难户89户,为发展高效农业提供便利条件。</w:t>
            </w:r>
          </w:p>
        </w:tc>
      </w:tr>
      <w:tr w14:paraId="349D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73A7B47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1040" w:type="dxa"/>
            <w:tcBorders>
              <w:top w:val="single" w:color="000000" w:sz="4" w:space="0"/>
              <w:left w:val="single" w:color="000000" w:sz="4" w:space="0"/>
              <w:bottom w:val="single" w:color="000000" w:sz="4" w:space="0"/>
              <w:right w:val="single" w:color="000000" w:sz="4" w:space="0"/>
            </w:tcBorders>
            <w:vAlign w:val="center"/>
          </w:tcPr>
          <w:p w14:paraId="7AC3043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0DA3F8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2022年慈周寨镇后柿园村日光温室扶持项目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67B41E7C">
            <w:pPr>
              <w:widowControl/>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对新型经营主体新建的大棚给予50%的产业扶持。建设内容主要为：新建大棚41座，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1、新建（堆土型日光温室）39座规格：长度86米*跨度15米：14座；长度134米*跨度15米：12座；长度96*跨度15：4座；长度119*跨度15：8座；长度70*跨度15：1座；共计63270平米                           、</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2 、新建拱棚（暖棚）规格：跨度24*长度126：1座，共计3024平米；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3、新建冷棚规格：长度40米*跨度5米：1座，共计200平米；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24BC40B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643.33万元，对新型经营主体新建的大棚给予50%的产业扶持。项目建成后，扶持资金形成的资产归项目所在乡镇（街道）所有，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突发严重困难户、脱贫户帮扶及巩固拓展脱贫攻坚成果、乡村振兴事业发展，增加群众满意度。5年内上级政策有调整的，执行上级政策。5年后，按照上级有关政策执行。</w:t>
            </w:r>
          </w:p>
        </w:tc>
        <w:tc>
          <w:tcPr>
            <w:tcW w:w="2885" w:type="dxa"/>
            <w:tcBorders>
              <w:top w:val="single" w:color="000000" w:sz="4" w:space="0"/>
              <w:left w:val="single" w:color="000000" w:sz="4" w:space="0"/>
              <w:bottom w:val="single" w:color="000000" w:sz="4" w:space="0"/>
              <w:right w:val="single" w:color="000000" w:sz="4" w:space="0"/>
            </w:tcBorders>
            <w:vAlign w:val="center"/>
          </w:tcPr>
          <w:p w14:paraId="2F3C46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脱贫户帮扶及巩固拓展脱贫攻坚成果、乡村振兴事业发展，增加群众满意度。可帮扶带动脱贫不稳定户、边缘易致贫户、脱贫户、突发严重困难户10户,为发展高效农业提供便利条件。</w:t>
            </w:r>
          </w:p>
        </w:tc>
      </w:tr>
      <w:tr w14:paraId="6323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4EA69DD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c>
          <w:tcPr>
            <w:tcW w:w="1040" w:type="dxa"/>
            <w:tcBorders>
              <w:top w:val="single" w:color="000000" w:sz="4" w:space="0"/>
              <w:left w:val="single" w:color="000000" w:sz="4" w:space="0"/>
              <w:bottom w:val="single" w:color="000000" w:sz="4" w:space="0"/>
              <w:right w:val="single" w:color="000000" w:sz="4" w:space="0"/>
            </w:tcBorders>
            <w:vAlign w:val="center"/>
          </w:tcPr>
          <w:p w14:paraId="6A9A991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16646E4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2022年城关街道办事处史固村塑料大棚扶持项目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308563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对新型经营主体新建的大棚给予50%的产业扶持。新建蔬菜暖棚37座，其中,1、规格：跨度13米*长度100米，3座；共计3900平米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2、规格：跨度13米*长度115米，1座；共计1495平米;3、规格：跨度13米*长度170米，4座；共计8840平米，4、规格：跨度13米*长度130米，3座；共计5070平米；5、规格：跨度13米*长度105米，1座，共计1365平米；6、规格：跨度13米*长度220米，3座，共计8580平米；7、规格：跨度13米*长度120米，2座，共计3120平米；8、规格：跨度13米*长度117米，2座，共计3042平米；9、规格：跨度13米*长度190米，1座，共计2470平米；10、规格：跨度13米*长度215米，1座，共计2795平米；11、规格:跨度13米*长度165米，1座；共计2145平米；12、规格：跨度13米*长度158米，1座，共计2054平米13、规格：跨度13米*长度159米，1座，共计2067平米；14、规格；跨度15米*长度195米，3座；共计8775平米；15、规格：跨度13米*长度126米，1座；共计1638平米；16、规格：跨度13米*长度127米，3座；共计4953平米；17、规格:跨度13米*长度148米，4座；共计7696平米；18、规格：跨度13米*长度139米，1座；共计1807平米；19、规格：跨度13米*长度142米，1座；共计1846平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38F0892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投资523.14万元，对新型经营主体新建的大棚给予50%的产业扶持。项目建成后，扶持资金形成的资产归项目所在乡镇（街道）所有，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突发严重困难户、脱贫户帮扶及巩固拓展脱贫攻坚成果、乡村振兴事业发展，增加群众满意度。5年内上级政策有调整的，执行上级政策。5年后，按照上级有关政策执行。</w:t>
            </w:r>
          </w:p>
        </w:tc>
        <w:tc>
          <w:tcPr>
            <w:tcW w:w="2885" w:type="dxa"/>
            <w:tcBorders>
              <w:top w:val="single" w:color="000000" w:sz="4" w:space="0"/>
              <w:left w:val="single" w:color="000000" w:sz="4" w:space="0"/>
              <w:bottom w:val="single" w:color="000000" w:sz="4" w:space="0"/>
              <w:right w:val="single" w:color="000000" w:sz="4" w:space="0"/>
            </w:tcBorders>
            <w:vAlign w:val="center"/>
          </w:tcPr>
          <w:p w14:paraId="0D76AE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脱贫户帮扶及巩固拓展脱贫攻坚成果、乡村振兴事业发展，增加群众满意度。可帮扶带动脱贫不稳定户、边缘易致贫户、脱贫户、突发严重困难户337户,为发展高效农业提供便利条件。</w:t>
            </w:r>
          </w:p>
        </w:tc>
      </w:tr>
      <w:tr w14:paraId="2AC1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23E7ED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w:t>
            </w:r>
          </w:p>
        </w:tc>
        <w:tc>
          <w:tcPr>
            <w:tcW w:w="1040" w:type="dxa"/>
            <w:tcBorders>
              <w:top w:val="single" w:color="000000" w:sz="4" w:space="0"/>
              <w:left w:val="single" w:color="000000" w:sz="4" w:space="0"/>
              <w:bottom w:val="single" w:color="000000" w:sz="4" w:space="0"/>
              <w:right w:val="single" w:color="000000" w:sz="4" w:space="0"/>
            </w:tcBorders>
            <w:vAlign w:val="center"/>
          </w:tcPr>
          <w:p w14:paraId="39B31C85">
            <w:pPr>
              <w:widowControl/>
              <w:jc w:val="center"/>
              <w:textAlignment w:val="center"/>
              <w:rPr>
                <w:rFonts w:hint="default" w:ascii="宋体" w:hAnsi="宋体" w:eastAsia="宋体" w:cs="宋体"/>
                <w:i w:val="0"/>
                <w:iCs w:val="0"/>
                <w:color w:val="000000"/>
                <w:sz w:val="20"/>
                <w:szCs w:val="20"/>
                <w:highlight w:val="yellow"/>
                <w:u w:val="none"/>
                <w:lang w:val="en-US"/>
              </w:rPr>
            </w:pPr>
            <w:r>
              <w:rPr>
                <w:rFonts w:hint="eastAsia" w:ascii="宋体" w:hAnsi="宋体" w:eastAsia="宋体" w:cs="宋体"/>
                <w:i w:val="0"/>
                <w:iCs w:val="0"/>
                <w:color w:val="000000"/>
                <w:kern w:val="0"/>
                <w:sz w:val="20"/>
                <w:szCs w:val="20"/>
                <w:highlight w:val="none"/>
                <w:u w:val="none"/>
                <w:lang w:val="en-US" w:eastAsia="zh-CN"/>
              </w:rPr>
              <w:t>村集体经济发展扶持</w:t>
            </w:r>
            <w:r>
              <w:rPr>
                <w:rFonts w:hint="eastAsia" w:ascii="宋体" w:hAnsi="宋体" w:cs="宋体"/>
                <w:i w:val="0"/>
                <w:iCs w:val="0"/>
                <w:color w:val="000000"/>
                <w:kern w:val="0"/>
                <w:sz w:val="20"/>
                <w:szCs w:val="20"/>
                <w:highlight w:val="none"/>
                <w:u w:val="none"/>
                <w:lang w:val="en-US" w:eastAsia="zh-CN"/>
              </w:rPr>
              <w:t>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5A1CBAD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滑县2022年老店镇东马庄村面粉加工村集体经济发展扶持项目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2116E7A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为相关行政村村集体投资产业发展扶持资金，注入河南省福乐道口面业有限公司，用于建设一、2号车间，长59米、宽17米、共计六层，地上建筑面积6081.39平米。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二、4号车间，长69米、宽26米、共计4层，地上建筑面积7256.92平米。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三、原粮仓库，长31米、宽20米、共计8层，地上建筑面积5000平米。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四、包含内外墙粉刷，水电工程，门窗工程及楼地面工程等。</w:t>
            </w:r>
          </w:p>
        </w:tc>
        <w:tc>
          <w:tcPr>
            <w:tcW w:w="3894" w:type="dxa"/>
            <w:tcBorders>
              <w:top w:val="single" w:color="000000" w:sz="4" w:space="0"/>
              <w:left w:val="single" w:color="000000" w:sz="4" w:space="0"/>
              <w:bottom w:val="single" w:color="000000" w:sz="4" w:space="0"/>
              <w:right w:val="single" w:color="000000" w:sz="4" w:space="0"/>
            </w:tcBorders>
            <w:vAlign w:val="center"/>
          </w:tcPr>
          <w:p w14:paraId="091A83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是收益金增加村集体经济收入。河南省福乐道口面业有限公司每年按实际投资额的8%支付租金，租金归受扶持村集体所有，用于村级巩固拓展脱贫攻坚成果和乡村振兴事业发展。租用期限及租金有关政策要求暂定15年，15年内上级政策有调整的，执行上级政策，15年后按照上级政策要求执行。二是用工优先使用脱贫户、监测对象。项目建设过程中及项目建成后运行用工优先使用脱贫户和监测对象，注重项目运行用工的技术培训。通过项目实施，培育壮大村集体经济和新型农业经营主体，促进农业结构调整，拉长产业链条，示范带动低收入人群和农民收入稳定增长。</w:t>
            </w:r>
          </w:p>
        </w:tc>
        <w:tc>
          <w:tcPr>
            <w:tcW w:w="2885" w:type="dxa"/>
            <w:tcBorders>
              <w:top w:val="single" w:color="000000" w:sz="4" w:space="0"/>
              <w:left w:val="single" w:color="000000" w:sz="4" w:space="0"/>
              <w:bottom w:val="single" w:color="000000" w:sz="4" w:space="0"/>
              <w:right w:val="single" w:color="000000" w:sz="4" w:space="0"/>
            </w:tcBorders>
            <w:vAlign w:val="center"/>
          </w:tcPr>
          <w:p w14:paraId="6DDF50D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河南省福乐道口面业有限公司连续15年每年按实际投资额的8%支付租金，租金归受扶持村村集体所有，作为扶持村村集体经济收入，以上收益资金主要用于增加村集体经济收入和脱贫不稳定户、边缘易致贫户、脱贫户帮扶及巩固拓展脱贫攻坚成果、乡村振兴事业发展。可帮扶带动脱贫不稳定户、边缘易致贫户、脱贫户、突发严重困难户233户，增加群众满意度。</w:t>
            </w:r>
          </w:p>
        </w:tc>
      </w:tr>
      <w:tr w14:paraId="469B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5496D8C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w:t>
            </w:r>
          </w:p>
        </w:tc>
        <w:tc>
          <w:tcPr>
            <w:tcW w:w="1040" w:type="dxa"/>
            <w:tcBorders>
              <w:top w:val="single" w:color="000000" w:sz="4" w:space="0"/>
              <w:left w:val="single" w:color="000000" w:sz="4" w:space="0"/>
              <w:bottom w:val="single" w:color="000000" w:sz="4" w:space="0"/>
              <w:right w:val="single" w:color="000000" w:sz="4" w:space="0"/>
            </w:tcBorders>
            <w:vAlign w:val="center"/>
          </w:tcPr>
          <w:p w14:paraId="227ACCED">
            <w:pPr>
              <w:widowControl/>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none"/>
                <w:u w:val="none"/>
                <w:lang w:val="en-US" w:eastAsia="zh-CN"/>
              </w:rPr>
              <w:t>村集体经济发展扶持</w:t>
            </w:r>
            <w:r>
              <w:rPr>
                <w:rFonts w:hint="eastAsia" w:ascii="宋体" w:hAnsi="宋体" w:cs="宋体"/>
                <w:i w:val="0"/>
                <w:iCs w:val="0"/>
                <w:color w:val="000000"/>
                <w:kern w:val="0"/>
                <w:sz w:val="20"/>
                <w:szCs w:val="20"/>
                <w:highlight w:val="none"/>
                <w:u w:val="none"/>
                <w:lang w:val="en-US" w:eastAsia="zh-CN"/>
              </w:rPr>
              <w:t>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6388F11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滑县2022年万古镇马成精村食品加工村集体经济发展扶持项目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72104FE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为相关行政村村集体投资产业发展扶持资金，注入河南利英华食品有限公司，一、、新建食品加工厂房1、长100米，宽35米，高6.5米；新建食品加工厂房2、长50米，宽35米，高6.5米；建筑总面积5250平米，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二、食品级车间，包含车间卫生地面漆，车间内部设备间分隔，吊顶，</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三、新建仓储房，长45.9米，宽13米。共三层，建筑总面积1790.1平米</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四、新建冷库，长36.5米，宽35米，高6.5米，建筑面积1277.5平米。冷冻库总容积1000吨。包含内外墙粉刷，水电工程，门窗工程及楼地面工程等。</w:t>
            </w:r>
          </w:p>
        </w:tc>
        <w:tc>
          <w:tcPr>
            <w:tcW w:w="3894" w:type="dxa"/>
            <w:tcBorders>
              <w:top w:val="single" w:color="000000" w:sz="4" w:space="0"/>
              <w:left w:val="single" w:color="000000" w:sz="4" w:space="0"/>
              <w:bottom w:val="single" w:color="000000" w:sz="4" w:space="0"/>
              <w:right w:val="single" w:color="000000" w:sz="4" w:space="0"/>
            </w:tcBorders>
            <w:vAlign w:val="center"/>
          </w:tcPr>
          <w:p w14:paraId="7D0FEFA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是收益金增加村集体经济收入。河南利英华食品有限公司每年按实际投资额的8%支付租金，租金归受扶持村集体所有，用于村级巩固拓展脱贫攻坚成果和乡村振兴事业发展。租用期限及租金有关政策要求暂定15年，15年内上级政策有调整的，执行上级政策，15年后按照上级政策要求执行。二是用工优先使用脱贫户、监测对象。项目建设过程中及项目建成后运行用工优先使用脱贫户和监测对象，注重项目运行用工的技术培训。通过项目实施，培育壮大村集体经济和新型农业经营主体，促进农业结构调整，拉长产业链条，示范带动低收入人群和农民收入稳定增长。</w:t>
            </w:r>
          </w:p>
        </w:tc>
        <w:tc>
          <w:tcPr>
            <w:tcW w:w="2885" w:type="dxa"/>
            <w:tcBorders>
              <w:top w:val="single" w:color="000000" w:sz="4" w:space="0"/>
              <w:left w:val="single" w:color="000000" w:sz="4" w:space="0"/>
              <w:bottom w:val="single" w:color="000000" w:sz="4" w:space="0"/>
              <w:right w:val="single" w:color="000000" w:sz="4" w:space="0"/>
            </w:tcBorders>
            <w:vAlign w:val="center"/>
          </w:tcPr>
          <w:p w14:paraId="596F699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河南利英华食品有限公司连续15年每年按实际投资额的8%支付租金，租金归受扶持村村集体所有，作为扶持村村集体经济收入，以上收益资金主要用于增加村集体经济收入和脱贫不稳定户、边缘易致贫户、脱贫户帮扶及巩固拓展脱贫攻坚成果、乡村振兴事业发展。可帮扶带动脱贫不稳定户、边缘易致贫户、脱贫户、突发严重困难户190户，增加群众满意度。</w:t>
            </w:r>
          </w:p>
        </w:tc>
      </w:tr>
      <w:tr w14:paraId="46ED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4EF19DB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1040" w:type="dxa"/>
            <w:tcBorders>
              <w:top w:val="single" w:color="000000" w:sz="4" w:space="0"/>
              <w:left w:val="single" w:color="000000" w:sz="4" w:space="0"/>
              <w:bottom w:val="single" w:color="000000" w:sz="4" w:space="0"/>
              <w:right w:val="single" w:color="000000" w:sz="4" w:space="0"/>
            </w:tcBorders>
            <w:vAlign w:val="center"/>
          </w:tcPr>
          <w:p w14:paraId="0BEAD642">
            <w:pPr>
              <w:widowControl/>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none"/>
                <w:u w:val="none"/>
                <w:lang w:val="en-US" w:eastAsia="zh-CN"/>
              </w:rPr>
              <w:t>村集体经济发展扶持</w:t>
            </w:r>
            <w:r>
              <w:rPr>
                <w:rFonts w:hint="eastAsia" w:ascii="宋体" w:hAnsi="宋体" w:cs="宋体"/>
                <w:i w:val="0"/>
                <w:iCs w:val="0"/>
                <w:color w:val="000000"/>
                <w:kern w:val="0"/>
                <w:sz w:val="20"/>
                <w:szCs w:val="20"/>
                <w:highlight w:val="none"/>
                <w:u w:val="none"/>
                <w:lang w:val="en-US" w:eastAsia="zh-CN"/>
              </w:rPr>
              <w:t>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72EC024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滑县2022年留固镇大新庄村蔬菜初加工村集体经济发展扶持项目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242CC7E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为相关行政村村集体投资产业发展扶持资金，注入河南滑麦食品有限公司，一、新建钢结构厂房，长度102.48米，宽度15.48米，建筑基底面积1586.39平米，建筑面积3172.78平米。二、一层为架空层，高2.5米，二层高4米，三层高3米。三、一层砖墙，二层1.2米砖墙，2.8米复合板，三层全复合板，顶部彩瓦。</w:t>
            </w:r>
          </w:p>
        </w:tc>
        <w:tc>
          <w:tcPr>
            <w:tcW w:w="3894" w:type="dxa"/>
            <w:tcBorders>
              <w:top w:val="single" w:color="000000" w:sz="4" w:space="0"/>
              <w:left w:val="single" w:color="000000" w:sz="4" w:space="0"/>
              <w:bottom w:val="single" w:color="000000" w:sz="4" w:space="0"/>
              <w:right w:val="single" w:color="000000" w:sz="4" w:space="0"/>
            </w:tcBorders>
            <w:vAlign w:val="center"/>
          </w:tcPr>
          <w:p w14:paraId="75E12D0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是收益金增加村集体经济收入。河南滑麦食品有限公司每年按实际投资额的8%支付租金，租金归受扶持村集体所有，用于村级巩固拓展脱贫攻坚成果和乡村振兴事业发展。租用期限及租金有关政策要求暂定15年，15年内上级政策有调整的，执行上级政策，15年后按照上级政策要求执行。二是用工优先使用脱贫户、监测对象。项目建设过程中及项目建成后运行用工优先使用脱贫户和监测对象，注重项目运行用工的技术培训。通过项目实施，培育壮大村集体经济和新型农业经营主体，促进农业结构调整，拉长产业链条，示范带动低收入人群和农民收入稳定增长</w:t>
            </w:r>
          </w:p>
        </w:tc>
        <w:tc>
          <w:tcPr>
            <w:tcW w:w="2885" w:type="dxa"/>
            <w:tcBorders>
              <w:top w:val="single" w:color="000000" w:sz="4" w:space="0"/>
              <w:left w:val="single" w:color="000000" w:sz="4" w:space="0"/>
              <w:bottom w:val="single" w:color="000000" w:sz="4" w:space="0"/>
              <w:right w:val="single" w:color="000000" w:sz="4" w:space="0"/>
            </w:tcBorders>
            <w:vAlign w:val="center"/>
          </w:tcPr>
          <w:p w14:paraId="40745DE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河南滑麦食品有限公司连续15年每年按实际投资额的8%支付租金，租金归受扶持村村集体所有，作为扶持村村集体经济收入，以上收益资金主要用于增加村集体经济收入和脱贫不稳定户、边缘易致贫户、脱贫户帮扶及巩固拓展脱贫攻坚成果、乡村振兴事业发展。可帮扶带动脱贫不稳定户、边缘易致贫户、脱贫户、突发严重困难户89户，增加群众满意度。</w:t>
            </w:r>
          </w:p>
        </w:tc>
      </w:tr>
      <w:tr w14:paraId="6FD6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14:paraId="7D03CB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1040" w:type="dxa"/>
            <w:tcBorders>
              <w:top w:val="single" w:color="000000" w:sz="4" w:space="0"/>
              <w:left w:val="single" w:color="000000" w:sz="4" w:space="0"/>
              <w:bottom w:val="single" w:color="000000" w:sz="4" w:space="0"/>
              <w:right w:val="single" w:color="000000" w:sz="4" w:space="0"/>
            </w:tcBorders>
            <w:vAlign w:val="center"/>
          </w:tcPr>
          <w:p w14:paraId="7D77736D">
            <w:pPr>
              <w:widowControl/>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none"/>
                <w:u w:val="none"/>
                <w:lang w:val="en-US" w:eastAsia="zh-CN"/>
              </w:rPr>
              <w:t>村集体经济发展扶持</w:t>
            </w:r>
            <w:r>
              <w:rPr>
                <w:rFonts w:hint="eastAsia" w:ascii="宋体" w:hAnsi="宋体" w:cs="宋体"/>
                <w:i w:val="0"/>
                <w:iCs w:val="0"/>
                <w:color w:val="000000"/>
                <w:kern w:val="0"/>
                <w:sz w:val="20"/>
                <w:szCs w:val="20"/>
                <w:highlight w:val="none"/>
                <w:u w:val="none"/>
                <w:lang w:val="en-US" w:eastAsia="zh-CN"/>
              </w:rPr>
              <w:t>项目</w:t>
            </w:r>
          </w:p>
        </w:tc>
        <w:tc>
          <w:tcPr>
            <w:tcW w:w="1598" w:type="dxa"/>
            <w:tcBorders>
              <w:top w:val="single" w:color="000000" w:sz="4" w:space="0"/>
              <w:left w:val="single" w:color="000000" w:sz="4" w:space="0"/>
              <w:bottom w:val="single" w:color="000000" w:sz="4" w:space="0"/>
              <w:right w:val="single" w:color="000000" w:sz="4" w:space="0"/>
            </w:tcBorders>
            <w:vAlign w:val="center"/>
          </w:tcPr>
          <w:p w14:paraId="23F60E6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滑县2022年八里营镇东街村花生初加工村集体经济发展扶持项目</w:t>
            </w:r>
          </w:p>
        </w:tc>
        <w:tc>
          <w:tcPr>
            <w:tcW w:w="4299" w:type="dxa"/>
            <w:tcBorders>
              <w:top w:val="single" w:color="000000" w:sz="4" w:space="0"/>
              <w:left w:val="single" w:color="000000" w:sz="4" w:space="0"/>
              <w:bottom w:val="single" w:color="000000" w:sz="4" w:space="0"/>
              <w:right w:val="single" w:color="000000" w:sz="4" w:space="0"/>
            </w:tcBorders>
            <w:vAlign w:val="center"/>
          </w:tcPr>
          <w:p w14:paraId="4ED1BE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为相关行政村村集体投资产业发展扶持资金，注入河南省茶味源食品有限公司，</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新建食品级车间（厂房）及配套，长72米，宽8米，2层，建筑面积1152平米。</w:t>
            </w:r>
          </w:p>
        </w:tc>
        <w:tc>
          <w:tcPr>
            <w:tcW w:w="3894" w:type="dxa"/>
            <w:tcBorders>
              <w:top w:val="single" w:color="000000" w:sz="4" w:space="0"/>
              <w:left w:val="single" w:color="000000" w:sz="4" w:space="0"/>
              <w:bottom w:val="single" w:color="000000" w:sz="4" w:space="0"/>
              <w:right w:val="single" w:color="000000" w:sz="4" w:space="0"/>
            </w:tcBorders>
            <w:vAlign w:val="center"/>
          </w:tcPr>
          <w:p w14:paraId="31FFEE2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是收益金增加村集体经济收入。河南省茶味源食品有限公司每年按实际投资额的8%支付租金，租金归受扶持村集体所有，用于村级巩固拓展脱贫攻坚成果和乡村振兴事业发展。租用期限及租金有关政策要求暂定15年，15年内上级政策有调整的，执行上级政策，15年后按照上级政策要求执行。二是用工优先使用脱贫户、监测对象。项目建设过程中及项目建成后运行用工优先使用脱贫户和监测对象，注重项目运行用工的技术培训。通过项目实施，培育壮大村集体经济和新型农业经营主体，促进农业结构调整，拉长产业链条，示范带动低收入人群和农民收入稳定增长。</w:t>
            </w:r>
          </w:p>
        </w:tc>
        <w:tc>
          <w:tcPr>
            <w:tcW w:w="2885" w:type="dxa"/>
            <w:tcBorders>
              <w:top w:val="single" w:color="000000" w:sz="4" w:space="0"/>
              <w:left w:val="single" w:color="000000" w:sz="4" w:space="0"/>
              <w:bottom w:val="single" w:color="000000" w:sz="4" w:space="0"/>
              <w:right w:val="single" w:color="000000" w:sz="4" w:space="0"/>
            </w:tcBorders>
            <w:vAlign w:val="center"/>
          </w:tcPr>
          <w:p w14:paraId="28DBD6B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项目实施，河南省茶味源食品有限公司连续15年每年按实际投资额的8%支付租金，租金归受扶持村村集体所有，作为扶持村村集体经济收入，以上收益资金主要用于增加村集体经济收入和脱贫不稳定户、边缘易致贫户、脱贫户帮扶及巩固拓展脱贫攻坚成果、乡村振兴事业发展。可帮扶带动脱贫不稳定户、边缘易致贫户、脱贫户、突发严重困难户23户，增加群众满意度。</w:t>
            </w:r>
          </w:p>
        </w:tc>
      </w:tr>
    </w:tbl>
    <w:p w14:paraId="345F965F">
      <w:pPr>
        <w:rPr>
          <w:rFonts w:hint="eastAsia"/>
          <w:lang w:val="en-US" w:eastAsia="zh-CN"/>
        </w:rPr>
      </w:pPr>
      <w:r>
        <w:rPr>
          <w:rFonts w:hint="eastAsia"/>
          <w:lang w:val="en-US" w:eastAsia="zh-CN"/>
        </w:rPr>
        <w:br w:type="page"/>
      </w:r>
    </w:p>
    <w:p w14:paraId="31CDA993">
      <w:pPr>
        <w:pStyle w:val="26"/>
        <w:ind w:firstLine="482"/>
        <w:jc w:val="center"/>
        <w:rPr>
          <w:rFonts w:hint="eastAsia"/>
          <w:b/>
          <w:bCs/>
          <w:sz w:val="24"/>
          <w:szCs w:val="24"/>
          <w:lang w:val="en-US" w:eastAsia="zh-CN"/>
        </w:rPr>
      </w:pPr>
      <w:r>
        <w:rPr>
          <w:rFonts w:hint="eastAsia"/>
          <w:b/>
          <w:bCs/>
          <w:sz w:val="24"/>
          <w:szCs w:val="24"/>
          <w:lang w:val="en-US" w:eastAsia="zh-CN"/>
        </w:rPr>
        <w:t>表1-3 抽取的4个2021年度财政衔接推进乡村振兴补助项目完成情况表</w:t>
      </w:r>
    </w:p>
    <w:tbl>
      <w:tblPr>
        <w:tblStyle w:val="18"/>
        <w:tblW w:w="14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650"/>
        <w:gridCol w:w="2752"/>
        <w:gridCol w:w="757"/>
        <w:gridCol w:w="763"/>
        <w:gridCol w:w="822"/>
        <w:gridCol w:w="793"/>
        <w:gridCol w:w="680"/>
        <w:gridCol w:w="660"/>
        <w:gridCol w:w="2960"/>
        <w:gridCol w:w="1627"/>
        <w:gridCol w:w="690"/>
      </w:tblGrid>
      <w:tr w14:paraId="0B76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1009"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6BCB1BCF">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项目名称</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13AE4A57">
            <w:pPr>
              <w:widowControl/>
              <w:jc w:val="center"/>
              <w:textAlignment w:val="center"/>
              <w:rPr>
                <w:rFonts w:hint="default" w:ascii="Times New Roman" w:hAnsi="Times New Roman" w:eastAsia="宋体" w:cs="Times New Roman"/>
                <w:b/>
                <w:bCs/>
                <w:i w:val="0"/>
                <w:iCs w:val="0"/>
                <w:color w:val="000000"/>
                <w:kern w:val="0"/>
                <w:sz w:val="18"/>
                <w:szCs w:val="18"/>
                <w:u w:val="none"/>
                <w:lang w:val="en-US" w:eastAsia="zh-CN"/>
              </w:rPr>
            </w:pPr>
            <w:r>
              <w:rPr>
                <w:rFonts w:hint="default" w:ascii="Times New Roman" w:hAnsi="Times New Roman" w:eastAsia="宋体" w:cs="Times New Roman"/>
                <w:b/>
                <w:bCs/>
                <w:i w:val="0"/>
                <w:iCs w:val="0"/>
                <w:color w:val="000000"/>
                <w:kern w:val="0"/>
                <w:sz w:val="18"/>
                <w:szCs w:val="18"/>
                <w:u w:val="none"/>
                <w:lang w:val="en-US" w:eastAsia="zh-CN"/>
              </w:rPr>
              <w:t>项目</w:t>
            </w:r>
          </w:p>
          <w:p w14:paraId="549732AF">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类型</w:t>
            </w:r>
          </w:p>
        </w:tc>
        <w:tc>
          <w:tcPr>
            <w:tcW w:w="2752" w:type="dxa"/>
            <w:vMerge w:val="restart"/>
            <w:tcBorders>
              <w:top w:val="single" w:color="000000" w:sz="4" w:space="0"/>
              <w:left w:val="single" w:color="000000" w:sz="4" w:space="0"/>
              <w:right w:val="single" w:color="000000" w:sz="4" w:space="0"/>
            </w:tcBorders>
            <w:shd w:val="clear" w:color="auto" w:fill="BFBFBF"/>
            <w:vAlign w:val="center"/>
          </w:tcPr>
          <w:p w14:paraId="6213B9A1">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项目内容（建设任务）</w:t>
            </w:r>
          </w:p>
        </w:tc>
        <w:tc>
          <w:tcPr>
            <w:tcW w:w="2342" w:type="dxa"/>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61C28F2D">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项目实施情况</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15CAFEB0">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项目验收情况</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136E0829">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绩效目标实现情况</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4039E08E">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带贫减贫机制实现情况</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2D764CC8">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项目建设完成情况</w:t>
            </w:r>
          </w:p>
        </w:tc>
      </w:tr>
      <w:tr w14:paraId="4EF2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blHeader/>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48012154">
            <w:pPr>
              <w:jc w:val="center"/>
              <w:rPr>
                <w:rFonts w:hint="default" w:ascii="Times New Roman" w:hAnsi="Times New Roman" w:eastAsia="宋体" w:cs="Times New Roman"/>
                <w:b/>
                <w:bCs/>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5FC544F7">
            <w:pPr>
              <w:jc w:val="center"/>
              <w:rPr>
                <w:rFonts w:hint="default" w:ascii="Times New Roman" w:hAnsi="Times New Roman" w:eastAsia="宋体" w:cs="Times New Roman"/>
                <w:b/>
                <w:bCs/>
                <w:i w:val="0"/>
                <w:iCs w:val="0"/>
                <w:color w:val="000000"/>
                <w:sz w:val="18"/>
                <w:szCs w:val="18"/>
                <w:u w:val="none"/>
              </w:rPr>
            </w:pPr>
          </w:p>
        </w:tc>
        <w:tc>
          <w:tcPr>
            <w:tcW w:w="2752" w:type="dxa"/>
            <w:vMerge w:val="continue"/>
            <w:tcBorders>
              <w:left w:val="single" w:color="000000" w:sz="4" w:space="0"/>
              <w:bottom w:val="single" w:color="000000" w:sz="4" w:space="0"/>
              <w:right w:val="single" w:color="000000" w:sz="4" w:space="0"/>
            </w:tcBorders>
            <w:shd w:val="clear" w:color="auto" w:fill="BFBFBF"/>
            <w:vAlign w:val="center"/>
          </w:tcPr>
          <w:p w14:paraId="67588A93">
            <w:pPr>
              <w:widowControl/>
              <w:jc w:val="center"/>
              <w:textAlignment w:val="center"/>
              <w:rPr>
                <w:rFonts w:hint="default" w:ascii="Times New Roman" w:hAnsi="Times New Roman" w:eastAsia="宋体" w:cs="Times New Roman"/>
                <w:b/>
                <w:bCs/>
                <w:i w:val="0"/>
                <w:iCs w:val="0"/>
                <w:color w:val="000000"/>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147A989">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招投标方式</w:t>
            </w:r>
          </w:p>
        </w:tc>
        <w:tc>
          <w:tcPr>
            <w:tcW w:w="76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00F8849">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施工单位及责任人</w:t>
            </w:r>
          </w:p>
        </w:tc>
        <w:tc>
          <w:tcPr>
            <w:tcW w:w="822"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7564DAC">
            <w:pPr>
              <w:widowControl/>
              <w:jc w:val="center"/>
              <w:textAlignment w:val="center"/>
              <w:rPr>
                <w:rFonts w:hint="default" w:ascii="Times New Roman" w:hAnsi="Times New Roman" w:eastAsia="宋体" w:cs="Times New Roman"/>
                <w:b/>
                <w:bCs/>
                <w:i w:val="0"/>
                <w:iCs w:val="0"/>
                <w:color w:val="000000"/>
                <w:kern w:val="0"/>
                <w:sz w:val="18"/>
                <w:szCs w:val="18"/>
                <w:u w:val="none"/>
                <w:lang w:val="en-US" w:eastAsia="zh-CN"/>
              </w:rPr>
            </w:pPr>
            <w:r>
              <w:rPr>
                <w:rFonts w:hint="default" w:ascii="Times New Roman" w:hAnsi="Times New Roman" w:eastAsia="宋体" w:cs="Times New Roman"/>
                <w:b/>
                <w:bCs/>
                <w:i w:val="0"/>
                <w:iCs w:val="0"/>
                <w:color w:val="000000"/>
                <w:kern w:val="0"/>
                <w:sz w:val="18"/>
                <w:szCs w:val="18"/>
                <w:u w:val="none"/>
                <w:lang w:val="en-US" w:eastAsia="zh-CN"/>
              </w:rPr>
              <w:t>实施</w:t>
            </w:r>
          </w:p>
          <w:p w14:paraId="76EFF28B">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期限</w:t>
            </w:r>
          </w:p>
        </w:tc>
        <w:tc>
          <w:tcPr>
            <w:tcW w:w="79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FA1BD78">
            <w:pPr>
              <w:widowControl/>
              <w:jc w:val="center"/>
              <w:textAlignment w:val="center"/>
              <w:rPr>
                <w:rFonts w:hint="default" w:ascii="Times New Roman" w:hAnsi="Times New Roman" w:eastAsia="宋体" w:cs="Times New Roman"/>
                <w:b/>
                <w:bCs/>
                <w:i w:val="0"/>
                <w:iCs w:val="0"/>
                <w:color w:val="000000"/>
                <w:kern w:val="0"/>
                <w:sz w:val="18"/>
                <w:szCs w:val="18"/>
                <w:u w:val="none"/>
                <w:lang w:val="en-US" w:eastAsia="zh-CN"/>
              </w:rPr>
            </w:pPr>
            <w:r>
              <w:rPr>
                <w:rFonts w:hint="default" w:ascii="Times New Roman" w:hAnsi="Times New Roman" w:eastAsia="宋体" w:cs="Times New Roman"/>
                <w:b/>
                <w:bCs/>
                <w:i w:val="0"/>
                <w:iCs w:val="0"/>
                <w:color w:val="000000"/>
                <w:kern w:val="0"/>
                <w:sz w:val="18"/>
                <w:szCs w:val="18"/>
                <w:u w:val="none"/>
                <w:lang w:val="en-US" w:eastAsia="zh-CN"/>
              </w:rPr>
              <w:t>验收</w:t>
            </w:r>
          </w:p>
          <w:p w14:paraId="2826D2BD">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时间</w:t>
            </w:r>
          </w:p>
        </w:tc>
        <w:tc>
          <w:tcPr>
            <w:tcW w:w="68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8F88285">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验收单位</w:t>
            </w:r>
          </w:p>
        </w:tc>
        <w:tc>
          <w:tcPr>
            <w:tcW w:w="66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5B1E1C0">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验收结果</w:t>
            </w:r>
          </w:p>
        </w:tc>
        <w:tc>
          <w:tcPr>
            <w:tcW w:w="296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4BC4DCEF">
            <w:pPr>
              <w:jc w:val="center"/>
              <w:rPr>
                <w:rFonts w:hint="default" w:ascii="Times New Roman" w:hAnsi="Times New Roman" w:eastAsia="宋体" w:cs="Times New Roman"/>
                <w:b/>
                <w:bCs/>
                <w:i w:val="0"/>
                <w:iCs w:val="0"/>
                <w:color w:val="000000"/>
                <w:sz w:val="18"/>
                <w:szCs w:val="18"/>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2D457BB0">
            <w:pPr>
              <w:jc w:val="center"/>
              <w:rPr>
                <w:rFonts w:hint="default" w:ascii="Times New Roman" w:hAnsi="Times New Roman" w:eastAsia="宋体" w:cs="Times New Roman"/>
                <w:b/>
                <w:bCs/>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50DFC5FD">
            <w:pPr>
              <w:jc w:val="center"/>
              <w:rPr>
                <w:rFonts w:hint="default" w:ascii="Times New Roman" w:hAnsi="Times New Roman" w:eastAsia="宋体" w:cs="Times New Roman"/>
                <w:b/>
                <w:bCs/>
                <w:i w:val="0"/>
                <w:iCs w:val="0"/>
                <w:color w:val="000000"/>
                <w:sz w:val="18"/>
                <w:szCs w:val="18"/>
                <w:u w:val="none"/>
              </w:rPr>
            </w:pPr>
          </w:p>
        </w:tc>
      </w:tr>
      <w:tr w14:paraId="24E5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2C325904">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桑村乡路金德村道路硬化项目</w:t>
            </w:r>
          </w:p>
        </w:tc>
        <w:tc>
          <w:tcPr>
            <w:tcW w:w="650" w:type="dxa"/>
            <w:tcBorders>
              <w:top w:val="single" w:color="000000" w:sz="4" w:space="0"/>
              <w:left w:val="single" w:color="000000" w:sz="4" w:space="0"/>
              <w:bottom w:val="single" w:color="000000" w:sz="4" w:space="0"/>
              <w:right w:val="single" w:color="000000" w:sz="4" w:space="0"/>
            </w:tcBorders>
            <w:vAlign w:val="center"/>
          </w:tcPr>
          <w:p w14:paraId="4034A5B8">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基础设施</w:t>
            </w:r>
          </w:p>
        </w:tc>
        <w:tc>
          <w:tcPr>
            <w:tcW w:w="2752" w:type="dxa"/>
            <w:tcBorders>
              <w:top w:val="single" w:color="000000" w:sz="4" w:space="0"/>
              <w:left w:val="single" w:color="000000" w:sz="4" w:space="0"/>
              <w:bottom w:val="single" w:color="000000" w:sz="4" w:space="0"/>
              <w:right w:val="single" w:color="000000" w:sz="4" w:space="0"/>
            </w:tcBorders>
            <w:vAlign w:val="center"/>
          </w:tcPr>
          <w:p w14:paraId="5C6969EB">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新建水泥道路长1429米，宽5米，厚0.18米，c25混凝土道路，7145平方米；（2）新建水泥道路长1184米，宽4米，厚0.18米，c25混凝土道路，4736平方米；（3）新建水泥道路长344米，宽3.5米，厚0.15米，c25混凝土道路，1204平方米；（4）新建水泥道路长975.4米，宽3米，厚0.15米，c25混凝土道路，2926.2平方米；（5）新建水泥道路长231.2米，宽2.5米，厚0.15米，c25混凝土道路，578平方米；（6）新建水泥道路长930米，宽2米，厚0.15米，c25混凝土道路，1860平方米；（7）新建水泥道路长78米，宽1.5米，厚0.15米，c25混凝土道路，117平方米；合计18566.2平方米。</w:t>
            </w:r>
          </w:p>
        </w:tc>
        <w:tc>
          <w:tcPr>
            <w:tcW w:w="757" w:type="dxa"/>
            <w:tcBorders>
              <w:top w:val="single" w:color="000000" w:sz="4" w:space="0"/>
              <w:left w:val="single" w:color="000000" w:sz="4" w:space="0"/>
              <w:bottom w:val="single" w:color="000000" w:sz="4" w:space="0"/>
              <w:right w:val="single" w:color="000000" w:sz="4" w:space="0"/>
            </w:tcBorders>
            <w:vAlign w:val="center"/>
          </w:tcPr>
          <w:p w14:paraId="5EBEE33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竞争性谈判</w:t>
            </w:r>
          </w:p>
        </w:tc>
        <w:tc>
          <w:tcPr>
            <w:tcW w:w="763" w:type="dxa"/>
            <w:tcBorders>
              <w:top w:val="single" w:color="000000" w:sz="4" w:space="0"/>
              <w:left w:val="single" w:color="000000" w:sz="4" w:space="0"/>
              <w:bottom w:val="single" w:color="000000" w:sz="4" w:space="0"/>
              <w:right w:val="single" w:color="000000" w:sz="4" w:space="0"/>
            </w:tcBorders>
            <w:vAlign w:val="center"/>
          </w:tcPr>
          <w:p w14:paraId="5EEC0C20">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河南省奕旭电力工程有限公司 苏本胜</w:t>
            </w:r>
          </w:p>
        </w:tc>
        <w:tc>
          <w:tcPr>
            <w:tcW w:w="822" w:type="dxa"/>
            <w:tcBorders>
              <w:top w:val="single" w:color="000000" w:sz="4" w:space="0"/>
              <w:left w:val="single" w:color="000000" w:sz="4" w:space="0"/>
              <w:bottom w:val="single" w:color="000000" w:sz="4" w:space="0"/>
              <w:right w:val="single" w:color="000000" w:sz="4" w:space="0"/>
            </w:tcBorders>
            <w:vAlign w:val="center"/>
          </w:tcPr>
          <w:p w14:paraId="229ED34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2021年7月-8月</w:t>
            </w:r>
          </w:p>
        </w:tc>
        <w:tc>
          <w:tcPr>
            <w:tcW w:w="793" w:type="dxa"/>
            <w:tcBorders>
              <w:top w:val="single" w:color="000000" w:sz="4" w:space="0"/>
              <w:left w:val="single" w:color="000000" w:sz="4" w:space="0"/>
              <w:bottom w:val="single" w:color="000000" w:sz="4" w:space="0"/>
              <w:right w:val="single" w:color="000000" w:sz="4" w:space="0"/>
            </w:tcBorders>
            <w:vAlign w:val="center"/>
          </w:tcPr>
          <w:p w14:paraId="0DF68DE9">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2021年9月23日</w:t>
            </w:r>
          </w:p>
        </w:tc>
        <w:tc>
          <w:tcPr>
            <w:tcW w:w="680" w:type="dxa"/>
            <w:tcBorders>
              <w:top w:val="single" w:color="000000" w:sz="4" w:space="0"/>
              <w:left w:val="single" w:color="000000" w:sz="4" w:space="0"/>
              <w:bottom w:val="single" w:color="000000" w:sz="4" w:space="0"/>
              <w:right w:val="single" w:color="000000" w:sz="4" w:space="0"/>
            </w:tcBorders>
            <w:vAlign w:val="center"/>
          </w:tcPr>
          <w:p w14:paraId="3B6AFFF4">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河南科平工程检测咨询有限公司</w:t>
            </w:r>
          </w:p>
        </w:tc>
        <w:tc>
          <w:tcPr>
            <w:tcW w:w="660" w:type="dxa"/>
            <w:tcBorders>
              <w:top w:val="single" w:color="000000" w:sz="4" w:space="0"/>
              <w:left w:val="single" w:color="000000" w:sz="4" w:space="0"/>
              <w:bottom w:val="single" w:color="000000" w:sz="4" w:space="0"/>
              <w:right w:val="single" w:color="000000" w:sz="4" w:space="0"/>
            </w:tcBorders>
            <w:vAlign w:val="center"/>
          </w:tcPr>
          <w:p w14:paraId="7289515B">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2960" w:type="dxa"/>
            <w:tcBorders>
              <w:top w:val="single" w:color="000000" w:sz="4" w:space="0"/>
              <w:left w:val="single" w:color="000000" w:sz="4" w:space="0"/>
              <w:bottom w:val="single" w:color="000000" w:sz="4" w:space="0"/>
              <w:right w:val="single" w:color="000000" w:sz="4" w:space="0"/>
            </w:tcBorders>
            <w:vAlign w:val="center"/>
          </w:tcPr>
          <w:p w14:paraId="10EECE1E">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投资173.17万元，（1）新建水泥道路长1429米，宽5米，厚0.18米，c25混凝土道路，7145平方米；（2）新建水泥道路长1184米，宽4米，厚0.18米，c25混凝土道路，4736平方米；（3）新建水泥道路长344米，宽3.5米，厚0.15米，c25混凝土道路，1204平方米；（4）新建水泥道路长975.4米，宽3米，厚0.15米，c25混凝土道路，2926.2平方米；（5）新建水泥道路长231.2米，宽2.5米，厚0.15米，c25混凝土道路，578平方米；（6）新建水泥道路长930米，宽2米，厚0.15米，c25混凝土道路，1860平方米；（7）新建水泥道路长78米，宽1.5米，厚0.15米，c25混凝土道路，117平方米；合计18566.2平方米。便于355户群众出行。</w:t>
            </w:r>
          </w:p>
        </w:tc>
        <w:tc>
          <w:tcPr>
            <w:tcW w:w="1627" w:type="dxa"/>
            <w:tcBorders>
              <w:top w:val="single" w:color="000000" w:sz="4" w:space="0"/>
              <w:left w:val="single" w:color="000000" w:sz="4" w:space="0"/>
              <w:bottom w:val="single" w:color="000000" w:sz="4" w:space="0"/>
              <w:right w:val="single" w:color="000000" w:sz="4" w:space="0"/>
            </w:tcBorders>
            <w:vAlign w:val="center"/>
          </w:tcPr>
          <w:p w14:paraId="713D125D">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该项目惠及脱贫不稳定户、边缘易致贫户、脱贫户、突发严重困难户25户，使群众出行安全条件显著改善，村基础建设水平明显提高，自我发展能力明显增强，巩固脱贫攻坚成效，进而为实现全民脱贫奔小康提供助力。</w:t>
            </w:r>
          </w:p>
        </w:tc>
        <w:tc>
          <w:tcPr>
            <w:tcW w:w="690" w:type="dxa"/>
            <w:tcBorders>
              <w:top w:val="single" w:color="000000" w:sz="4" w:space="0"/>
              <w:left w:val="single" w:color="000000" w:sz="4" w:space="0"/>
              <w:bottom w:val="single" w:color="000000" w:sz="4" w:space="0"/>
              <w:right w:val="single" w:color="000000" w:sz="4" w:space="0"/>
            </w:tcBorders>
            <w:vAlign w:val="center"/>
          </w:tcPr>
          <w:p w14:paraId="54263D45">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已竣工决算</w:t>
            </w:r>
          </w:p>
        </w:tc>
      </w:tr>
      <w:tr w14:paraId="65B1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52B4530C">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城关街道办史固村设施农业产业扶持项目</w:t>
            </w:r>
          </w:p>
        </w:tc>
        <w:tc>
          <w:tcPr>
            <w:tcW w:w="650" w:type="dxa"/>
            <w:tcBorders>
              <w:top w:val="single" w:color="000000" w:sz="4" w:space="0"/>
              <w:left w:val="single" w:color="000000" w:sz="4" w:space="0"/>
              <w:bottom w:val="single" w:color="000000" w:sz="4" w:space="0"/>
              <w:right w:val="single" w:color="000000" w:sz="4" w:space="0"/>
            </w:tcBorders>
            <w:vAlign w:val="center"/>
          </w:tcPr>
          <w:p w14:paraId="54DBF152">
            <w:pPr>
              <w:widowControl/>
              <w:jc w:val="center"/>
              <w:textAlignment w:val="center"/>
              <w:rPr>
                <w:rFonts w:hint="default" w:ascii="Times New Roman" w:hAnsi="Times New Roman" w:eastAsia="宋体" w:cs="Times New Roman"/>
                <w:i w:val="0"/>
                <w:iCs w:val="0"/>
                <w:color w:val="000000"/>
                <w:sz w:val="18"/>
                <w:szCs w:val="18"/>
                <w:highlight w:val="none"/>
                <w:u w:val="none"/>
                <w:lang w:val="en-US"/>
              </w:rPr>
            </w:pPr>
            <w:r>
              <w:rPr>
                <w:rFonts w:hint="eastAsia" w:ascii="Times New Roman" w:hAnsi="Times New Roman" w:cs="Times New Roman"/>
                <w:i w:val="0"/>
                <w:iCs w:val="0"/>
                <w:color w:val="000000"/>
                <w:kern w:val="0"/>
                <w:sz w:val="18"/>
                <w:szCs w:val="18"/>
                <w:highlight w:val="none"/>
                <w:u w:val="none"/>
                <w:lang w:val="en-US" w:eastAsia="zh-CN"/>
              </w:rPr>
              <w:t>产业扶贫</w:t>
            </w:r>
          </w:p>
        </w:tc>
        <w:tc>
          <w:tcPr>
            <w:tcW w:w="2752" w:type="dxa"/>
            <w:tcBorders>
              <w:top w:val="single" w:color="000000" w:sz="4" w:space="0"/>
              <w:left w:val="single" w:color="000000" w:sz="4" w:space="0"/>
              <w:bottom w:val="single" w:color="000000" w:sz="4" w:space="0"/>
              <w:right w:val="single" w:color="000000" w:sz="4" w:space="0"/>
            </w:tcBorders>
            <w:vAlign w:val="center"/>
          </w:tcPr>
          <w:p w14:paraId="6D331D0D">
            <w:pPr>
              <w:widowControl/>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对新型经营主体新建的暖棚及配套设施给予产业扶持。建设内容主要为：一、新建蔬菜暖棚34栋，其中1、大棚规格13m*170m*4.5m，26栋；每栋占地3.315亩，共86.19亩；2、大棚规格13m*130m*4.5m，8栋，每栋占地2.535亩，共20.28亩；二、肥水一体化设备，肥水一体化配套设备及及打农药设备等</w:t>
            </w:r>
            <w:r>
              <w:rPr>
                <w:rFonts w:hint="eastAsia" w:ascii="Times New Roman" w:hAnsi="Times New Roman" w:cs="Times New Roman"/>
                <w:i w:val="0"/>
                <w:iCs w:val="0"/>
                <w:color w:val="000000"/>
                <w:kern w:val="0"/>
                <w:sz w:val="18"/>
                <w:szCs w:val="18"/>
                <w:highlight w:val="none"/>
                <w:u w:val="none"/>
                <w:lang w:val="en-US" w:eastAsia="zh-CN"/>
              </w:rPr>
              <w:t>。</w:t>
            </w:r>
          </w:p>
        </w:tc>
        <w:tc>
          <w:tcPr>
            <w:tcW w:w="757" w:type="dxa"/>
            <w:tcBorders>
              <w:top w:val="single" w:color="000000" w:sz="4" w:space="0"/>
              <w:left w:val="single" w:color="000000" w:sz="4" w:space="0"/>
              <w:bottom w:val="single" w:color="000000" w:sz="4" w:space="0"/>
              <w:right w:val="single" w:color="000000" w:sz="4" w:space="0"/>
            </w:tcBorders>
            <w:vAlign w:val="center"/>
          </w:tcPr>
          <w:p w14:paraId="62CA0D83">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公开招标</w:t>
            </w:r>
          </w:p>
        </w:tc>
        <w:tc>
          <w:tcPr>
            <w:tcW w:w="763" w:type="dxa"/>
            <w:tcBorders>
              <w:top w:val="single" w:color="000000" w:sz="4" w:space="0"/>
              <w:left w:val="single" w:color="000000" w:sz="4" w:space="0"/>
              <w:bottom w:val="single" w:color="000000" w:sz="4" w:space="0"/>
              <w:right w:val="single" w:color="000000" w:sz="4" w:space="0"/>
            </w:tcBorders>
            <w:vAlign w:val="center"/>
          </w:tcPr>
          <w:p w14:paraId="63BDFF04">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河南金兆建设有限公司，刘国钊</w:t>
            </w:r>
          </w:p>
        </w:tc>
        <w:tc>
          <w:tcPr>
            <w:tcW w:w="822" w:type="dxa"/>
            <w:tcBorders>
              <w:top w:val="single" w:color="000000" w:sz="4" w:space="0"/>
              <w:left w:val="single" w:color="000000" w:sz="4" w:space="0"/>
              <w:bottom w:val="single" w:color="000000" w:sz="4" w:space="0"/>
              <w:right w:val="single" w:color="000000" w:sz="4" w:space="0"/>
            </w:tcBorders>
            <w:vAlign w:val="center"/>
          </w:tcPr>
          <w:p w14:paraId="79BEB41E">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2021年8月-9月</w:t>
            </w:r>
          </w:p>
        </w:tc>
        <w:tc>
          <w:tcPr>
            <w:tcW w:w="793" w:type="dxa"/>
            <w:tcBorders>
              <w:top w:val="single" w:color="000000" w:sz="4" w:space="0"/>
              <w:left w:val="single" w:color="000000" w:sz="4" w:space="0"/>
              <w:bottom w:val="single" w:color="000000" w:sz="4" w:space="0"/>
              <w:right w:val="single" w:color="000000" w:sz="4" w:space="0"/>
            </w:tcBorders>
            <w:vAlign w:val="center"/>
          </w:tcPr>
          <w:p w14:paraId="7632FB98">
            <w:pPr>
              <w:widowControl/>
              <w:jc w:val="center"/>
              <w:textAlignment w:val="center"/>
              <w:rPr>
                <w:rFonts w:hint="default" w:ascii="Times New Roman" w:hAnsi="Times New Roman" w:eastAsia="宋体" w:cs="Times New Roman"/>
                <w:i w:val="0"/>
                <w:iCs w:val="0"/>
                <w:color w:val="000000"/>
                <w:sz w:val="18"/>
                <w:szCs w:val="18"/>
                <w:highlight w:val="none"/>
                <w:u w:val="none"/>
                <w:lang w:val="en-US"/>
              </w:rPr>
            </w:pPr>
            <w:r>
              <w:rPr>
                <w:rFonts w:hint="default" w:ascii="Times New Roman" w:hAnsi="Times New Roman" w:eastAsia="宋体" w:cs="Times New Roman"/>
                <w:i w:val="0"/>
                <w:iCs w:val="0"/>
                <w:color w:val="000000"/>
                <w:kern w:val="0"/>
                <w:sz w:val="18"/>
                <w:szCs w:val="18"/>
                <w:highlight w:val="none"/>
                <w:u w:val="none"/>
                <w:lang w:val="en-US" w:eastAsia="zh-CN"/>
              </w:rPr>
              <w:t>2021</w:t>
            </w:r>
            <w:r>
              <w:rPr>
                <w:rFonts w:hint="eastAsia" w:ascii="Times New Roman" w:hAnsi="Times New Roman" w:cs="Times New Roman"/>
                <w:i w:val="0"/>
                <w:iCs w:val="0"/>
                <w:color w:val="000000"/>
                <w:kern w:val="0"/>
                <w:sz w:val="18"/>
                <w:szCs w:val="18"/>
                <w:highlight w:val="none"/>
                <w:u w:val="none"/>
                <w:lang w:val="en-US" w:eastAsia="zh-CN"/>
              </w:rPr>
              <w:t>年</w:t>
            </w:r>
            <w:r>
              <w:rPr>
                <w:rFonts w:hint="default" w:ascii="Times New Roman" w:hAnsi="Times New Roman" w:eastAsia="宋体" w:cs="Times New Roman"/>
                <w:i w:val="0"/>
                <w:iCs w:val="0"/>
                <w:color w:val="000000"/>
                <w:kern w:val="0"/>
                <w:sz w:val="18"/>
                <w:szCs w:val="18"/>
                <w:highlight w:val="none"/>
                <w:u w:val="none"/>
                <w:lang w:val="en-US" w:eastAsia="zh-CN"/>
              </w:rPr>
              <w:t>9</w:t>
            </w:r>
            <w:r>
              <w:rPr>
                <w:rFonts w:hint="eastAsia" w:ascii="Times New Roman" w:hAnsi="Times New Roman" w:cs="Times New Roman"/>
                <w:i w:val="0"/>
                <w:iCs w:val="0"/>
                <w:color w:val="000000"/>
                <w:kern w:val="0"/>
                <w:sz w:val="18"/>
                <w:szCs w:val="18"/>
                <w:highlight w:val="none"/>
                <w:u w:val="none"/>
                <w:lang w:val="en-US" w:eastAsia="zh-CN"/>
              </w:rPr>
              <w:t>月</w:t>
            </w:r>
            <w:r>
              <w:rPr>
                <w:rFonts w:hint="default" w:ascii="Times New Roman" w:hAnsi="Times New Roman" w:eastAsia="宋体" w:cs="Times New Roman"/>
                <w:i w:val="0"/>
                <w:iCs w:val="0"/>
                <w:color w:val="000000"/>
                <w:kern w:val="0"/>
                <w:sz w:val="18"/>
                <w:szCs w:val="18"/>
                <w:highlight w:val="none"/>
                <w:u w:val="none"/>
                <w:lang w:val="en-US" w:eastAsia="zh-CN"/>
              </w:rPr>
              <w:t>22</w:t>
            </w:r>
            <w:r>
              <w:rPr>
                <w:rFonts w:hint="eastAsia" w:ascii="Times New Roman" w:hAnsi="Times New Roman" w:cs="Times New Roman"/>
                <w:i w:val="0"/>
                <w:iCs w:val="0"/>
                <w:color w:val="000000"/>
                <w:kern w:val="0"/>
                <w:sz w:val="18"/>
                <w:szCs w:val="18"/>
                <w:highlight w:val="none"/>
                <w:u w:val="none"/>
                <w:lang w:val="en-US" w:eastAsia="zh-CN"/>
              </w:rPr>
              <w:t>日</w:t>
            </w:r>
          </w:p>
        </w:tc>
        <w:tc>
          <w:tcPr>
            <w:tcW w:w="680" w:type="dxa"/>
            <w:tcBorders>
              <w:top w:val="single" w:color="000000" w:sz="4" w:space="0"/>
              <w:left w:val="single" w:color="000000" w:sz="4" w:space="0"/>
              <w:bottom w:val="single" w:color="000000" w:sz="4" w:space="0"/>
              <w:right w:val="single" w:color="000000" w:sz="4" w:space="0"/>
            </w:tcBorders>
            <w:vAlign w:val="center"/>
          </w:tcPr>
          <w:p w14:paraId="39427F8A">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河南祥通建设工程检测有限公司</w:t>
            </w:r>
          </w:p>
        </w:tc>
        <w:tc>
          <w:tcPr>
            <w:tcW w:w="660" w:type="dxa"/>
            <w:tcBorders>
              <w:top w:val="single" w:color="000000" w:sz="4" w:space="0"/>
              <w:left w:val="single" w:color="000000" w:sz="4" w:space="0"/>
              <w:bottom w:val="single" w:color="000000" w:sz="4" w:space="0"/>
              <w:right w:val="single" w:color="000000" w:sz="4" w:space="0"/>
            </w:tcBorders>
            <w:vAlign w:val="center"/>
          </w:tcPr>
          <w:p w14:paraId="381949EE">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合格</w:t>
            </w:r>
          </w:p>
        </w:tc>
        <w:tc>
          <w:tcPr>
            <w:tcW w:w="2960" w:type="dxa"/>
            <w:tcBorders>
              <w:top w:val="single" w:color="000000" w:sz="4" w:space="0"/>
              <w:left w:val="single" w:color="000000" w:sz="4" w:space="0"/>
              <w:bottom w:val="single" w:color="000000" w:sz="4" w:space="0"/>
              <w:right w:val="single" w:color="000000" w:sz="4" w:space="0"/>
            </w:tcBorders>
            <w:vAlign w:val="center"/>
          </w:tcPr>
          <w:p w14:paraId="31AFC365">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投资412.09万元，对新型经营主体新建的暖棚及配套设施给予产业扶持。建设内容主要为：1、新建蔬菜暖棚34栋，其中大棚规格：13m*170m*4.5m，26栋，每栋占地3.315亩，共86.19亩；大棚规格：13m*130m*4.5m，8栋，每栋占地2.535亩，共20.28亩；2、肥水一体化设备：肥水一体化配套设备及打农药设备。项目建成后，扶持资金形成的资产归项目所在乡镇（街道）所有，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突发严重困难户、脱贫户帮扶及巩固拓展脱贫攻坚成果、乡村振兴事业发展，增加群众满意度。5年内上级政策有调整的，执行上级政策。5年后，按照上级有关政策执行。</w:t>
            </w:r>
          </w:p>
        </w:tc>
        <w:tc>
          <w:tcPr>
            <w:tcW w:w="1627" w:type="dxa"/>
            <w:tcBorders>
              <w:top w:val="single" w:color="000000" w:sz="4" w:space="0"/>
              <w:left w:val="single" w:color="000000" w:sz="4" w:space="0"/>
              <w:bottom w:val="single" w:color="000000" w:sz="4" w:space="0"/>
              <w:right w:val="single" w:color="000000" w:sz="4" w:space="0"/>
            </w:tcBorders>
            <w:vAlign w:val="center"/>
          </w:tcPr>
          <w:p w14:paraId="54CE1E93">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通过项目实施，受扶持对象连续5年每年拿出扶持资金的8%，其中50万元扶持资金形成的收益金，归项目所在村村集体所有，扶持资金超过50万元部分形成的收益金，交所在乡镇（街道）统筹使用，以上收益资金主要用于增加村集体经济收入和脱贫不稳定户、边缘易致贫户、脱贫户帮扶及巩固拓展脱贫攻坚成果、乡村振兴事业发展，增加群众满意度。可帮扶带动脱贫不稳定户、边缘易致贫户、脱贫户、突发严重困难户337户,为发展高效农业提供便利条件。</w:t>
            </w:r>
          </w:p>
        </w:tc>
        <w:tc>
          <w:tcPr>
            <w:tcW w:w="690" w:type="dxa"/>
            <w:tcBorders>
              <w:top w:val="single" w:color="000000" w:sz="4" w:space="0"/>
              <w:left w:val="single" w:color="000000" w:sz="4" w:space="0"/>
              <w:bottom w:val="single" w:color="000000" w:sz="4" w:space="0"/>
              <w:right w:val="single" w:color="000000" w:sz="4" w:space="0"/>
            </w:tcBorders>
            <w:vAlign w:val="center"/>
          </w:tcPr>
          <w:p w14:paraId="43F2508F">
            <w:pPr>
              <w:widowControl/>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rPr>
              <w:t>已竣工决算</w:t>
            </w:r>
          </w:p>
        </w:tc>
      </w:tr>
      <w:tr w14:paraId="6886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6A7F1749">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2021年留固镇武庄村村集体经济发展滑丰智能化种子加工产业项目</w:t>
            </w:r>
          </w:p>
        </w:tc>
        <w:tc>
          <w:tcPr>
            <w:tcW w:w="650" w:type="dxa"/>
            <w:tcBorders>
              <w:top w:val="single" w:color="000000" w:sz="4" w:space="0"/>
              <w:left w:val="single" w:color="000000" w:sz="4" w:space="0"/>
              <w:bottom w:val="single" w:color="000000" w:sz="4" w:space="0"/>
              <w:right w:val="single" w:color="000000" w:sz="4" w:space="0"/>
            </w:tcBorders>
            <w:vAlign w:val="center"/>
          </w:tcPr>
          <w:p w14:paraId="555011B9">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产业扶贫</w:t>
            </w:r>
          </w:p>
        </w:tc>
        <w:tc>
          <w:tcPr>
            <w:tcW w:w="2752" w:type="dxa"/>
            <w:tcBorders>
              <w:top w:val="single" w:color="000000" w:sz="4" w:space="0"/>
              <w:left w:val="single" w:color="000000" w:sz="4" w:space="0"/>
              <w:bottom w:val="single" w:color="000000" w:sz="4" w:space="0"/>
              <w:right w:val="single" w:color="000000" w:sz="4" w:space="0"/>
            </w:tcBorders>
            <w:vAlign w:val="center"/>
          </w:tcPr>
          <w:p w14:paraId="4BCFA210">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为村集体投资40万元产业发展扶持资金，注入河南滑丰种业科技有限公司，用于建设标准化种子仓库设施，标准化种子仓库设施建成后按照注入资金物化成资产确权给受扶持村集体，由河南滑丰种业租用进行生产经营，公司连续15年每年按实际投资额的8%支付租金，增加村集体经济收入</w:t>
            </w:r>
            <w:r>
              <w:rPr>
                <w:rFonts w:hint="eastAsia" w:ascii="Times New Roman" w:hAnsi="Times New Roman" w:eastAsia="宋体" w:cs="Times New Roman"/>
                <w:i w:val="0"/>
                <w:iCs w:val="0"/>
                <w:color w:val="000000"/>
                <w:kern w:val="0"/>
                <w:sz w:val="18"/>
                <w:szCs w:val="18"/>
                <w:u w:val="none"/>
                <w:lang w:val="en-US" w:eastAsia="zh-CN"/>
              </w:rPr>
              <w:t>，</w:t>
            </w:r>
            <w:r>
              <w:rPr>
                <w:rFonts w:hint="default" w:ascii="Times New Roman" w:hAnsi="Times New Roman" w:eastAsia="宋体" w:cs="Times New Roman"/>
                <w:i w:val="0"/>
                <w:iCs w:val="0"/>
                <w:color w:val="000000"/>
                <w:kern w:val="0"/>
                <w:sz w:val="18"/>
                <w:szCs w:val="18"/>
                <w:u w:val="none"/>
                <w:lang w:val="en-US" w:eastAsia="zh-CN"/>
              </w:rPr>
              <w:t>租用期限及租金有关政策要求暂定15年，15年内上级政策有调整的，执行上级政策，15年后按照上级政策要求执行。项目建设及运行过程中用工优先使用脱贫不稳定户、边缘易致贫户、突发严重困难户、脱贫户。河南滑丰种业与村内小麦种植农户签订优质小麦订单收购合同，增加签订合同户种植收入。</w:t>
            </w:r>
          </w:p>
        </w:tc>
        <w:tc>
          <w:tcPr>
            <w:tcW w:w="757" w:type="dxa"/>
            <w:tcBorders>
              <w:top w:val="single" w:color="000000" w:sz="4" w:space="0"/>
              <w:left w:val="single" w:color="000000" w:sz="4" w:space="0"/>
              <w:bottom w:val="single" w:color="000000" w:sz="4" w:space="0"/>
              <w:right w:val="single" w:color="000000" w:sz="4" w:space="0"/>
            </w:tcBorders>
            <w:vAlign w:val="center"/>
          </w:tcPr>
          <w:p w14:paraId="069421CC">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无需招标</w:t>
            </w:r>
          </w:p>
        </w:tc>
        <w:tc>
          <w:tcPr>
            <w:tcW w:w="763" w:type="dxa"/>
            <w:tcBorders>
              <w:top w:val="single" w:color="000000" w:sz="4" w:space="0"/>
              <w:left w:val="single" w:color="000000" w:sz="4" w:space="0"/>
              <w:bottom w:val="single" w:color="000000" w:sz="4" w:space="0"/>
              <w:right w:val="single" w:color="000000" w:sz="4" w:space="0"/>
            </w:tcBorders>
            <w:vAlign w:val="center"/>
          </w:tcPr>
          <w:p w14:paraId="790BF0BB">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河南滑丰种业科技有限公司  赵秀珍</w:t>
            </w:r>
          </w:p>
        </w:tc>
        <w:tc>
          <w:tcPr>
            <w:tcW w:w="822" w:type="dxa"/>
            <w:tcBorders>
              <w:top w:val="single" w:color="000000" w:sz="4" w:space="0"/>
              <w:left w:val="single" w:color="000000" w:sz="4" w:space="0"/>
              <w:bottom w:val="single" w:color="000000" w:sz="4" w:space="0"/>
              <w:right w:val="single" w:color="000000" w:sz="4" w:space="0"/>
            </w:tcBorders>
            <w:vAlign w:val="center"/>
          </w:tcPr>
          <w:p w14:paraId="63CE1C67">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2021年8月-11月</w:t>
            </w:r>
          </w:p>
        </w:tc>
        <w:tc>
          <w:tcPr>
            <w:tcW w:w="793" w:type="dxa"/>
            <w:tcBorders>
              <w:top w:val="single" w:color="000000" w:sz="4" w:space="0"/>
              <w:left w:val="single" w:color="000000" w:sz="4" w:space="0"/>
              <w:bottom w:val="single" w:color="000000" w:sz="4" w:space="0"/>
              <w:right w:val="single" w:color="000000" w:sz="4" w:space="0"/>
            </w:tcBorders>
            <w:vAlign w:val="center"/>
          </w:tcPr>
          <w:p w14:paraId="73EEDB3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不涉及验收</w:t>
            </w:r>
          </w:p>
        </w:tc>
        <w:tc>
          <w:tcPr>
            <w:tcW w:w="680" w:type="dxa"/>
            <w:tcBorders>
              <w:top w:val="single" w:color="000000" w:sz="4" w:space="0"/>
              <w:left w:val="single" w:color="000000" w:sz="4" w:space="0"/>
              <w:bottom w:val="single" w:color="000000" w:sz="4" w:space="0"/>
              <w:right w:val="single" w:color="000000" w:sz="4" w:space="0"/>
            </w:tcBorders>
            <w:vAlign w:val="center"/>
          </w:tcPr>
          <w:p w14:paraId="07E589E0">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14:paraId="4A39C3F5">
            <w:pPr>
              <w:jc w:val="center"/>
              <w:rPr>
                <w:rFonts w:hint="default" w:ascii="Times New Roman" w:hAnsi="Times New Roman" w:eastAsia="宋体" w:cs="Times New Roman"/>
                <w:i w:val="0"/>
                <w:iCs w:val="0"/>
                <w:color w:val="000000"/>
                <w:sz w:val="18"/>
                <w:szCs w:val="18"/>
                <w:u w:val="none"/>
              </w:rPr>
            </w:pPr>
          </w:p>
        </w:tc>
        <w:tc>
          <w:tcPr>
            <w:tcW w:w="2960" w:type="dxa"/>
            <w:tcBorders>
              <w:top w:val="single" w:color="000000" w:sz="4" w:space="0"/>
              <w:left w:val="single" w:color="000000" w:sz="4" w:space="0"/>
              <w:bottom w:val="single" w:color="000000" w:sz="4" w:space="0"/>
              <w:right w:val="single" w:color="000000" w:sz="4" w:space="0"/>
            </w:tcBorders>
            <w:vAlign w:val="center"/>
          </w:tcPr>
          <w:p w14:paraId="6145B32E">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投资40万元，注入河南滑丰种业科技有限公司，用于建设标准化种子仓库设施。标准化种子仓库设施建成后，按照注入资金物化成资产确权给受扶持村村集体，由河南滑丰种业租用进行生产经营，承租对象连续15年每年按实际投资额的8%支付租金，租金归受扶持村集体所有，用于村级巩固拓展脱贫攻坚成果和乡村振兴事业发展，租用期限及租金有关政策要求暂定15年，15年内上级政策有调整的，执行上级政策，15年后按照上级政策要求执行。项目建设及运行过程中用工优先使用脱贫不稳定户、边缘易致贫户、突发严重困难户、脱贫户。河南滑丰种业与村内小麦种植农户签订优质小麦订单收购合同，增加签订合同户种植收入。</w:t>
            </w:r>
          </w:p>
        </w:tc>
        <w:tc>
          <w:tcPr>
            <w:tcW w:w="1627" w:type="dxa"/>
            <w:tcBorders>
              <w:top w:val="single" w:color="000000" w:sz="4" w:space="0"/>
              <w:left w:val="single" w:color="000000" w:sz="4" w:space="0"/>
              <w:bottom w:val="single" w:color="000000" w:sz="4" w:space="0"/>
              <w:right w:val="single" w:color="000000" w:sz="4" w:space="0"/>
            </w:tcBorders>
            <w:vAlign w:val="center"/>
          </w:tcPr>
          <w:p w14:paraId="726B866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通过项目实施，承租对象连续15年每年按实际投资额的8%支付租金，租金归受扶持村村集体所有，增加受扶持村村集体经济收入。可帮扶带动脱贫不稳定户、边缘易致贫户、脱贫户、突发严重困难户共3户，为发展高效农业提供便利条件。</w:t>
            </w:r>
          </w:p>
        </w:tc>
        <w:tc>
          <w:tcPr>
            <w:tcW w:w="690" w:type="dxa"/>
            <w:tcBorders>
              <w:top w:val="single" w:color="000000" w:sz="4" w:space="0"/>
              <w:left w:val="single" w:color="000000" w:sz="4" w:space="0"/>
              <w:bottom w:val="single" w:color="000000" w:sz="4" w:space="0"/>
              <w:right w:val="single" w:color="000000" w:sz="4" w:space="0"/>
            </w:tcBorders>
            <w:vAlign w:val="center"/>
          </w:tcPr>
          <w:p w14:paraId="179B12FF">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已竣工决算</w:t>
            </w:r>
          </w:p>
        </w:tc>
      </w:tr>
      <w:tr w14:paraId="35FD6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5D3AEC0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城关街道办史固村设施农业产业配套项目</w:t>
            </w:r>
          </w:p>
        </w:tc>
        <w:tc>
          <w:tcPr>
            <w:tcW w:w="650" w:type="dxa"/>
            <w:tcBorders>
              <w:top w:val="single" w:color="000000" w:sz="4" w:space="0"/>
              <w:left w:val="single" w:color="000000" w:sz="4" w:space="0"/>
              <w:bottom w:val="single" w:color="000000" w:sz="4" w:space="0"/>
              <w:right w:val="single" w:color="000000" w:sz="4" w:space="0"/>
            </w:tcBorders>
            <w:vAlign w:val="center"/>
          </w:tcPr>
          <w:p w14:paraId="78C724B7">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产业扶贫</w:t>
            </w:r>
          </w:p>
        </w:tc>
        <w:tc>
          <w:tcPr>
            <w:tcW w:w="2752" w:type="dxa"/>
            <w:tcBorders>
              <w:top w:val="single" w:color="000000" w:sz="4" w:space="0"/>
              <w:left w:val="single" w:color="000000" w:sz="4" w:space="0"/>
              <w:bottom w:val="single" w:color="000000" w:sz="4" w:space="0"/>
              <w:right w:val="single" w:color="000000" w:sz="4" w:space="0"/>
            </w:tcBorders>
            <w:vAlign w:val="center"/>
          </w:tcPr>
          <w:p w14:paraId="7E39D104">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新建棚区内水泥道路：宽5米，长2200米，厚0.18米，c25混凝土道路，面积11000平方米</w:t>
            </w:r>
          </w:p>
        </w:tc>
        <w:tc>
          <w:tcPr>
            <w:tcW w:w="757" w:type="dxa"/>
            <w:tcBorders>
              <w:top w:val="single" w:color="000000" w:sz="4" w:space="0"/>
              <w:left w:val="single" w:color="000000" w:sz="4" w:space="0"/>
              <w:bottom w:val="single" w:color="000000" w:sz="4" w:space="0"/>
              <w:right w:val="single" w:color="000000" w:sz="4" w:space="0"/>
            </w:tcBorders>
            <w:vAlign w:val="center"/>
          </w:tcPr>
          <w:p w14:paraId="152A5D50">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竞争性谈判</w:t>
            </w:r>
          </w:p>
        </w:tc>
        <w:tc>
          <w:tcPr>
            <w:tcW w:w="763" w:type="dxa"/>
            <w:tcBorders>
              <w:top w:val="single" w:color="000000" w:sz="4" w:space="0"/>
              <w:left w:val="single" w:color="000000" w:sz="4" w:space="0"/>
              <w:bottom w:val="single" w:color="000000" w:sz="4" w:space="0"/>
              <w:right w:val="single" w:color="000000" w:sz="4" w:space="0"/>
            </w:tcBorders>
            <w:vAlign w:val="center"/>
          </w:tcPr>
          <w:p w14:paraId="62101FBB">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河南省长河建筑工程有限责任公司，刘堆</w:t>
            </w:r>
          </w:p>
        </w:tc>
        <w:tc>
          <w:tcPr>
            <w:tcW w:w="822" w:type="dxa"/>
            <w:tcBorders>
              <w:top w:val="single" w:color="000000" w:sz="4" w:space="0"/>
              <w:left w:val="single" w:color="000000" w:sz="4" w:space="0"/>
              <w:bottom w:val="single" w:color="000000" w:sz="4" w:space="0"/>
              <w:right w:val="single" w:color="000000" w:sz="4" w:space="0"/>
            </w:tcBorders>
            <w:vAlign w:val="center"/>
          </w:tcPr>
          <w:p w14:paraId="2B736FDB">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2021年9月-9月</w:t>
            </w:r>
          </w:p>
        </w:tc>
        <w:tc>
          <w:tcPr>
            <w:tcW w:w="793" w:type="dxa"/>
            <w:tcBorders>
              <w:top w:val="single" w:color="000000" w:sz="4" w:space="0"/>
              <w:left w:val="single" w:color="000000" w:sz="4" w:space="0"/>
              <w:bottom w:val="single" w:color="000000" w:sz="4" w:space="0"/>
              <w:right w:val="single" w:color="000000" w:sz="4" w:space="0"/>
            </w:tcBorders>
            <w:vAlign w:val="center"/>
          </w:tcPr>
          <w:p w14:paraId="4E59CF60">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2021.10.23</w:t>
            </w:r>
          </w:p>
        </w:tc>
        <w:tc>
          <w:tcPr>
            <w:tcW w:w="680" w:type="dxa"/>
            <w:tcBorders>
              <w:top w:val="single" w:color="000000" w:sz="4" w:space="0"/>
              <w:left w:val="single" w:color="000000" w:sz="4" w:space="0"/>
              <w:bottom w:val="single" w:color="000000" w:sz="4" w:space="0"/>
              <w:right w:val="single" w:color="000000" w:sz="4" w:space="0"/>
            </w:tcBorders>
            <w:vAlign w:val="center"/>
          </w:tcPr>
          <w:p w14:paraId="72354F3D">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中誉恒信工程咨询有限公司</w:t>
            </w:r>
          </w:p>
        </w:tc>
        <w:tc>
          <w:tcPr>
            <w:tcW w:w="660" w:type="dxa"/>
            <w:tcBorders>
              <w:top w:val="single" w:color="000000" w:sz="4" w:space="0"/>
              <w:left w:val="single" w:color="000000" w:sz="4" w:space="0"/>
              <w:bottom w:val="single" w:color="000000" w:sz="4" w:space="0"/>
              <w:right w:val="single" w:color="000000" w:sz="4" w:space="0"/>
            </w:tcBorders>
            <w:vAlign w:val="center"/>
          </w:tcPr>
          <w:p w14:paraId="71303564">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2960" w:type="dxa"/>
            <w:tcBorders>
              <w:top w:val="single" w:color="000000" w:sz="4" w:space="0"/>
              <w:left w:val="single" w:color="000000" w:sz="4" w:space="0"/>
              <w:bottom w:val="single" w:color="000000" w:sz="4" w:space="0"/>
              <w:right w:val="single" w:color="000000" w:sz="4" w:space="0"/>
            </w:tcBorders>
            <w:vAlign w:val="center"/>
          </w:tcPr>
          <w:p w14:paraId="71A08C81">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投资100.57万元，新建棚区内水泥道路：1.宽5米，长2200米，厚0.18米，c25混凝土道路，面积11000平方米。为东小庄村农业产业发展提供便利条件，便于754户群众开展农业产业生产，促进产业发展、提高群众满意度。</w:t>
            </w:r>
          </w:p>
        </w:tc>
        <w:tc>
          <w:tcPr>
            <w:tcW w:w="1627" w:type="dxa"/>
            <w:tcBorders>
              <w:top w:val="single" w:color="000000" w:sz="4" w:space="0"/>
              <w:left w:val="single" w:color="000000" w:sz="4" w:space="0"/>
              <w:bottom w:val="single" w:color="000000" w:sz="4" w:space="0"/>
              <w:right w:val="single" w:color="000000" w:sz="4" w:space="0"/>
            </w:tcBorders>
            <w:vAlign w:val="center"/>
          </w:tcPr>
          <w:p w14:paraId="1AAFAE36">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该项目惠及脱贫不稳定户、边缘易致贫户、脱贫户、突发严重困难户共计337户，提升设施农业配套水平，为发展大棚蔬菜提供便利条件。</w:t>
            </w:r>
          </w:p>
        </w:tc>
        <w:tc>
          <w:tcPr>
            <w:tcW w:w="690" w:type="dxa"/>
            <w:tcBorders>
              <w:top w:val="single" w:color="000000" w:sz="4" w:space="0"/>
              <w:left w:val="single" w:color="000000" w:sz="4" w:space="0"/>
              <w:bottom w:val="single" w:color="000000" w:sz="4" w:space="0"/>
              <w:right w:val="single" w:color="000000" w:sz="4" w:space="0"/>
            </w:tcBorders>
            <w:vAlign w:val="center"/>
          </w:tcPr>
          <w:p w14:paraId="533C8542">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已竣工决算</w:t>
            </w:r>
          </w:p>
        </w:tc>
      </w:tr>
    </w:tbl>
    <w:p w14:paraId="090B85A5">
      <w:pPr>
        <w:pStyle w:val="26"/>
        <w:ind w:firstLine="0" w:firstLineChars="0"/>
        <w:outlineLvl w:val="2"/>
        <w:rPr>
          <w:rFonts w:hint="default" w:ascii="Times New Roman" w:hAnsi="Times New Roman" w:cs="Times New Roman"/>
          <w:b/>
        </w:rPr>
        <w:sectPr>
          <w:footerReference r:id="rId8" w:type="default"/>
          <w:pgSz w:w="16838" w:h="11906" w:orient="landscape"/>
          <w:pgMar w:top="1797" w:right="1440" w:bottom="1797" w:left="1440" w:header="851" w:footer="992" w:gutter="0"/>
          <w:pgNumType w:fmt="decimal"/>
          <w:cols w:space="720" w:num="1"/>
          <w:docGrid w:linePitch="312" w:charSpace="0"/>
        </w:sectPr>
      </w:pPr>
    </w:p>
    <w:p w14:paraId="4C4EE0FD">
      <w:pPr>
        <w:pStyle w:val="4"/>
        <w:rPr>
          <w:rFonts w:hint="default"/>
        </w:rPr>
      </w:pPr>
      <w:bookmarkStart w:id="28" w:name="_Toc23265847"/>
      <w:bookmarkStart w:id="29" w:name="_Toc25560"/>
      <w:bookmarkStart w:id="30" w:name="_Toc23266458"/>
      <w:bookmarkStart w:id="31" w:name="_Toc2296"/>
      <w:bookmarkStart w:id="32" w:name="_Toc23264321"/>
      <w:bookmarkStart w:id="33" w:name="_Toc7712"/>
      <w:r>
        <w:rPr>
          <w:rFonts w:hint="eastAsia"/>
          <w:lang w:eastAsia="zh-CN"/>
        </w:rPr>
        <w:t>（</w:t>
      </w:r>
      <w:r>
        <w:rPr>
          <w:rFonts w:hint="eastAsia"/>
          <w:lang w:val="en-US" w:eastAsia="zh-CN"/>
        </w:rPr>
        <w:t>三</w:t>
      </w:r>
      <w:r>
        <w:rPr>
          <w:rFonts w:hint="eastAsia"/>
          <w:lang w:eastAsia="zh-CN"/>
        </w:rPr>
        <w:t>）</w:t>
      </w:r>
      <w:r>
        <w:rPr>
          <w:rFonts w:hint="default"/>
        </w:rPr>
        <w:t>项目资金来源及支出情况</w:t>
      </w:r>
      <w:bookmarkEnd w:id="28"/>
      <w:bookmarkEnd w:id="29"/>
      <w:bookmarkEnd w:id="30"/>
      <w:bookmarkEnd w:id="31"/>
      <w:bookmarkEnd w:id="32"/>
      <w:bookmarkEnd w:id="33"/>
    </w:p>
    <w:p w14:paraId="7E9E22A2">
      <w:pPr>
        <w:pStyle w:val="5"/>
        <w:rPr>
          <w:rFonts w:hint="default"/>
          <w:lang w:val="en-US" w:eastAsia="zh-CN"/>
        </w:rPr>
      </w:pPr>
      <w:bookmarkStart w:id="34" w:name="_Toc23264322"/>
      <w:r>
        <w:rPr>
          <w:rFonts w:hint="eastAsia"/>
          <w:lang w:val="en-US" w:eastAsia="zh-CN"/>
        </w:rPr>
        <w:t>1.预算资金安排情况</w:t>
      </w:r>
    </w:p>
    <w:p w14:paraId="5E899ED8">
      <w:pPr>
        <w:pStyle w:val="26"/>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w:t>
      </w:r>
      <w:r>
        <w:rPr>
          <w:rFonts w:hint="eastAsia" w:ascii="Times New Roman" w:hAnsi="Times New Roman" w:cs="Times New Roman"/>
          <w:lang w:val="en-US" w:eastAsia="zh-CN"/>
        </w:rPr>
        <w:t>度</w:t>
      </w:r>
      <w:r>
        <w:rPr>
          <w:rFonts w:hint="default" w:ascii="Times New Roman" w:hAnsi="Times New Roman" w:cs="Times New Roman"/>
          <w:lang w:val="en-US" w:eastAsia="zh-CN"/>
        </w:rPr>
        <w:t>，滑县共安排统筹整合财政涉农资金</w:t>
      </w:r>
      <w:r>
        <w:rPr>
          <w:rFonts w:hint="eastAsia" w:ascii="Times New Roman" w:hAnsi="Times New Roman" w:cs="Times New Roman"/>
          <w:lang w:val="en-US" w:eastAsia="zh-CN"/>
        </w:rPr>
        <w:t>20,108.81万元，包括</w:t>
      </w:r>
      <w:r>
        <w:rPr>
          <w:rFonts w:hint="default" w:ascii="Times New Roman" w:hAnsi="Times New Roman" w:cs="Times New Roman"/>
          <w:lang w:val="en-US" w:eastAsia="zh-CN"/>
        </w:rPr>
        <w:t>财政衔接推进乡村振兴补助资金</w:t>
      </w:r>
      <w:r>
        <w:rPr>
          <w:rFonts w:hint="eastAsia" w:ascii="Times New Roman" w:hAnsi="Times New Roman" w:cs="Times New Roman"/>
          <w:lang w:val="en-US" w:eastAsia="zh-CN"/>
        </w:rPr>
        <w:t>17,254万元（含中央资金8,620万元、省级资金3,071万元、市级资金213万元、县级资金5,350万元），其他统筹整合资金2,854.81万元。截至2022年11月21日，各级资金</w:t>
      </w:r>
      <w:r>
        <w:rPr>
          <w:rFonts w:hint="default" w:ascii="Times New Roman" w:hAnsi="Times New Roman" w:cs="Times New Roman"/>
          <w:lang w:val="en-US" w:eastAsia="zh-CN"/>
        </w:rPr>
        <w:t>实际到位</w:t>
      </w:r>
      <w:r>
        <w:rPr>
          <w:rFonts w:hint="eastAsia" w:ascii="Times New Roman" w:hAnsi="Times New Roman" w:cs="Times New Roman"/>
          <w:lang w:val="en-US" w:eastAsia="zh-CN"/>
        </w:rPr>
        <w:t>20,108.81</w:t>
      </w:r>
      <w:r>
        <w:rPr>
          <w:rFonts w:hint="default" w:ascii="Times New Roman" w:hAnsi="Times New Roman" w:cs="Times New Roman"/>
          <w:lang w:val="en-US" w:eastAsia="zh-CN"/>
        </w:rPr>
        <w:t>万元，资金到位率为100%。累计支出资金</w:t>
      </w:r>
      <w:r>
        <w:rPr>
          <w:rFonts w:hint="eastAsia" w:ascii="Times New Roman" w:hAnsi="Times New Roman" w:cs="Times New Roman"/>
          <w:lang w:val="en-US" w:eastAsia="zh-CN"/>
        </w:rPr>
        <w:t>18,560.33</w:t>
      </w:r>
      <w:r>
        <w:rPr>
          <w:rFonts w:hint="default" w:ascii="Times New Roman" w:hAnsi="Times New Roman" w:cs="Times New Roman"/>
          <w:lang w:val="en-US" w:eastAsia="zh-CN"/>
        </w:rPr>
        <w:t>万元，预算执行率为</w:t>
      </w:r>
      <w:r>
        <w:rPr>
          <w:rFonts w:hint="eastAsia" w:ascii="Times New Roman" w:hAnsi="Times New Roman" w:cs="Times New Roman"/>
          <w:lang w:val="en-US" w:eastAsia="zh-CN"/>
        </w:rPr>
        <w:t>92.30</w:t>
      </w:r>
      <w:r>
        <w:rPr>
          <w:rFonts w:hint="default" w:ascii="Times New Roman" w:hAnsi="Times New Roman" w:cs="Times New Roman"/>
          <w:lang w:val="en-US" w:eastAsia="zh-CN"/>
        </w:rPr>
        <w:t>%</w:t>
      </w:r>
      <w:r>
        <w:rPr>
          <w:rFonts w:hint="eastAsia" w:ascii="Times New Roman" w:hAnsi="Times New Roman" w:cs="Times New Roman"/>
          <w:lang w:val="en-US" w:eastAsia="zh-CN"/>
        </w:rPr>
        <w:t>，资金支付进度</w:t>
      </w:r>
      <w:r>
        <w:rPr>
          <w:rFonts w:hint="default" w:ascii="Times New Roman" w:hAnsi="Times New Roman" w:cs="Times New Roman"/>
          <w:lang w:val="en-US" w:eastAsia="zh-CN"/>
        </w:rPr>
        <w:t>总体较好。</w:t>
      </w:r>
    </w:p>
    <w:p w14:paraId="68FCBA98">
      <w:pPr>
        <w:pStyle w:val="26"/>
        <w:rPr>
          <w:rFonts w:hint="default" w:ascii="Times New Roman" w:hAnsi="Times New Roman" w:cs="Times New Roman"/>
        </w:rPr>
      </w:pPr>
      <w:r>
        <w:rPr>
          <w:rFonts w:hint="eastAsia" w:ascii="Times New Roman" w:hAnsi="Times New Roman" w:cs="Times New Roman"/>
          <w:lang w:val="en-US" w:eastAsia="zh-CN"/>
        </w:rPr>
        <w:t>其中，</w:t>
      </w:r>
      <w:r>
        <w:rPr>
          <w:rFonts w:hint="default" w:ascii="Times New Roman" w:hAnsi="Times New Roman" w:cs="Times New Roman"/>
          <w:lang w:val="en-US" w:eastAsia="zh-CN"/>
        </w:rPr>
        <w:t>财政衔接推进乡村振兴补助资金</w:t>
      </w:r>
      <w:r>
        <w:rPr>
          <w:rFonts w:hint="eastAsia" w:ascii="Times New Roman" w:hAnsi="Times New Roman" w:cs="Times New Roman"/>
          <w:lang w:val="en-US" w:eastAsia="zh-CN"/>
        </w:rPr>
        <w:t>方面，</w:t>
      </w:r>
      <w:r>
        <w:rPr>
          <w:rFonts w:hint="eastAsia" w:ascii="Times New Roman" w:hAnsi="Times New Roman" w:cs="Times New Roman"/>
          <w:b/>
          <w:bCs/>
          <w:lang w:val="en-US" w:eastAsia="zh-CN"/>
        </w:rPr>
        <w:t>在资金安排规模上：</w:t>
      </w:r>
      <w:r>
        <w:rPr>
          <w:rFonts w:hint="eastAsia" w:ascii="Times New Roman" w:hAnsi="Times New Roman" w:cs="Times New Roman"/>
          <w:lang w:val="en-US" w:eastAsia="zh-CN"/>
        </w:rPr>
        <w:t>2022年度，县本级预算安排衔接资金5,350万元，高于2021年衔接资金规模5,346.21万元。</w:t>
      </w:r>
      <w:r>
        <w:rPr>
          <w:rFonts w:hint="eastAsia" w:ascii="Times New Roman" w:hAnsi="Times New Roman" w:cs="Times New Roman"/>
          <w:b/>
          <w:bCs/>
          <w:lang w:val="en-US" w:eastAsia="zh-CN"/>
        </w:rPr>
        <w:t>在用于产业发展比例上：</w:t>
      </w:r>
      <w:r>
        <w:rPr>
          <w:rFonts w:hint="eastAsia" w:ascii="Times New Roman" w:hAnsi="Times New Roman" w:cs="Times New Roman"/>
          <w:b w:val="0"/>
          <w:bCs w:val="0"/>
          <w:lang w:val="en-US" w:eastAsia="zh-CN"/>
        </w:rPr>
        <w:t>（1）2021年、2022年度中央财政衔接资金用于产业发展比例分别达到50%、55%，且2022年中央财政衔接资金用于产业发展比例高于2021年。</w:t>
      </w:r>
      <w:r>
        <w:rPr>
          <w:rFonts w:hint="eastAsia" w:ascii="Times New Roman" w:hAnsi="Times New Roman" w:cs="Times New Roman"/>
          <w:lang w:val="en-US" w:eastAsia="zh-CN"/>
        </w:rPr>
        <w:t>2021年滑县共涉及中央财政衔接资金8,578万元，用于产业发展资金规模5,981.75万元，占比69.73%；2022年度共安排中央财政衔接资金8,620万元，其中用于产业发展资金规模7,916.47万元，占比91.84%。（2）中央、省、市、县四级财政衔接资金合计用于产业发展比例大于50%且高于上年。2022年度，滑县共涉及各级财政衔接资金17,254万元，用于产业发展资金10,601.71万元，占比61.45%，高于上年比例</w:t>
      </w:r>
      <w:r>
        <w:rPr>
          <w:rFonts w:hint="default" w:ascii="Times New Roman" w:hAnsi="Times New Roman" w:cs="Times New Roman"/>
          <w:lang w:val="en-US" w:eastAsia="zh-CN"/>
        </w:rPr>
        <w:t>56.54%</w:t>
      </w:r>
      <w:r>
        <w:rPr>
          <w:rFonts w:hint="eastAsia" w:ascii="Times New Roman" w:hAnsi="Times New Roman" w:cs="Times New Roman"/>
          <w:lang w:val="en-US" w:eastAsia="zh-CN"/>
        </w:rPr>
        <w:t>。</w:t>
      </w:r>
      <w:r>
        <w:rPr>
          <w:rFonts w:hint="default" w:ascii="Times New Roman" w:hAnsi="Times New Roman" w:cs="Times New Roman"/>
        </w:rPr>
        <w:t>具体</w:t>
      </w:r>
      <w:r>
        <w:rPr>
          <w:rFonts w:hint="default" w:ascii="Times New Roman" w:hAnsi="Times New Roman" w:cs="Times New Roman"/>
          <w:lang w:val="en-US" w:eastAsia="zh-CN"/>
        </w:rPr>
        <w:t>各级次资金来源及构成情况如表1-</w:t>
      </w:r>
      <w:r>
        <w:rPr>
          <w:rFonts w:hint="eastAsia" w:cs="Times New Roman"/>
          <w:lang w:val="en-US" w:eastAsia="zh-CN"/>
        </w:rPr>
        <w:t>4</w:t>
      </w:r>
      <w:r>
        <w:rPr>
          <w:rFonts w:hint="eastAsia" w:ascii="Times New Roman" w:hAnsi="Times New Roman" w:cs="Times New Roman"/>
          <w:lang w:val="en-US" w:eastAsia="zh-CN"/>
        </w:rPr>
        <w:t>、表1-</w:t>
      </w:r>
      <w:r>
        <w:rPr>
          <w:rFonts w:hint="eastAsia" w:cs="Times New Roman"/>
          <w:lang w:val="en-US" w:eastAsia="zh-CN"/>
        </w:rPr>
        <w:t>5</w:t>
      </w:r>
      <w:r>
        <w:rPr>
          <w:rFonts w:hint="default" w:ascii="Times New Roman" w:hAnsi="Times New Roman" w:cs="Times New Roman"/>
          <w:lang w:val="en-US" w:eastAsia="zh-CN"/>
        </w:rPr>
        <w:t>所示</w:t>
      </w:r>
      <w:r>
        <w:rPr>
          <w:rFonts w:hint="default" w:ascii="Times New Roman" w:hAnsi="Times New Roman" w:cs="Times New Roman"/>
        </w:rPr>
        <w:t>：</w:t>
      </w:r>
      <w:bookmarkEnd w:id="34"/>
    </w:p>
    <w:p w14:paraId="486D6F52">
      <w:pPr>
        <w:pStyle w:val="25"/>
        <w:widowControl w:val="0"/>
        <w:wordWrap/>
        <w:autoSpaceDE w:val="0"/>
        <w:autoSpaceDN w:val="0"/>
        <w:adjustRightInd w:val="0"/>
        <w:snapToGrid/>
        <w:spacing w:before="60" w:after="60"/>
        <w:jc w:val="center"/>
        <w:textAlignment w:val="auto"/>
        <w:rPr>
          <w:rFonts w:hint="default" w:ascii="Times New Roman" w:hAnsi="Times New Roman" w:eastAsia="仿宋_GB2312" w:cs="Times New Roman"/>
          <w:b/>
          <w:bCs/>
          <w:kern w:val="0"/>
          <w:sz w:val="24"/>
          <w:szCs w:val="24"/>
          <w:lang w:val="en-US" w:eastAsia="zh-CN" w:bidi="en-US"/>
        </w:rPr>
      </w:pPr>
    </w:p>
    <w:p w14:paraId="02E2197C">
      <w:pPr>
        <w:pStyle w:val="25"/>
        <w:widowControl w:val="0"/>
        <w:wordWrap/>
        <w:autoSpaceDE w:val="0"/>
        <w:autoSpaceDN w:val="0"/>
        <w:adjustRightInd w:val="0"/>
        <w:snapToGrid/>
        <w:spacing w:before="60" w:after="60"/>
        <w:jc w:val="center"/>
        <w:textAlignment w:val="auto"/>
        <w:rPr>
          <w:rFonts w:hint="default" w:ascii="Times New Roman" w:hAnsi="Times New Roman" w:eastAsia="仿宋_GB2312" w:cs="Times New Roman"/>
          <w:b/>
          <w:bCs/>
          <w:kern w:val="0"/>
          <w:sz w:val="24"/>
          <w:szCs w:val="24"/>
          <w:lang w:val="en-US" w:eastAsia="zh-CN" w:bidi="en-US"/>
        </w:rPr>
      </w:pPr>
    </w:p>
    <w:p w14:paraId="4C0FFA7F">
      <w:pPr>
        <w:pStyle w:val="25"/>
        <w:widowControl w:val="0"/>
        <w:wordWrap/>
        <w:autoSpaceDE w:val="0"/>
        <w:autoSpaceDN w:val="0"/>
        <w:adjustRightInd w:val="0"/>
        <w:snapToGrid/>
        <w:spacing w:before="60" w:after="60"/>
        <w:jc w:val="center"/>
        <w:textAlignment w:val="auto"/>
        <w:rPr>
          <w:rFonts w:hint="default" w:ascii="Times New Roman" w:hAnsi="Times New Roman" w:eastAsia="仿宋_GB2312" w:cs="Times New Roman"/>
          <w:b/>
          <w:bCs/>
          <w:kern w:val="0"/>
          <w:sz w:val="24"/>
          <w:szCs w:val="24"/>
          <w:lang w:val="en-US" w:eastAsia="zh-CN" w:bidi="en-US"/>
        </w:rPr>
      </w:pPr>
      <w:r>
        <w:rPr>
          <w:rFonts w:hint="default" w:ascii="Times New Roman" w:hAnsi="Times New Roman" w:eastAsia="仿宋_GB2312" w:cs="Times New Roman"/>
          <w:b/>
          <w:bCs/>
          <w:kern w:val="0"/>
          <w:sz w:val="24"/>
          <w:szCs w:val="24"/>
          <w:lang w:val="en-US" w:eastAsia="zh-CN" w:bidi="en-US"/>
        </w:rPr>
        <w:t>表1-</w:t>
      </w:r>
      <w:r>
        <w:rPr>
          <w:rFonts w:hint="eastAsia" w:ascii="Times New Roman" w:hAnsi="Times New Roman" w:eastAsia="仿宋_GB2312" w:cs="Times New Roman"/>
          <w:b/>
          <w:bCs/>
          <w:kern w:val="0"/>
          <w:sz w:val="24"/>
          <w:szCs w:val="24"/>
          <w:lang w:val="en-US" w:eastAsia="zh-CN" w:bidi="en-US"/>
        </w:rPr>
        <w:t>4</w:t>
      </w:r>
      <w:r>
        <w:rPr>
          <w:rFonts w:hint="default" w:ascii="Times New Roman" w:hAnsi="Times New Roman" w:eastAsia="仿宋_GB2312" w:cs="Times New Roman"/>
          <w:b/>
          <w:bCs/>
          <w:kern w:val="0"/>
          <w:sz w:val="24"/>
          <w:szCs w:val="24"/>
          <w:lang w:val="en-US" w:eastAsia="zh-CN" w:bidi="en-US"/>
        </w:rPr>
        <w:t xml:space="preserve"> </w:t>
      </w:r>
      <w:r>
        <w:rPr>
          <w:rFonts w:hint="eastAsia" w:ascii="Times New Roman" w:hAnsi="Times New Roman" w:eastAsia="仿宋_GB2312" w:cs="Times New Roman"/>
          <w:b/>
          <w:bCs/>
          <w:kern w:val="0"/>
          <w:sz w:val="24"/>
          <w:szCs w:val="24"/>
          <w:lang w:val="en-US" w:eastAsia="zh-CN" w:bidi="en-US"/>
        </w:rPr>
        <w:t>按资金级次-</w:t>
      </w:r>
      <w:r>
        <w:rPr>
          <w:rFonts w:hint="default" w:ascii="Times New Roman" w:hAnsi="Times New Roman" w:eastAsia="仿宋_GB2312" w:cs="Times New Roman"/>
          <w:b/>
          <w:bCs/>
          <w:kern w:val="0"/>
          <w:sz w:val="24"/>
          <w:szCs w:val="24"/>
          <w:lang w:val="en-US" w:eastAsia="zh-CN" w:bidi="en-US"/>
        </w:rPr>
        <w:t>滑县202</w:t>
      </w:r>
      <w:r>
        <w:rPr>
          <w:rFonts w:hint="eastAsia" w:ascii="Times New Roman" w:hAnsi="Times New Roman" w:eastAsia="仿宋_GB2312" w:cs="Times New Roman"/>
          <w:b/>
          <w:bCs/>
          <w:kern w:val="0"/>
          <w:sz w:val="24"/>
          <w:szCs w:val="24"/>
          <w:lang w:val="en-US" w:eastAsia="zh-CN" w:bidi="en-US"/>
        </w:rPr>
        <w:t>2</w:t>
      </w:r>
      <w:r>
        <w:rPr>
          <w:rFonts w:hint="default" w:ascii="Times New Roman" w:hAnsi="Times New Roman" w:eastAsia="仿宋_GB2312" w:cs="Times New Roman"/>
          <w:b/>
          <w:bCs/>
          <w:kern w:val="0"/>
          <w:sz w:val="24"/>
          <w:szCs w:val="24"/>
          <w:lang w:val="en-US" w:eastAsia="zh-CN" w:bidi="en-US"/>
        </w:rPr>
        <w:t>年度统筹整合财政涉农资金来源及构成情况</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4"/>
        <w:gridCol w:w="2676"/>
        <w:gridCol w:w="2782"/>
        <w:gridCol w:w="1813"/>
      </w:tblGrid>
      <w:tr w14:paraId="2C00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125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A5AC42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资金级次</w:t>
            </w:r>
          </w:p>
        </w:tc>
        <w:tc>
          <w:tcPr>
            <w:tcW w:w="267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7F572A7">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资金类别</w:t>
            </w:r>
          </w:p>
        </w:tc>
        <w:tc>
          <w:tcPr>
            <w:tcW w:w="2782"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34E120D">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指标文号</w:t>
            </w:r>
          </w:p>
        </w:tc>
        <w:tc>
          <w:tcPr>
            <w:tcW w:w="181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3B8EEE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资金规模</w:t>
            </w:r>
            <w:r>
              <w:rPr>
                <w:rFonts w:hint="eastAsia" w:ascii="宋体" w:hAnsi="宋体" w:cs="宋体"/>
                <w:b/>
                <w:bCs/>
                <w:i w:val="0"/>
                <w:iCs w:val="0"/>
                <w:color w:val="000000"/>
                <w:kern w:val="0"/>
                <w:sz w:val="21"/>
                <w:szCs w:val="21"/>
                <w:u w:val="none"/>
                <w:lang w:val="en-US" w:eastAsia="zh-CN"/>
              </w:rPr>
              <w:t>（万元）</w:t>
            </w:r>
          </w:p>
        </w:tc>
      </w:tr>
      <w:tr w14:paraId="7C26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1E550102">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中央资金</w:t>
            </w: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7B19C6DE">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中央农业生产发展资金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437F7FB0">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2021</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108</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222ADE5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283.00 </w:t>
            </w:r>
          </w:p>
        </w:tc>
      </w:tr>
      <w:tr w14:paraId="3F77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5A977E9">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3F0537E4">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6E1CC24E">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26</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7F111C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577.00 </w:t>
            </w:r>
          </w:p>
        </w:tc>
      </w:tr>
      <w:tr w14:paraId="18DC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47C0A441">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5E709C1B">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中央农田建设补助资金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3C162B32">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29</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63DC70E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1,518.51 </w:t>
            </w:r>
          </w:p>
        </w:tc>
      </w:tr>
      <w:tr w14:paraId="73D5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64C8435D">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7AAF1028">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中央农业生产发展资金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23056C06">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33</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384B8F9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286.50 </w:t>
            </w:r>
          </w:p>
        </w:tc>
      </w:tr>
      <w:tr w14:paraId="133C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F24AC61">
            <w:pPr>
              <w:jc w:val="center"/>
              <w:rPr>
                <w:rFonts w:hint="default" w:ascii="Times New Roman" w:hAnsi="Times New Roman" w:eastAsia="宋体" w:cs="Times New Roman"/>
                <w:i w:val="0"/>
                <w:iCs w:val="0"/>
                <w:color w:val="000000"/>
                <w:sz w:val="21"/>
                <w:szCs w:val="21"/>
                <w:u w:val="none"/>
              </w:rPr>
            </w:pP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3D9036DF">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中央财政衔接乡村振兴补助资金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37546B86">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2021</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32</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224391C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5,679.00 </w:t>
            </w:r>
          </w:p>
        </w:tc>
      </w:tr>
      <w:tr w14:paraId="12D9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067A3C0B">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4CB0F0DC">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10FCB3CD">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2021</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33</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530D023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272.00 </w:t>
            </w:r>
          </w:p>
        </w:tc>
      </w:tr>
      <w:tr w14:paraId="5816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06C86F06">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18156D10">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5865DE61">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2021</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34</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61705FB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24.00 </w:t>
            </w:r>
          </w:p>
        </w:tc>
      </w:tr>
      <w:tr w14:paraId="234A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248D067A">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138C7877">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1CCFC214">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7607D0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2,343.50 </w:t>
            </w:r>
          </w:p>
        </w:tc>
      </w:tr>
      <w:tr w14:paraId="5DF6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59FB5086">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081B1A85">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749FAD04">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7</w:t>
            </w:r>
            <w:r>
              <w:rPr>
                <w:rFonts w:hint="eastAsia" w:ascii="宋体" w:hAnsi="宋体" w:eastAsia="宋体" w:cs="宋体"/>
                <w:i w:val="0"/>
                <w:iCs w:val="0"/>
                <w:color w:val="000000"/>
                <w:kern w:val="0"/>
                <w:sz w:val="21"/>
                <w:szCs w:val="21"/>
                <w:u w:val="none"/>
                <w:lang w:val="en-US" w:eastAsia="zh-CN"/>
              </w:rPr>
              <w:t>号中央</w:t>
            </w:r>
          </w:p>
        </w:tc>
        <w:tc>
          <w:tcPr>
            <w:tcW w:w="1813" w:type="dxa"/>
            <w:tcBorders>
              <w:top w:val="single" w:color="000000" w:sz="4" w:space="0"/>
              <w:left w:val="single" w:color="000000" w:sz="4" w:space="0"/>
              <w:bottom w:val="single" w:color="000000" w:sz="4" w:space="0"/>
              <w:right w:val="single" w:color="000000" w:sz="4" w:space="0"/>
            </w:tcBorders>
            <w:vAlign w:val="center"/>
          </w:tcPr>
          <w:p w14:paraId="618BC41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261.50 </w:t>
            </w:r>
          </w:p>
        </w:tc>
      </w:tr>
      <w:tr w14:paraId="3C4B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75F8E400">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1835B4AA">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55B7EC41">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8</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E877A1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40.00 </w:t>
            </w:r>
          </w:p>
        </w:tc>
      </w:tr>
      <w:tr w14:paraId="65F8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7B36C6B1">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7CAD8952">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中央农业资源及生态保护补助资金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3A4D4F2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w:t>
            </w:r>
          </w:p>
        </w:tc>
        <w:tc>
          <w:tcPr>
            <w:tcW w:w="1813" w:type="dxa"/>
            <w:tcBorders>
              <w:top w:val="single" w:color="000000" w:sz="4" w:space="0"/>
              <w:left w:val="single" w:color="000000" w:sz="4" w:space="0"/>
              <w:bottom w:val="single" w:color="000000" w:sz="4" w:space="0"/>
              <w:right w:val="single" w:color="000000" w:sz="4" w:space="0"/>
            </w:tcBorders>
            <w:vAlign w:val="center"/>
          </w:tcPr>
          <w:p w14:paraId="7E8F480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15.80 </w:t>
            </w:r>
          </w:p>
        </w:tc>
      </w:tr>
      <w:tr w14:paraId="20C3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0584A7B0">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6E22D347">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小计</w:t>
            </w:r>
          </w:p>
        </w:tc>
        <w:tc>
          <w:tcPr>
            <w:tcW w:w="2782" w:type="dxa"/>
            <w:tcBorders>
              <w:top w:val="single" w:color="000000" w:sz="4" w:space="0"/>
              <w:left w:val="single" w:color="000000" w:sz="4" w:space="0"/>
              <w:bottom w:val="single" w:color="000000" w:sz="4" w:space="0"/>
              <w:right w:val="single" w:color="000000" w:sz="4" w:space="0"/>
            </w:tcBorders>
            <w:vAlign w:val="center"/>
          </w:tcPr>
          <w:p w14:paraId="43FDB889">
            <w:pPr>
              <w:jc w:val="left"/>
              <w:rPr>
                <w:rFonts w:hint="default" w:ascii="Times New Roman" w:hAnsi="Times New Roman" w:eastAsia="宋体" w:cs="Times New Roman"/>
                <w:b/>
                <w:bCs/>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2ABB6D7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11,300.81 </w:t>
            </w:r>
          </w:p>
        </w:tc>
      </w:tr>
      <w:tr w14:paraId="4195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2D0E1308">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省级资金</w:t>
            </w: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1AF06A91">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省级水利发展资金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7540D5F8">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10</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4CDAEE8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121.00 </w:t>
            </w:r>
          </w:p>
        </w:tc>
      </w:tr>
      <w:tr w14:paraId="48D7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7071D689">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78A866C6">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15D83A71">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3B1711E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20.00 </w:t>
            </w:r>
          </w:p>
        </w:tc>
      </w:tr>
      <w:tr w14:paraId="62A1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44095A22">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322537B1">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省级农业资源及生态保护补助资金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7E066820">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豫财农水〔</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8</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4DF30F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33.00 </w:t>
            </w:r>
          </w:p>
        </w:tc>
      </w:tr>
      <w:tr w14:paraId="4BFA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6237E796">
            <w:pPr>
              <w:jc w:val="center"/>
              <w:rPr>
                <w:rFonts w:hint="default" w:ascii="Times New Roman" w:hAnsi="Times New Roman" w:eastAsia="宋体" w:cs="Times New Roman"/>
                <w:i w:val="0"/>
                <w:iCs w:val="0"/>
                <w:color w:val="000000"/>
                <w:sz w:val="21"/>
                <w:szCs w:val="21"/>
                <w:u w:val="none"/>
              </w:rPr>
            </w:pP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24546992">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省级财政衔接推进乡村振兴补助资金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39393825">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2021</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42</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022FA41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2,188.00 </w:t>
            </w:r>
          </w:p>
        </w:tc>
      </w:tr>
      <w:tr w14:paraId="3064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09F9CC1D">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45F832D9">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3BC91172">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3C51CA7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30.71 </w:t>
            </w:r>
          </w:p>
        </w:tc>
      </w:tr>
      <w:tr w14:paraId="7899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AB2067A">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1AD7517F">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5F9A3405">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7</w:t>
            </w:r>
            <w:r>
              <w:rPr>
                <w:rFonts w:hint="eastAsia" w:ascii="宋体" w:hAnsi="宋体" w:eastAsia="宋体" w:cs="宋体"/>
                <w:i w:val="0"/>
                <w:iCs w:val="0"/>
                <w:color w:val="000000"/>
                <w:kern w:val="0"/>
                <w:sz w:val="21"/>
                <w:szCs w:val="21"/>
                <w:u w:val="none"/>
                <w:lang w:val="en-US" w:eastAsia="zh-CN"/>
              </w:rPr>
              <w:t>号省级</w:t>
            </w:r>
          </w:p>
        </w:tc>
        <w:tc>
          <w:tcPr>
            <w:tcW w:w="1813" w:type="dxa"/>
            <w:tcBorders>
              <w:top w:val="single" w:color="000000" w:sz="4" w:space="0"/>
              <w:left w:val="single" w:color="000000" w:sz="4" w:space="0"/>
              <w:bottom w:val="single" w:color="000000" w:sz="4" w:space="0"/>
              <w:right w:val="single" w:color="000000" w:sz="4" w:space="0"/>
            </w:tcBorders>
            <w:vAlign w:val="center"/>
          </w:tcPr>
          <w:p w14:paraId="7A271EA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711.29 </w:t>
            </w:r>
          </w:p>
        </w:tc>
      </w:tr>
      <w:tr w14:paraId="3B0E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4BCEE8C7">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3BEE834D">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305251E1">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豫财农综〔</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8</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1790540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141.00 </w:t>
            </w:r>
          </w:p>
        </w:tc>
      </w:tr>
      <w:tr w14:paraId="2434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60E6C86F">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77BB152F">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小计</w:t>
            </w:r>
          </w:p>
        </w:tc>
        <w:tc>
          <w:tcPr>
            <w:tcW w:w="2782" w:type="dxa"/>
            <w:tcBorders>
              <w:top w:val="single" w:color="000000" w:sz="4" w:space="0"/>
              <w:left w:val="single" w:color="000000" w:sz="4" w:space="0"/>
              <w:bottom w:val="single" w:color="000000" w:sz="4" w:space="0"/>
              <w:right w:val="single" w:color="000000" w:sz="4" w:space="0"/>
            </w:tcBorders>
            <w:vAlign w:val="center"/>
          </w:tcPr>
          <w:p w14:paraId="319A9E4C">
            <w:pPr>
              <w:jc w:val="left"/>
              <w:rPr>
                <w:rFonts w:hint="default" w:ascii="Times New Roman" w:hAnsi="Times New Roman" w:eastAsia="宋体" w:cs="Times New Roman"/>
                <w:b/>
                <w:bCs/>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50E5946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3,245.00 </w:t>
            </w:r>
          </w:p>
        </w:tc>
      </w:tr>
      <w:tr w14:paraId="36F9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47230253">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市级资金</w:t>
            </w: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26642D83">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市级财政衔接推进乡村振兴补助资金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749F49F1">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安财预〔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103</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213203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100.00 </w:t>
            </w:r>
          </w:p>
        </w:tc>
      </w:tr>
      <w:tr w14:paraId="46E8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49BDE6C1">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3F41CF45">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5AB2DBE6">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安财预〔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145</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7D8A776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98.00 </w:t>
            </w:r>
          </w:p>
        </w:tc>
      </w:tr>
      <w:tr w14:paraId="07F3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9C2DA15">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70BE3662">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4E75A8FE">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安财预〔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99</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22D3AD4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15.00 </w:t>
            </w:r>
          </w:p>
        </w:tc>
      </w:tr>
      <w:tr w14:paraId="1565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2B9A0F69">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6C356377">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2782" w:type="dxa"/>
            <w:tcBorders>
              <w:top w:val="single" w:color="000000" w:sz="4" w:space="0"/>
              <w:left w:val="single" w:color="000000" w:sz="4" w:space="0"/>
              <w:bottom w:val="single" w:color="000000" w:sz="4" w:space="0"/>
              <w:right w:val="single" w:color="000000" w:sz="4" w:space="0"/>
            </w:tcBorders>
            <w:vAlign w:val="center"/>
          </w:tcPr>
          <w:p w14:paraId="7DC862CC">
            <w:pPr>
              <w:jc w:val="left"/>
              <w:rPr>
                <w:rFonts w:hint="default" w:ascii="Times New Roman" w:hAnsi="Times New Roman" w:eastAsia="宋体" w:cs="Times New Roman"/>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5C8DCEA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213.00 </w:t>
            </w:r>
          </w:p>
        </w:tc>
      </w:tr>
      <w:tr w14:paraId="1F57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4B4AEB80">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县级资金</w:t>
            </w:r>
          </w:p>
        </w:tc>
        <w:tc>
          <w:tcPr>
            <w:tcW w:w="2676" w:type="dxa"/>
            <w:vMerge w:val="restart"/>
            <w:tcBorders>
              <w:top w:val="single" w:color="000000" w:sz="4" w:space="0"/>
              <w:left w:val="single" w:color="000000" w:sz="4" w:space="0"/>
              <w:bottom w:val="single" w:color="000000" w:sz="4" w:space="0"/>
              <w:right w:val="single" w:color="000000" w:sz="4" w:space="0"/>
            </w:tcBorders>
            <w:vAlign w:val="center"/>
          </w:tcPr>
          <w:p w14:paraId="369343D9">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县级财政衔接推进乡村振兴补助资金</w:t>
            </w:r>
          </w:p>
        </w:tc>
        <w:tc>
          <w:tcPr>
            <w:tcW w:w="2782" w:type="dxa"/>
            <w:tcBorders>
              <w:top w:val="single" w:color="000000" w:sz="4" w:space="0"/>
              <w:left w:val="single" w:color="000000" w:sz="4" w:space="0"/>
              <w:bottom w:val="single" w:color="000000" w:sz="4" w:space="0"/>
              <w:right w:val="single" w:color="000000" w:sz="4" w:space="0"/>
            </w:tcBorders>
            <w:vAlign w:val="center"/>
          </w:tcPr>
          <w:p w14:paraId="734DA817">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102</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3E24694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101.02 </w:t>
            </w:r>
          </w:p>
        </w:tc>
      </w:tr>
      <w:tr w14:paraId="00A6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9758DB0">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5E4EA1A5">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718D0748">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103</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2E3E196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90.39 </w:t>
            </w:r>
          </w:p>
        </w:tc>
      </w:tr>
      <w:tr w14:paraId="159B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273A107E">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3EBA2F7E">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600FC5EC">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57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09D4BCF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1,657.38 </w:t>
            </w:r>
          </w:p>
        </w:tc>
      </w:tr>
      <w:tr w14:paraId="1240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244D6BA7">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4DB6BB9E">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159EA705">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81</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5740B0E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400.00 </w:t>
            </w:r>
          </w:p>
        </w:tc>
      </w:tr>
      <w:tr w14:paraId="3DC3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2B9DFAA9">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30F1DD6F">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3FC16189">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滑财预指〔</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27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67A3887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1,605.00 </w:t>
            </w:r>
          </w:p>
        </w:tc>
      </w:tr>
      <w:tr w14:paraId="641E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12F2F080">
            <w:pPr>
              <w:jc w:val="center"/>
              <w:rPr>
                <w:rFonts w:hint="default" w:ascii="Times New Roman" w:hAnsi="Times New Roman" w:eastAsia="宋体" w:cs="Times New Roman"/>
                <w:i w:val="0"/>
                <w:iCs w:val="0"/>
                <w:color w:val="000000"/>
                <w:sz w:val="21"/>
                <w:szCs w:val="21"/>
                <w:u w:val="none"/>
              </w:rPr>
            </w:pPr>
          </w:p>
        </w:tc>
        <w:tc>
          <w:tcPr>
            <w:tcW w:w="2676" w:type="dxa"/>
            <w:vMerge w:val="continue"/>
            <w:tcBorders>
              <w:top w:val="single" w:color="000000" w:sz="4" w:space="0"/>
              <w:left w:val="single" w:color="000000" w:sz="4" w:space="0"/>
              <w:bottom w:val="single" w:color="000000" w:sz="4" w:space="0"/>
              <w:right w:val="single" w:color="000000" w:sz="4" w:space="0"/>
            </w:tcBorders>
            <w:vAlign w:val="center"/>
          </w:tcPr>
          <w:p w14:paraId="50FC8906">
            <w:pPr>
              <w:jc w:val="center"/>
              <w:rPr>
                <w:rFonts w:hint="default" w:ascii="Times New Roman" w:hAnsi="Times New Roman" w:eastAsia="宋体" w:cs="Times New Roman"/>
                <w:i w:val="0"/>
                <w:iCs w:val="0"/>
                <w:color w:val="000000"/>
                <w:sz w:val="21"/>
                <w:szCs w:val="21"/>
                <w:u w:val="none"/>
              </w:rPr>
            </w:pPr>
          </w:p>
        </w:tc>
        <w:tc>
          <w:tcPr>
            <w:tcW w:w="2782" w:type="dxa"/>
            <w:tcBorders>
              <w:top w:val="single" w:color="000000" w:sz="4" w:space="0"/>
              <w:left w:val="single" w:color="000000" w:sz="4" w:space="0"/>
              <w:bottom w:val="single" w:color="000000" w:sz="4" w:space="0"/>
              <w:right w:val="single" w:color="000000" w:sz="4" w:space="0"/>
            </w:tcBorders>
            <w:vAlign w:val="center"/>
          </w:tcPr>
          <w:p w14:paraId="69B11AE0">
            <w:pPr>
              <w:widowControl/>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滑财预指〔</w:t>
            </w:r>
            <w:r>
              <w:rPr>
                <w:rFonts w:hint="default" w:ascii="Times New Roman" w:hAnsi="Times New Roman" w:eastAsia="宋体" w:cs="Times New Roman"/>
                <w:i w:val="0"/>
                <w:iCs w:val="0"/>
                <w:color w:val="000000"/>
                <w:kern w:val="0"/>
                <w:sz w:val="21"/>
                <w:szCs w:val="21"/>
                <w:u w:val="none"/>
                <w:lang w:val="en-US" w:eastAsia="zh-CN"/>
              </w:rPr>
              <w:t>2022</w:t>
            </w:r>
            <w:r>
              <w:rPr>
                <w:rFonts w:hint="eastAsia" w:ascii="宋体" w:hAnsi="宋体" w:eastAsia="宋体" w:cs="宋体"/>
                <w:i w:val="0"/>
                <w:iCs w:val="0"/>
                <w:color w:val="000000"/>
                <w:kern w:val="0"/>
                <w:sz w:val="21"/>
                <w:szCs w:val="21"/>
                <w:u w:val="none"/>
                <w:lang w:val="en-US" w:eastAsia="zh-CN"/>
              </w:rPr>
              <w:t>〕</w:t>
            </w:r>
            <w:r>
              <w:rPr>
                <w:rFonts w:hint="default" w:ascii="Times New Roman" w:hAnsi="Times New Roman" w:eastAsia="宋体" w:cs="Times New Roman"/>
                <w:i w:val="0"/>
                <w:iCs w:val="0"/>
                <w:color w:val="000000"/>
                <w:kern w:val="0"/>
                <w:sz w:val="21"/>
                <w:szCs w:val="21"/>
                <w:u w:val="none"/>
                <w:lang w:val="en-US" w:eastAsia="zh-CN"/>
              </w:rPr>
              <w:t>47</w:t>
            </w:r>
            <w:r>
              <w:rPr>
                <w:rFonts w:hint="eastAsia" w:ascii="宋体" w:hAnsi="宋体" w:eastAsia="宋体" w:cs="宋体"/>
                <w:i w:val="0"/>
                <w:iCs w:val="0"/>
                <w:color w:val="000000"/>
                <w:kern w:val="0"/>
                <w:sz w:val="21"/>
                <w:szCs w:val="21"/>
                <w:u w:val="none"/>
                <w:lang w:val="en-US" w:eastAsia="zh-CN"/>
              </w:rPr>
              <w:t>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62DDEAA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1,496.21 </w:t>
            </w:r>
          </w:p>
        </w:tc>
      </w:tr>
      <w:tr w14:paraId="434E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6446ECE6">
            <w:pPr>
              <w:jc w:val="center"/>
              <w:rPr>
                <w:rFonts w:hint="default" w:ascii="Times New Roman" w:hAnsi="Times New Roman" w:eastAsia="宋体" w:cs="Times New Roman"/>
                <w:i w:val="0"/>
                <w:iCs w:val="0"/>
                <w:color w:val="000000"/>
                <w:sz w:val="21"/>
                <w:szCs w:val="21"/>
                <w:u w:val="none"/>
              </w:rPr>
            </w:pPr>
          </w:p>
        </w:tc>
        <w:tc>
          <w:tcPr>
            <w:tcW w:w="2676" w:type="dxa"/>
            <w:tcBorders>
              <w:top w:val="single" w:color="000000" w:sz="4" w:space="0"/>
              <w:left w:val="single" w:color="000000" w:sz="4" w:space="0"/>
              <w:bottom w:val="single" w:color="000000" w:sz="4" w:space="0"/>
              <w:right w:val="single" w:color="000000" w:sz="4" w:space="0"/>
            </w:tcBorders>
            <w:vAlign w:val="center"/>
          </w:tcPr>
          <w:p w14:paraId="75647A39">
            <w:pPr>
              <w:widowControl/>
              <w:jc w:val="left"/>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小计</w:t>
            </w:r>
          </w:p>
        </w:tc>
        <w:tc>
          <w:tcPr>
            <w:tcW w:w="2782" w:type="dxa"/>
            <w:tcBorders>
              <w:top w:val="single" w:color="000000" w:sz="4" w:space="0"/>
              <w:left w:val="single" w:color="000000" w:sz="4" w:space="0"/>
              <w:bottom w:val="single" w:color="000000" w:sz="4" w:space="0"/>
              <w:right w:val="single" w:color="000000" w:sz="4" w:space="0"/>
            </w:tcBorders>
            <w:vAlign w:val="center"/>
          </w:tcPr>
          <w:p w14:paraId="4E8E80AB">
            <w:pPr>
              <w:jc w:val="left"/>
              <w:rPr>
                <w:rFonts w:hint="default" w:ascii="Times New Roman" w:hAnsi="Times New Roman" w:eastAsia="宋体" w:cs="Times New Roman"/>
                <w:b/>
                <w:bCs/>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26AC638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5,350.00 </w:t>
            </w:r>
          </w:p>
        </w:tc>
      </w:tr>
      <w:tr w14:paraId="3783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30" w:type="dxa"/>
            <w:gridSpan w:val="2"/>
            <w:tcBorders>
              <w:top w:val="single" w:color="000000" w:sz="4" w:space="0"/>
              <w:left w:val="single" w:color="000000" w:sz="4" w:space="0"/>
              <w:bottom w:val="single" w:color="000000" w:sz="4" w:space="0"/>
              <w:right w:val="single" w:color="000000" w:sz="4" w:space="0"/>
            </w:tcBorders>
            <w:vAlign w:val="center"/>
          </w:tcPr>
          <w:p w14:paraId="265890B1">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合计</w:t>
            </w:r>
          </w:p>
        </w:tc>
        <w:tc>
          <w:tcPr>
            <w:tcW w:w="2782" w:type="dxa"/>
            <w:tcBorders>
              <w:top w:val="single" w:color="000000" w:sz="4" w:space="0"/>
              <w:left w:val="single" w:color="000000" w:sz="4" w:space="0"/>
              <w:bottom w:val="single" w:color="000000" w:sz="4" w:space="0"/>
              <w:right w:val="single" w:color="000000" w:sz="4" w:space="0"/>
            </w:tcBorders>
            <w:vAlign w:val="center"/>
          </w:tcPr>
          <w:p w14:paraId="01626076">
            <w:pPr>
              <w:jc w:val="left"/>
              <w:rPr>
                <w:rFonts w:hint="default" w:ascii="Times New Roman" w:hAnsi="Times New Roman" w:eastAsia="宋体" w:cs="Times New Roman"/>
                <w:b/>
                <w:bCs/>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vAlign w:val="center"/>
          </w:tcPr>
          <w:p w14:paraId="2C295EE0">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20,108.81 </w:t>
            </w:r>
          </w:p>
        </w:tc>
      </w:tr>
    </w:tbl>
    <w:p w14:paraId="3208B22E">
      <w:pPr>
        <w:pStyle w:val="26"/>
        <w:rPr>
          <w:rFonts w:hint="default" w:ascii="Times New Roman" w:hAnsi="Times New Roman" w:eastAsia="仿宋_GB2312" w:cs="Times New Roman"/>
          <w:b/>
          <w:bCs/>
          <w:kern w:val="0"/>
          <w:sz w:val="24"/>
          <w:szCs w:val="24"/>
          <w:lang w:val="en-US" w:eastAsia="zh-CN" w:bidi="en-US"/>
        </w:rPr>
      </w:pPr>
      <w:r>
        <w:rPr>
          <w:rFonts w:hint="eastAsia" w:ascii="Times New Roman" w:hAnsi="Times New Roman" w:eastAsia="仿宋_GB2312" w:cs="Times New Roman"/>
          <w:b/>
          <w:bCs/>
          <w:kern w:val="0"/>
          <w:sz w:val="24"/>
          <w:szCs w:val="24"/>
          <w:lang w:val="en-US" w:eastAsia="zh-CN" w:bidi="en-US"/>
        </w:rPr>
        <w:t>表1-</w:t>
      </w:r>
      <w:r>
        <w:rPr>
          <w:rFonts w:hint="eastAsia" w:cs="Times New Roman"/>
          <w:b/>
          <w:bCs/>
          <w:kern w:val="0"/>
          <w:sz w:val="24"/>
          <w:szCs w:val="24"/>
          <w:lang w:val="en-US" w:eastAsia="zh-CN" w:bidi="en-US"/>
        </w:rPr>
        <w:t>5</w:t>
      </w:r>
      <w:r>
        <w:rPr>
          <w:rFonts w:hint="eastAsia" w:ascii="Times New Roman" w:hAnsi="Times New Roman" w:eastAsia="仿宋_GB2312" w:cs="Times New Roman"/>
          <w:b/>
          <w:bCs/>
          <w:kern w:val="0"/>
          <w:sz w:val="24"/>
          <w:szCs w:val="24"/>
          <w:lang w:val="en-US" w:eastAsia="zh-CN" w:bidi="en-US"/>
        </w:rPr>
        <w:t xml:space="preserve"> 按资金</w:t>
      </w:r>
      <w:r>
        <w:rPr>
          <w:rFonts w:hint="eastAsia" w:ascii="Times New Roman" w:hAnsi="Times New Roman" w:cs="Times New Roman"/>
          <w:b/>
          <w:bCs/>
          <w:kern w:val="0"/>
          <w:sz w:val="24"/>
          <w:szCs w:val="24"/>
          <w:lang w:val="en-US" w:eastAsia="zh-CN" w:bidi="en-US"/>
        </w:rPr>
        <w:t>类型</w:t>
      </w:r>
      <w:r>
        <w:rPr>
          <w:rFonts w:hint="eastAsia" w:ascii="Times New Roman" w:hAnsi="Times New Roman" w:eastAsia="仿宋_GB2312" w:cs="Times New Roman"/>
          <w:b/>
          <w:bCs/>
          <w:kern w:val="0"/>
          <w:sz w:val="24"/>
          <w:szCs w:val="24"/>
          <w:lang w:val="en-US" w:eastAsia="zh-CN" w:bidi="en-US"/>
        </w:rPr>
        <w:t>-</w:t>
      </w:r>
      <w:r>
        <w:rPr>
          <w:rFonts w:hint="default" w:ascii="Times New Roman" w:hAnsi="Times New Roman" w:eastAsia="仿宋_GB2312" w:cs="Times New Roman"/>
          <w:b/>
          <w:bCs/>
          <w:kern w:val="0"/>
          <w:sz w:val="24"/>
          <w:szCs w:val="24"/>
          <w:lang w:val="en-US" w:eastAsia="zh-CN" w:bidi="en-US"/>
        </w:rPr>
        <w:t>滑县202</w:t>
      </w:r>
      <w:r>
        <w:rPr>
          <w:rFonts w:hint="eastAsia" w:ascii="Times New Roman" w:hAnsi="Times New Roman" w:eastAsia="仿宋_GB2312" w:cs="Times New Roman"/>
          <w:b/>
          <w:bCs/>
          <w:kern w:val="0"/>
          <w:sz w:val="24"/>
          <w:szCs w:val="24"/>
          <w:lang w:val="en-US" w:eastAsia="zh-CN" w:bidi="en-US"/>
        </w:rPr>
        <w:t>2</w:t>
      </w:r>
      <w:r>
        <w:rPr>
          <w:rFonts w:hint="default" w:ascii="Times New Roman" w:hAnsi="Times New Roman" w:eastAsia="仿宋_GB2312" w:cs="Times New Roman"/>
          <w:b/>
          <w:bCs/>
          <w:kern w:val="0"/>
          <w:sz w:val="24"/>
          <w:szCs w:val="24"/>
          <w:lang w:val="en-US" w:eastAsia="zh-CN" w:bidi="en-US"/>
        </w:rPr>
        <w:t>年度统筹整合财政涉农资金来源及构成情况</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1421"/>
        <w:gridCol w:w="3764"/>
        <w:gridCol w:w="2064"/>
      </w:tblGrid>
      <w:tr w14:paraId="2AD0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87A947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资金类型</w:t>
            </w:r>
          </w:p>
        </w:tc>
        <w:tc>
          <w:tcPr>
            <w:tcW w:w="142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1D9731D">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资金级次</w:t>
            </w:r>
          </w:p>
        </w:tc>
        <w:tc>
          <w:tcPr>
            <w:tcW w:w="376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EABA2C9">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指标文号</w:t>
            </w:r>
          </w:p>
        </w:tc>
        <w:tc>
          <w:tcPr>
            <w:tcW w:w="206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EBE2A5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资金规模</w:t>
            </w:r>
            <w:r>
              <w:rPr>
                <w:rFonts w:hint="eastAsia" w:ascii="Times New Roman" w:hAnsi="Times New Roman" w:cs="Times New Roman"/>
                <w:b/>
                <w:bCs/>
                <w:i w:val="0"/>
                <w:iCs w:val="0"/>
                <w:color w:val="000000"/>
                <w:kern w:val="0"/>
                <w:sz w:val="21"/>
                <w:szCs w:val="21"/>
                <w:u w:val="none"/>
                <w:lang w:val="en-US" w:eastAsia="zh-CN"/>
              </w:rPr>
              <w:t>（万元）</w:t>
            </w:r>
          </w:p>
        </w:tc>
      </w:tr>
      <w:tr w14:paraId="141A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59D41E6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财政衔接推进乡村振兴补助资金</w:t>
            </w: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4124810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中央资金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34A67B9F">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豫财农综〔2021〕32号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17F1BB1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5,679.00 </w:t>
            </w:r>
          </w:p>
        </w:tc>
      </w:tr>
      <w:tr w14:paraId="25FC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125064AD">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618A44E0">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0EDFAC3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豫财农综〔2021〕33号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4A9C40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272.00 </w:t>
            </w:r>
          </w:p>
        </w:tc>
      </w:tr>
      <w:tr w14:paraId="2622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1DB1A0E">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6BE73F5F">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6F63E0E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豫财农综〔2021〕34号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6247C4C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24.00 </w:t>
            </w:r>
          </w:p>
        </w:tc>
      </w:tr>
      <w:tr w14:paraId="28BA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4EFF7AFF">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30395F44">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4CCE54FF">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7328FA6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2,343.50 </w:t>
            </w:r>
          </w:p>
        </w:tc>
      </w:tr>
      <w:tr w14:paraId="4F05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32409D5F">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0701960D">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0BFF3E5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豫财农综〔2022〕7号中央</w:t>
            </w:r>
          </w:p>
        </w:tc>
        <w:tc>
          <w:tcPr>
            <w:tcW w:w="2064" w:type="dxa"/>
            <w:tcBorders>
              <w:top w:val="single" w:color="000000" w:sz="4" w:space="0"/>
              <w:left w:val="single" w:color="000000" w:sz="4" w:space="0"/>
              <w:bottom w:val="single" w:color="000000" w:sz="4" w:space="0"/>
              <w:right w:val="single" w:color="000000" w:sz="4" w:space="0"/>
            </w:tcBorders>
            <w:vAlign w:val="center"/>
          </w:tcPr>
          <w:p w14:paraId="1FCFB69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261.50 </w:t>
            </w:r>
          </w:p>
        </w:tc>
      </w:tr>
      <w:tr w14:paraId="774D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AB3313A">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5025CD02">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6B0FEBE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豫财农综〔2022〕8号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5EBC805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40.00 </w:t>
            </w:r>
          </w:p>
        </w:tc>
      </w:tr>
      <w:tr w14:paraId="7691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1B4CB72A">
            <w:pPr>
              <w:jc w:val="center"/>
              <w:rPr>
                <w:rFonts w:hint="default" w:ascii="Times New Roman" w:hAnsi="Times New Roman" w:eastAsia="宋体" w:cs="Times New Roman"/>
                <w:i w:val="0"/>
                <w:iCs w:val="0"/>
                <w:color w:val="000000"/>
                <w:sz w:val="21"/>
                <w:szCs w:val="21"/>
                <w:u w:val="none"/>
              </w:rPr>
            </w:pP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7B1FA3B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省级资金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692F1C55">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豫财农综〔2021〕42号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1B2FC43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2,188.00 </w:t>
            </w:r>
          </w:p>
        </w:tc>
      </w:tr>
      <w:tr w14:paraId="21E8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489C1B1B">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15B4267E">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44844100">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D789F9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30.71 </w:t>
            </w:r>
          </w:p>
        </w:tc>
      </w:tr>
      <w:tr w14:paraId="3503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4411AC4">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617A0280">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A01034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豫财农综〔2022〕7号省级</w:t>
            </w:r>
          </w:p>
        </w:tc>
        <w:tc>
          <w:tcPr>
            <w:tcW w:w="2064" w:type="dxa"/>
            <w:tcBorders>
              <w:top w:val="single" w:color="000000" w:sz="4" w:space="0"/>
              <w:left w:val="single" w:color="000000" w:sz="4" w:space="0"/>
              <w:bottom w:val="single" w:color="000000" w:sz="4" w:space="0"/>
              <w:right w:val="single" w:color="000000" w:sz="4" w:space="0"/>
            </w:tcBorders>
            <w:vAlign w:val="center"/>
          </w:tcPr>
          <w:p w14:paraId="28B989C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711.29 </w:t>
            </w:r>
          </w:p>
        </w:tc>
      </w:tr>
      <w:tr w14:paraId="7C7E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4A989413">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65C4D73F">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7D7B3D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豫财农综〔2022〕8号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1D77CDD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141.00 </w:t>
            </w:r>
          </w:p>
        </w:tc>
      </w:tr>
      <w:tr w14:paraId="5F52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1DF03DC5">
            <w:pPr>
              <w:jc w:val="center"/>
              <w:rPr>
                <w:rFonts w:hint="default" w:ascii="Times New Roman" w:hAnsi="Times New Roman" w:eastAsia="宋体" w:cs="Times New Roman"/>
                <w:i w:val="0"/>
                <w:iCs w:val="0"/>
                <w:color w:val="000000"/>
                <w:sz w:val="21"/>
                <w:szCs w:val="21"/>
                <w:u w:val="none"/>
              </w:rPr>
            </w:pP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3D7309C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市级资金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6AE5DA23">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安财预〔2022〕103号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86F84B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100.00 </w:t>
            </w:r>
          </w:p>
        </w:tc>
      </w:tr>
      <w:tr w14:paraId="099E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62B3971E">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2C7AE36C">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2F6ECA2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安财预〔2022〕145号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3AEEC56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98.00 </w:t>
            </w:r>
          </w:p>
        </w:tc>
      </w:tr>
      <w:tr w14:paraId="3FE1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F2F9E4D">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2E490FE8">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5B1ABA1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安财预〔2022〕99号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12C975E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15.00 </w:t>
            </w:r>
          </w:p>
        </w:tc>
      </w:tr>
      <w:tr w14:paraId="644D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06AC401">
            <w:pPr>
              <w:jc w:val="center"/>
              <w:rPr>
                <w:rFonts w:hint="default" w:ascii="Times New Roman" w:hAnsi="Times New Roman" w:eastAsia="宋体" w:cs="Times New Roman"/>
                <w:i w:val="0"/>
                <w:iCs w:val="0"/>
                <w:color w:val="000000"/>
                <w:sz w:val="21"/>
                <w:szCs w:val="21"/>
                <w:u w:val="none"/>
              </w:rPr>
            </w:pP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26C9DC2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县级资金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01329654">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滑财预〔2022〕102号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582BE4B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101.02 </w:t>
            </w:r>
          </w:p>
        </w:tc>
      </w:tr>
      <w:tr w14:paraId="3655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46BEA6F">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37FA2119">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3139F97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滑财预〔2022〕103号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2EC49A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90.39 </w:t>
            </w:r>
          </w:p>
        </w:tc>
      </w:tr>
      <w:tr w14:paraId="4194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3ED38F5D">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046FD89B">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496BED8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滑财预〔2022〕57号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14BA825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1,657.38 </w:t>
            </w:r>
          </w:p>
        </w:tc>
      </w:tr>
      <w:tr w14:paraId="4675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31282632">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36323F4E">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2D2EE04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滑财预〔2022〕81号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08B59D4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400.00 </w:t>
            </w:r>
          </w:p>
        </w:tc>
      </w:tr>
      <w:tr w14:paraId="6E6F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0B21215E">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4A48087F">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62B3BFA6">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滑财预指〔2022〕27号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6A0A925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1,605.00 </w:t>
            </w:r>
          </w:p>
        </w:tc>
      </w:tr>
      <w:tr w14:paraId="6B11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3368FADC">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06F57ADF">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F72978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滑财预指〔2022〕47号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40574CD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1,496.21 </w:t>
            </w:r>
          </w:p>
        </w:tc>
      </w:tr>
      <w:tr w14:paraId="0E39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BD5A2D7">
            <w:pPr>
              <w:jc w:val="center"/>
              <w:rPr>
                <w:rFonts w:hint="default" w:ascii="Times New Roman" w:hAnsi="Times New Roman" w:eastAsia="宋体" w:cs="Times New Roman"/>
                <w:i w:val="0"/>
                <w:iCs w:val="0"/>
                <w:color w:val="000000"/>
                <w:sz w:val="21"/>
                <w:szCs w:val="21"/>
                <w:u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1AF3F3B7">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小计</w:t>
            </w:r>
          </w:p>
        </w:tc>
        <w:tc>
          <w:tcPr>
            <w:tcW w:w="3764" w:type="dxa"/>
            <w:tcBorders>
              <w:top w:val="single" w:color="000000" w:sz="4" w:space="0"/>
              <w:left w:val="single" w:color="000000" w:sz="4" w:space="0"/>
              <w:bottom w:val="single" w:color="000000" w:sz="4" w:space="0"/>
              <w:right w:val="single" w:color="000000" w:sz="4" w:space="0"/>
            </w:tcBorders>
            <w:vAlign w:val="center"/>
          </w:tcPr>
          <w:p w14:paraId="61C99DDA">
            <w:pPr>
              <w:jc w:val="left"/>
              <w:rPr>
                <w:rFonts w:hint="default" w:ascii="Times New Roman" w:hAnsi="Times New Roman" w:eastAsia="宋体" w:cs="Times New Roman"/>
                <w:b/>
                <w:bCs/>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vAlign w:val="center"/>
          </w:tcPr>
          <w:p w14:paraId="586180E9">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17,254.00 </w:t>
            </w:r>
          </w:p>
        </w:tc>
      </w:tr>
      <w:tr w14:paraId="3F35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0D6ABFB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统筹整合资金</w:t>
            </w: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4981707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中央资金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1A2BA9D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豫财农水〔2021〕108号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694F43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283.00 </w:t>
            </w:r>
          </w:p>
        </w:tc>
      </w:tr>
      <w:tr w14:paraId="7390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5BF2D16F">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60656ABA">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06C77D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豫财农水〔2022〕26号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619A319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577.00 </w:t>
            </w:r>
          </w:p>
        </w:tc>
      </w:tr>
      <w:tr w14:paraId="0B51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50EC5698">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1CE32333">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5DD70D3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豫财农水〔2022〕29号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5BF67C4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1,518.51 </w:t>
            </w:r>
          </w:p>
        </w:tc>
      </w:tr>
      <w:tr w14:paraId="72A3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5EF23A09">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2D3A69D9">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107C209">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豫财农水〔2022〕33号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6DC7FC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286.50 </w:t>
            </w:r>
          </w:p>
        </w:tc>
      </w:tr>
      <w:tr w14:paraId="7EA6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F56A659">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0454B8EC">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731D326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w:t>
            </w:r>
          </w:p>
        </w:tc>
        <w:tc>
          <w:tcPr>
            <w:tcW w:w="2064" w:type="dxa"/>
            <w:tcBorders>
              <w:top w:val="single" w:color="000000" w:sz="4" w:space="0"/>
              <w:left w:val="single" w:color="000000" w:sz="4" w:space="0"/>
              <w:bottom w:val="single" w:color="000000" w:sz="4" w:space="0"/>
              <w:right w:val="single" w:color="000000" w:sz="4" w:space="0"/>
            </w:tcBorders>
            <w:vAlign w:val="center"/>
          </w:tcPr>
          <w:p w14:paraId="21F8832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15.80 </w:t>
            </w:r>
          </w:p>
        </w:tc>
      </w:tr>
      <w:tr w14:paraId="7743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6A2677AF">
            <w:pPr>
              <w:jc w:val="center"/>
              <w:rPr>
                <w:rFonts w:hint="default" w:ascii="Times New Roman" w:hAnsi="Times New Roman" w:eastAsia="宋体" w:cs="Times New Roman"/>
                <w:i w:val="0"/>
                <w:iCs w:val="0"/>
                <w:color w:val="000000"/>
                <w:sz w:val="21"/>
                <w:szCs w:val="21"/>
                <w:u w:val="none"/>
              </w:rPr>
            </w:pP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14:paraId="22195E2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省级资金</w:t>
            </w:r>
          </w:p>
        </w:tc>
        <w:tc>
          <w:tcPr>
            <w:tcW w:w="3764" w:type="dxa"/>
            <w:tcBorders>
              <w:top w:val="single" w:color="000000" w:sz="4" w:space="0"/>
              <w:left w:val="single" w:color="000000" w:sz="4" w:space="0"/>
              <w:bottom w:val="single" w:color="000000" w:sz="4" w:space="0"/>
              <w:right w:val="single" w:color="000000" w:sz="4" w:space="0"/>
            </w:tcBorders>
            <w:vAlign w:val="center"/>
          </w:tcPr>
          <w:p w14:paraId="37ADF9B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豫财农水〔2022〕10号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02D9BC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121.00 </w:t>
            </w:r>
          </w:p>
        </w:tc>
      </w:tr>
      <w:tr w14:paraId="11B7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E56D402">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295AFD40">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08CD53DF">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豫财农水〔2022〕17号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2CD2056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20.00 </w:t>
            </w:r>
          </w:p>
        </w:tc>
      </w:tr>
      <w:tr w14:paraId="55D8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4BBFEDA7">
            <w:pPr>
              <w:jc w:val="center"/>
              <w:rPr>
                <w:rFonts w:hint="default" w:ascii="Times New Roman" w:hAnsi="Times New Roman" w:eastAsia="宋体" w:cs="Times New Roman"/>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14:paraId="2E786CF8">
            <w:pPr>
              <w:jc w:val="center"/>
              <w:rPr>
                <w:rFonts w:hint="default" w:ascii="Times New Roman" w:hAnsi="Times New Roman" w:eastAsia="宋体" w:cs="Times New Roman"/>
                <w:i w:val="0"/>
                <w:iCs w:val="0"/>
                <w:color w:val="000000"/>
                <w:sz w:val="21"/>
                <w:szCs w:val="21"/>
                <w:u w:val="none"/>
              </w:rPr>
            </w:pPr>
          </w:p>
        </w:tc>
        <w:tc>
          <w:tcPr>
            <w:tcW w:w="3764" w:type="dxa"/>
            <w:tcBorders>
              <w:top w:val="single" w:color="000000" w:sz="4" w:space="0"/>
              <w:left w:val="single" w:color="000000" w:sz="4" w:space="0"/>
              <w:bottom w:val="single" w:color="000000" w:sz="4" w:space="0"/>
              <w:right w:val="single" w:color="000000" w:sz="4" w:space="0"/>
            </w:tcBorders>
            <w:vAlign w:val="center"/>
          </w:tcPr>
          <w:p w14:paraId="66367F4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豫财农水〔2022〕8号</w:t>
            </w:r>
          </w:p>
        </w:tc>
        <w:tc>
          <w:tcPr>
            <w:tcW w:w="2064" w:type="dxa"/>
            <w:tcBorders>
              <w:top w:val="single" w:color="000000" w:sz="4" w:space="0"/>
              <w:left w:val="single" w:color="000000" w:sz="4" w:space="0"/>
              <w:bottom w:val="single" w:color="000000" w:sz="4" w:space="0"/>
              <w:right w:val="single" w:color="000000" w:sz="4" w:space="0"/>
            </w:tcBorders>
            <w:vAlign w:val="center"/>
          </w:tcPr>
          <w:p w14:paraId="55CB3D7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33.00 </w:t>
            </w:r>
          </w:p>
        </w:tc>
      </w:tr>
      <w:tr w14:paraId="6E4B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2C0DEFE7">
            <w:pPr>
              <w:jc w:val="center"/>
              <w:rPr>
                <w:rFonts w:hint="default" w:ascii="Times New Roman" w:hAnsi="Times New Roman" w:eastAsia="宋体" w:cs="Times New Roman"/>
                <w:i w:val="0"/>
                <w:iCs w:val="0"/>
                <w:color w:val="000000"/>
                <w:sz w:val="21"/>
                <w:szCs w:val="21"/>
                <w:u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7105E47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小计</w:t>
            </w:r>
          </w:p>
        </w:tc>
        <w:tc>
          <w:tcPr>
            <w:tcW w:w="3764" w:type="dxa"/>
            <w:tcBorders>
              <w:top w:val="single" w:color="000000" w:sz="4" w:space="0"/>
              <w:left w:val="single" w:color="000000" w:sz="4" w:space="0"/>
              <w:bottom w:val="single" w:color="000000" w:sz="4" w:space="0"/>
              <w:right w:val="single" w:color="000000" w:sz="4" w:space="0"/>
            </w:tcBorders>
            <w:vAlign w:val="center"/>
          </w:tcPr>
          <w:p w14:paraId="617F3249">
            <w:pPr>
              <w:jc w:val="left"/>
              <w:rPr>
                <w:rFonts w:hint="default" w:ascii="Times New Roman" w:hAnsi="Times New Roman" w:eastAsia="宋体" w:cs="Times New Roman"/>
                <w:b/>
                <w:bCs/>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vAlign w:val="center"/>
          </w:tcPr>
          <w:p w14:paraId="719EC85F">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2,854.81 </w:t>
            </w:r>
          </w:p>
        </w:tc>
      </w:tr>
      <w:tr w14:paraId="4772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697" w:type="dxa"/>
            <w:gridSpan w:val="2"/>
            <w:tcBorders>
              <w:top w:val="single" w:color="000000" w:sz="4" w:space="0"/>
              <w:left w:val="single" w:color="000000" w:sz="4" w:space="0"/>
              <w:bottom w:val="single" w:color="000000" w:sz="4" w:space="0"/>
              <w:right w:val="single" w:color="000000" w:sz="4" w:space="0"/>
            </w:tcBorders>
            <w:vAlign w:val="center"/>
          </w:tcPr>
          <w:p w14:paraId="7356C6BB">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3764" w:type="dxa"/>
            <w:tcBorders>
              <w:top w:val="single" w:color="000000" w:sz="4" w:space="0"/>
              <w:left w:val="single" w:color="000000" w:sz="4" w:space="0"/>
              <w:bottom w:val="single" w:color="000000" w:sz="4" w:space="0"/>
              <w:right w:val="single" w:color="000000" w:sz="4" w:space="0"/>
            </w:tcBorders>
            <w:vAlign w:val="center"/>
          </w:tcPr>
          <w:p w14:paraId="0736F574">
            <w:pPr>
              <w:jc w:val="left"/>
              <w:rPr>
                <w:rFonts w:hint="default" w:ascii="Times New Roman" w:hAnsi="Times New Roman" w:eastAsia="宋体" w:cs="Times New Roman"/>
                <w:b/>
                <w:bCs/>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vAlign w:val="center"/>
          </w:tcPr>
          <w:p w14:paraId="2B21ADA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20,108.81 </w:t>
            </w:r>
          </w:p>
        </w:tc>
      </w:tr>
    </w:tbl>
    <w:p w14:paraId="555F40EA">
      <w:pPr>
        <w:pStyle w:val="5"/>
        <w:rPr>
          <w:rFonts w:hint="default"/>
          <w:lang w:val="en-US" w:eastAsia="zh-CN"/>
        </w:rPr>
      </w:pPr>
      <w:r>
        <w:rPr>
          <w:rFonts w:hint="eastAsia"/>
          <w:lang w:val="en-US" w:eastAsia="zh-CN"/>
        </w:rPr>
        <w:t>2.资金支出使用情况</w:t>
      </w:r>
    </w:p>
    <w:p w14:paraId="13C48C30">
      <w:pPr>
        <w:pStyle w:val="26"/>
        <w:rPr>
          <w:rFonts w:hint="default" w:ascii="Times New Roman" w:hAnsi="Times New Roman" w:cs="Times New Roman"/>
          <w:lang w:val="en-US" w:eastAsia="zh-CN"/>
        </w:rPr>
      </w:pPr>
      <w:r>
        <w:rPr>
          <w:rFonts w:hint="eastAsia" w:cs="Times New Roman"/>
          <w:lang w:val="en-US" w:eastAsia="zh-CN"/>
        </w:rPr>
        <w:t>截至2022年11月，各项目共支出统筹整合财政涉农资金18,560.33万元，预算执行率为92.30%。</w:t>
      </w:r>
      <w:r>
        <w:rPr>
          <w:rFonts w:hint="default" w:ascii="Times New Roman" w:hAnsi="Times New Roman" w:cs="Times New Roman"/>
          <w:lang w:val="en-US" w:eastAsia="zh-CN"/>
        </w:rPr>
        <w:t>依据项目单位</w:t>
      </w:r>
      <w:r>
        <w:rPr>
          <w:rFonts w:hint="eastAsia" w:ascii="Times New Roman" w:hAnsi="Times New Roman" w:cs="Times New Roman"/>
          <w:lang w:val="en-US" w:eastAsia="zh-CN"/>
        </w:rPr>
        <w:t>提供的相关材料</w:t>
      </w:r>
      <w:r>
        <w:rPr>
          <w:rFonts w:hint="default" w:ascii="Times New Roman" w:hAnsi="Times New Roman" w:cs="Times New Roman"/>
          <w:lang w:val="en-US" w:eastAsia="zh-CN"/>
        </w:rPr>
        <w:t>，抽取的</w:t>
      </w:r>
      <w:r>
        <w:rPr>
          <w:rFonts w:hint="eastAsia" w:ascii="Times New Roman" w:hAnsi="Times New Roman" w:cs="Times New Roman"/>
          <w:lang w:val="en-US" w:eastAsia="zh-CN"/>
        </w:rPr>
        <w:t>16个</w:t>
      </w:r>
      <w:r>
        <w:rPr>
          <w:rFonts w:hint="default" w:ascii="Times New Roman" w:hAnsi="Times New Roman" w:cs="Times New Roman"/>
          <w:lang w:val="en-US" w:eastAsia="zh-CN"/>
        </w:rPr>
        <w:t>项目年初预算安排资金</w:t>
      </w:r>
      <w:r>
        <w:rPr>
          <w:rFonts w:hint="eastAsia" w:ascii="Times New Roman" w:hAnsi="Times New Roman" w:cs="Times New Roman"/>
          <w:lang w:val="en-US" w:eastAsia="zh-CN"/>
        </w:rPr>
        <w:t>6,961.4</w:t>
      </w:r>
      <w:r>
        <w:rPr>
          <w:rFonts w:hint="default" w:ascii="Times New Roman" w:hAnsi="Times New Roman" w:cs="Times New Roman"/>
          <w:lang w:val="en-US" w:eastAsia="zh-CN"/>
        </w:rPr>
        <w:t>万元，全年实际到位资金</w:t>
      </w:r>
      <w:r>
        <w:rPr>
          <w:rFonts w:hint="eastAsia" w:ascii="Times New Roman" w:hAnsi="Times New Roman" w:cs="Times New Roman"/>
          <w:lang w:val="en-US" w:eastAsia="zh-CN"/>
        </w:rPr>
        <w:t>6,958.76</w:t>
      </w:r>
      <w:r>
        <w:rPr>
          <w:rFonts w:hint="default" w:ascii="Times New Roman" w:hAnsi="Times New Roman" w:cs="Times New Roman"/>
          <w:lang w:val="en-US" w:eastAsia="zh-CN"/>
        </w:rPr>
        <w:t>万元，已支付金额</w:t>
      </w:r>
      <w:r>
        <w:rPr>
          <w:rFonts w:hint="eastAsia" w:ascii="Times New Roman" w:hAnsi="Times New Roman" w:cs="Times New Roman"/>
          <w:lang w:val="en-US" w:eastAsia="zh-CN"/>
        </w:rPr>
        <w:t>6,650.88</w:t>
      </w:r>
      <w:r>
        <w:rPr>
          <w:rFonts w:hint="default" w:ascii="Times New Roman" w:hAnsi="Times New Roman" w:cs="Times New Roman"/>
          <w:lang w:val="en-US" w:eastAsia="zh-CN"/>
        </w:rPr>
        <w:t>万元，预算执行率为</w:t>
      </w:r>
      <w:r>
        <w:rPr>
          <w:rFonts w:hint="eastAsia" w:ascii="Times New Roman" w:hAnsi="Times New Roman" w:cs="Times New Roman"/>
          <w:lang w:val="en-US" w:eastAsia="zh-CN"/>
        </w:rPr>
        <w:t>95.58</w:t>
      </w:r>
      <w:r>
        <w:rPr>
          <w:rFonts w:hint="default" w:ascii="Times New Roman" w:hAnsi="Times New Roman" w:cs="Times New Roman"/>
          <w:lang w:val="en-US" w:eastAsia="zh-CN"/>
        </w:rPr>
        <w:t>%。</w:t>
      </w:r>
      <w:r>
        <w:rPr>
          <w:rFonts w:hint="eastAsia" w:cs="Times New Roman"/>
          <w:lang w:val="en-US" w:eastAsia="zh-CN"/>
        </w:rPr>
        <w:t>各项目总体支出情况详见表1-6，</w:t>
      </w:r>
      <w:r>
        <w:rPr>
          <w:rFonts w:hint="default" w:ascii="Times New Roman" w:hAnsi="Times New Roman" w:cs="Times New Roman"/>
          <w:lang w:val="en-US" w:eastAsia="zh-CN"/>
        </w:rPr>
        <w:t>抽取项目资金安排与使用情况详见表1-</w:t>
      </w:r>
      <w:r>
        <w:rPr>
          <w:rFonts w:hint="eastAsia" w:cs="Times New Roman"/>
          <w:lang w:val="en-US" w:eastAsia="zh-CN"/>
        </w:rPr>
        <w:t>7</w:t>
      </w:r>
      <w:r>
        <w:rPr>
          <w:rFonts w:hint="default" w:ascii="Times New Roman" w:hAnsi="Times New Roman" w:cs="Times New Roman"/>
          <w:lang w:val="en-US" w:eastAsia="zh-CN"/>
        </w:rPr>
        <w:t>：</w:t>
      </w:r>
    </w:p>
    <w:p w14:paraId="2B2E9026">
      <w:pPr>
        <w:pStyle w:val="25"/>
        <w:widowControl w:val="0"/>
        <w:wordWrap/>
        <w:autoSpaceDE w:val="0"/>
        <w:autoSpaceDN w:val="0"/>
        <w:adjustRightInd w:val="0"/>
        <w:snapToGrid/>
        <w:spacing w:line="560" w:lineRule="exact"/>
        <w:jc w:val="center"/>
        <w:textAlignment w:val="auto"/>
        <w:rPr>
          <w:rFonts w:hint="eastAsia" w:ascii="Times New Roman" w:hAnsi="Times New Roman" w:eastAsia="仿宋_GB2312" w:cs="Times New Roman"/>
          <w:b/>
          <w:bCs/>
          <w:kern w:val="0"/>
          <w:sz w:val="24"/>
          <w:szCs w:val="24"/>
          <w:lang w:val="en-US" w:eastAsia="zh-CN" w:bidi="en-US"/>
        </w:rPr>
      </w:pPr>
      <w:r>
        <w:rPr>
          <w:rFonts w:hint="eastAsia" w:ascii="Times New Roman" w:hAnsi="Times New Roman" w:eastAsia="仿宋_GB2312" w:cs="Times New Roman"/>
          <w:b/>
          <w:bCs/>
          <w:kern w:val="0"/>
          <w:sz w:val="24"/>
          <w:szCs w:val="24"/>
          <w:lang w:val="en-US" w:eastAsia="zh-CN" w:bidi="en-US"/>
        </w:rPr>
        <w:t>表1-6 2022年度统筹整合财政涉农资金项目总体支出情况</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3"/>
        <w:gridCol w:w="2390"/>
        <w:gridCol w:w="1910"/>
        <w:gridCol w:w="1870"/>
        <w:gridCol w:w="1272"/>
      </w:tblGrid>
      <w:tr w14:paraId="04FE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exact"/>
          <w:tblHeader/>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B8552E2">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项目性质</w:t>
            </w:r>
          </w:p>
        </w:tc>
        <w:tc>
          <w:tcPr>
            <w:tcW w:w="239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1ACD5F2">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项目类别</w:t>
            </w:r>
          </w:p>
        </w:tc>
        <w:tc>
          <w:tcPr>
            <w:tcW w:w="191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F2F31E3">
            <w:pPr>
              <w:widowControl/>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统筹资金规模</w:t>
            </w:r>
          </w:p>
          <w:p w14:paraId="46732FFC">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（万元）</w:t>
            </w:r>
          </w:p>
        </w:tc>
        <w:tc>
          <w:tcPr>
            <w:tcW w:w="187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0C200F0">
            <w:pPr>
              <w:widowControl/>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支出资金规模</w:t>
            </w:r>
          </w:p>
          <w:p w14:paraId="42AFCB3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（万元）</w:t>
            </w:r>
          </w:p>
        </w:tc>
        <w:tc>
          <w:tcPr>
            <w:tcW w:w="1272"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AA8827C">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预算执行率</w:t>
            </w:r>
          </w:p>
        </w:tc>
      </w:tr>
      <w:tr w14:paraId="4E90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exact"/>
          <w:jc w:val="center"/>
        </w:trPr>
        <w:tc>
          <w:tcPr>
            <w:tcW w:w="1083" w:type="dxa"/>
            <w:vMerge w:val="restart"/>
            <w:tcBorders>
              <w:top w:val="single" w:color="000000" w:sz="4" w:space="0"/>
              <w:left w:val="single" w:color="000000" w:sz="4" w:space="0"/>
              <w:bottom w:val="single" w:color="000000" w:sz="4" w:space="0"/>
              <w:right w:val="single" w:color="000000" w:sz="4" w:space="0"/>
            </w:tcBorders>
            <w:vAlign w:val="center"/>
          </w:tcPr>
          <w:p w14:paraId="326BB920">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农村基础设施</w:t>
            </w:r>
          </w:p>
        </w:tc>
        <w:tc>
          <w:tcPr>
            <w:tcW w:w="2390" w:type="dxa"/>
            <w:tcBorders>
              <w:top w:val="single" w:color="000000" w:sz="4" w:space="0"/>
              <w:left w:val="single" w:color="000000" w:sz="4" w:space="0"/>
              <w:bottom w:val="single" w:color="000000" w:sz="4" w:space="0"/>
              <w:right w:val="single" w:color="000000" w:sz="4" w:space="0"/>
            </w:tcBorders>
            <w:vAlign w:val="center"/>
          </w:tcPr>
          <w:p w14:paraId="39DA251A">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背街小巷硬化奖补</w:t>
            </w:r>
          </w:p>
        </w:tc>
        <w:tc>
          <w:tcPr>
            <w:tcW w:w="1910" w:type="dxa"/>
            <w:tcBorders>
              <w:top w:val="single" w:color="000000" w:sz="4" w:space="0"/>
              <w:left w:val="single" w:color="000000" w:sz="4" w:space="0"/>
              <w:bottom w:val="single" w:color="000000" w:sz="4" w:space="0"/>
              <w:right w:val="single" w:color="000000" w:sz="4" w:space="0"/>
            </w:tcBorders>
            <w:vAlign w:val="center"/>
          </w:tcPr>
          <w:p w14:paraId="0BB340A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6,031.37 </w:t>
            </w:r>
          </w:p>
        </w:tc>
        <w:tc>
          <w:tcPr>
            <w:tcW w:w="1870" w:type="dxa"/>
            <w:tcBorders>
              <w:top w:val="single" w:color="000000" w:sz="4" w:space="0"/>
              <w:left w:val="single" w:color="000000" w:sz="4" w:space="0"/>
              <w:bottom w:val="single" w:color="000000" w:sz="4" w:space="0"/>
              <w:right w:val="single" w:color="000000" w:sz="4" w:space="0"/>
            </w:tcBorders>
            <w:vAlign w:val="center"/>
          </w:tcPr>
          <w:p w14:paraId="33CB485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5,878.80 </w:t>
            </w:r>
          </w:p>
        </w:tc>
        <w:tc>
          <w:tcPr>
            <w:tcW w:w="1272" w:type="dxa"/>
            <w:tcBorders>
              <w:top w:val="single" w:color="000000" w:sz="4" w:space="0"/>
              <w:left w:val="single" w:color="000000" w:sz="4" w:space="0"/>
              <w:bottom w:val="single" w:color="000000" w:sz="4" w:space="0"/>
              <w:right w:val="single" w:color="000000" w:sz="4" w:space="0"/>
            </w:tcBorders>
            <w:vAlign w:val="center"/>
          </w:tcPr>
          <w:p w14:paraId="7F639F0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97.47%</w:t>
            </w:r>
          </w:p>
        </w:tc>
      </w:tr>
      <w:tr w14:paraId="36DF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41C67218">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1C947E14">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道路硬化</w:t>
            </w:r>
          </w:p>
        </w:tc>
        <w:tc>
          <w:tcPr>
            <w:tcW w:w="1910" w:type="dxa"/>
            <w:tcBorders>
              <w:top w:val="single" w:color="000000" w:sz="4" w:space="0"/>
              <w:left w:val="single" w:color="000000" w:sz="4" w:space="0"/>
              <w:bottom w:val="single" w:color="000000" w:sz="4" w:space="0"/>
              <w:right w:val="single" w:color="000000" w:sz="4" w:space="0"/>
            </w:tcBorders>
            <w:vAlign w:val="center"/>
          </w:tcPr>
          <w:p w14:paraId="600A6CB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240.85 </w:t>
            </w:r>
          </w:p>
        </w:tc>
        <w:tc>
          <w:tcPr>
            <w:tcW w:w="1870" w:type="dxa"/>
            <w:tcBorders>
              <w:top w:val="single" w:color="000000" w:sz="4" w:space="0"/>
              <w:left w:val="single" w:color="000000" w:sz="4" w:space="0"/>
              <w:bottom w:val="single" w:color="000000" w:sz="4" w:space="0"/>
              <w:right w:val="single" w:color="000000" w:sz="4" w:space="0"/>
            </w:tcBorders>
            <w:vAlign w:val="center"/>
          </w:tcPr>
          <w:p w14:paraId="428A208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167.57 </w:t>
            </w:r>
          </w:p>
        </w:tc>
        <w:tc>
          <w:tcPr>
            <w:tcW w:w="1272" w:type="dxa"/>
            <w:tcBorders>
              <w:top w:val="single" w:color="000000" w:sz="4" w:space="0"/>
              <w:left w:val="single" w:color="000000" w:sz="4" w:space="0"/>
              <w:bottom w:val="single" w:color="000000" w:sz="4" w:space="0"/>
              <w:right w:val="single" w:color="000000" w:sz="4" w:space="0"/>
            </w:tcBorders>
            <w:vAlign w:val="center"/>
          </w:tcPr>
          <w:p w14:paraId="3EE033D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69.57%</w:t>
            </w:r>
          </w:p>
        </w:tc>
      </w:tr>
      <w:tr w14:paraId="4B22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2B035E4A">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02F3FED8">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以工代赈</w:t>
            </w:r>
          </w:p>
        </w:tc>
        <w:tc>
          <w:tcPr>
            <w:tcW w:w="1910" w:type="dxa"/>
            <w:tcBorders>
              <w:top w:val="single" w:color="000000" w:sz="4" w:space="0"/>
              <w:left w:val="single" w:color="000000" w:sz="4" w:space="0"/>
              <w:bottom w:val="single" w:color="000000" w:sz="4" w:space="0"/>
              <w:right w:val="single" w:color="000000" w:sz="4" w:space="0"/>
            </w:tcBorders>
            <w:vAlign w:val="center"/>
          </w:tcPr>
          <w:p w14:paraId="1565EEA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456.85 </w:t>
            </w:r>
          </w:p>
        </w:tc>
        <w:tc>
          <w:tcPr>
            <w:tcW w:w="1870" w:type="dxa"/>
            <w:tcBorders>
              <w:top w:val="single" w:color="000000" w:sz="4" w:space="0"/>
              <w:left w:val="single" w:color="000000" w:sz="4" w:space="0"/>
              <w:bottom w:val="single" w:color="000000" w:sz="4" w:space="0"/>
              <w:right w:val="single" w:color="000000" w:sz="4" w:space="0"/>
            </w:tcBorders>
            <w:vAlign w:val="center"/>
          </w:tcPr>
          <w:p w14:paraId="61BB35E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443.14 </w:t>
            </w:r>
          </w:p>
        </w:tc>
        <w:tc>
          <w:tcPr>
            <w:tcW w:w="1272" w:type="dxa"/>
            <w:tcBorders>
              <w:top w:val="single" w:color="000000" w:sz="4" w:space="0"/>
              <w:left w:val="single" w:color="000000" w:sz="4" w:space="0"/>
              <w:bottom w:val="single" w:color="000000" w:sz="4" w:space="0"/>
              <w:right w:val="single" w:color="000000" w:sz="4" w:space="0"/>
            </w:tcBorders>
            <w:vAlign w:val="center"/>
          </w:tcPr>
          <w:p w14:paraId="4B1FC2A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97.00%</w:t>
            </w:r>
          </w:p>
        </w:tc>
      </w:tr>
      <w:tr w14:paraId="0748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23A89040">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54557494">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农村危房改造</w:t>
            </w:r>
          </w:p>
        </w:tc>
        <w:tc>
          <w:tcPr>
            <w:tcW w:w="1910" w:type="dxa"/>
            <w:tcBorders>
              <w:top w:val="single" w:color="000000" w:sz="4" w:space="0"/>
              <w:left w:val="single" w:color="000000" w:sz="4" w:space="0"/>
              <w:bottom w:val="single" w:color="000000" w:sz="4" w:space="0"/>
              <w:right w:val="single" w:color="000000" w:sz="4" w:space="0"/>
            </w:tcBorders>
            <w:vAlign w:val="center"/>
          </w:tcPr>
          <w:p w14:paraId="337E19D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113.43 </w:t>
            </w:r>
          </w:p>
        </w:tc>
        <w:tc>
          <w:tcPr>
            <w:tcW w:w="1870" w:type="dxa"/>
            <w:tcBorders>
              <w:top w:val="single" w:color="000000" w:sz="4" w:space="0"/>
              <w:left w:val="single" w:color="000000" w:sz="4" w:space="0"/>
              <w:bottom w:val="single" w:color="000000" w:sz="4" w:space="0"/>
              <w:right w:val="single" w:color="000000" w:sz="4" w:space="0"/>
            </w:tcBorders>
            <w:vAlign w:val="center"/>
          </w:tcPr>
          <w:p w14:paraId="36B53DD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63.37 </w:t>
            </w:r>
          </w:p>
        </w:tc>
        <w:tc>
          <w:tcPr>
            <w:tcW w:w="1272" w:type="dxa"/>
            <w:tcBorders>
              <w:top w:val="single" w:color="000000" w:sz="4" w:space="0"/>
              <w:left w:val="single" w:color="000000" w:sz="4" w:space="0"/>
              <w:bottom w:val="single" w:color="000000" w:sz="4" w:space="0"/>
              <w:right w:val="single" w:color="000000" w:sz="4" w:space="0"/>
            </w:tcBorders>
            <w:vAlign w:val="center"/>
          </w:tcPr>
          <w:p w14:paraId="1D13ABD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55.87%</w:t>
            </w:r>
          </w:p>
        </w:tc>
      </w:tr>
      <w:tr w14:paraId="3B2F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2C615C83">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7D7008C8">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高标准农田机井及配套</w:t>
            </w:r>
          </w:p>
        </w:tc>
        <w:tc>
          <w:tcPr>
            <w:tcW w:w="1910" w:type="dxa"/>
            <w:tcBorders>
              <w:top w:val="single" w:color="000000" w:sz="4" w:space="0"/>
              <w:left w:val="single" w:color="000000" w:sz="4" w:space="0"/>
              <w:bottom w:val="single" w:color="000000" w:sz="4" w:space="0"/>
              <w:right w:val="single" w:color="000000" w:sz="4" w:space="0"/>
            </w:tcBorders>
            <w:vAlign w:val="center"/>
          </w:tcPr>
          <w:p w14:paraId="7D7D287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1,518.51 </w:t>
            </w:r>
          </w:p>
        </w:tc>
        <w:tc>
          <w:tcPr>
            <w:tcW w:w="1870" w:type="dxa"/>
            <w:tcBorders>
              <w:top w:val="single" w:color="000000" w:sz="4" w:space="0"/>
              <w:left w:val="single" w:color="000000" w:sz="4" w:space="0"/>
              <w:bottom w:val="single" w:color="000000" w:sz="4" w:space="0"/>
              <w:right w:val="single" w:color="000000" w:sz="4" w:space="0"/>
            </w:tcBorders>
            <w:vAlign w:val="center"/>
          </w:tcPr>
          <w:p w14:paraId="713F91C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911.03 </w:t>
            </w:r>
          </w:p>
        </w:tc>
        <w:tc>
          <w:tcPr>
            <w:tcW w:w="1272" w:type="dxa"/>
            <w:tcBorders>
              <w:top w:val="single" w:color="000000" w:sz="4" w:space="0"/>
              <w:left w:val="single" w:color="000000" w:sz="4" w:space="0"/>
              <w:bottom w:val="single" w:color="000000" w:sz="4" w:space="0"/>
              <w:right w:val="single" w:color="000000" w:sz="4" w:space="0"/>
            </w:tcBorders>
            <w:vAlign w:val="center"/>
          </w:tcPr>
          <w:p w14:paraId="21A58EE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59.99%</w:t>
            </w:r>
          </w:p>
        </w:tc>
      </w:tr>
      <w:tr w14:paraId="4406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restart"/>
            <w:tcBorders>
              <w:top w:val="single" w:color="000000" w:sz="4" w:space="0"/>
              <w:left w:val="single" w:color="000000" w:sz="4" w:space="0"/>
              <w:bottom w:val="single" w:color="000000" w:sz="4" w:space="0"/>
              <w:right w:val="single" w:color="000000" w:sz="4" w:space="0"/>
            </w:tcBorders>
            <w:vAlign w:val="center"/>
          </w:tcPr>
          <w:p w14:paraId="34444DE8">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农业产业发展</w:t>
            </w:r>
          </w:p>
        </w:tc>
        <w:tc>
          <w:tcPr>
            <w:tcW w:w="2390" w:type="dxa"/>
            <w:tcBorders>
              <w:top w:val="single" w:color="000000" w:sz="4" w:space="0"/>
              <w:left w:val="single" w:color="000000" w:sz="4" w:space="0"/>
              <w:bottom w:val="single" w:color="000000" w:sz="4" w:space="0"/>
              <w:right w:val="single" w:color="000000" w:sz="4" w:space="0"/>
            </w:tcBorders>
            <w:vAlign w:val="center"/>
          </w:tcPr>
          <w:p w14:paraId="21470499">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脱贫人口小额信贷贴息</w:t>
            </w:r>
          </w:p>
        </w:tc>
        <w:tc>
          <w:tcPr>
            <w:tcW w:w="1910" w:type="dxa"/>
            <w:tcBorders>
              <w:top w:val="single" w:color="000000" w:sz="4" w:space="0"/>
              <w:left w:val="single" w:color="000000" w:sz="4" w:space="0"/>
              <w:bottom w:val="single" w:color="000000" w:sz="4" w:space="0"/>
              <w:right w:val="single" w:color="000000" w:sz="4" w:space="0"/>
            </w:tcBorders>
            <w:vAlign w:val="center"/>
          </w:tcPr>
          <w:p w14:paraId="0AED4EB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485.50 </w:t>
            </w:r>
          </w:p>
        </w:tc>
        <w:tc>
          <w:tcPr>
            <w:tcW w:w="1870" w:type="dxa"/>
            <w:tcBorders>
              <w:top w:val="single" w:color="000000" w:sz="4" w:space="0"/>
              <w:left w:val="single" w:color="000000" w:sz="4" w:space="0"/>
              <w:bottom w:val="single" w:color="000000" w:sz="4" w:space="0"/>
              <w:right w:val="single" w:color="000000" w:sz="4" w:space="0"/>
            </w:tcBorders>
            <w:vAlign w:val="center"/>
          </w:tcPr>
          <w:p w14:paraId="5D9881D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483.13 </w:t>
            </w:r>
          </w:p>
        </w:tc>
        <w:tc>
          <w:tcPr>
            <w:tcW w:w="1272" w:type="dxa"/>
            <w:tcBorders>
              <w:top w:val="single" w:color="000000" w:sz="4" w:space="0"/>
              <w:left w:val="single" w:color="000000" w:sz="4" w:space="0"/>
              <w:bottom w:val="single" w:color="000000" w:sz="4" w:space="0"/>
              <w:right w:val="single" w:color="000000" w:sz="4" w:space="0"/>
            </w:tcBorders>
            <w:vAlign w:val="center"/>
          </w:tcPr>
          <w:p w14:paraId="7E70488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99.51%</w:t>
            </w:r>
          </w:p>
        </w:tc>
      </w:tr>
      <w:tr w14:paraId="5294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1F138288">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0E833B10">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设施农业产业扶持</w:t>
            </w:r>
          </w:p>
        </w:tc>
        <w:tc>
          <w:tcPr>
            <w:tcW w:w="1910" w:type="dxa"/>
            <w:tcBorders>
              <w:top w:val="single" w:color="000000" w:sz="4" w:space="0"/>
              <w:left w:val="single" w:color="000000" w:sz="4" w:space="0"/>
              <w:bottom w:val="single" w:color="000000" w:sz="4" w:space="0"/>
              <w:right w:val="single" w:color="000000" w:sz="4" w:space="0"/>
            </w:tcBorders>
            <w:vAlign w:val="center"/>
          </w:tcPr>
          <w:p w14:paraId="5FE3499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5,986.30 </w:t>
            </w:r>
          </w:p>
        </w:tc>
        <w:tc>
          <w:tcPr>
            <w:tcW w:w="1870" w:type="dxa"/>
            <w:tcBorders>
              <w:top w:val="single" w:color="000000" w:sz="4" w:space="0"/>
              <w:left w:val="single" w:color="000000" w:sz="4" w:space="0"/>
              <w:bottom w:val="single" w:color="000000" w:sz="4" w:space="0"/>
              <w:right w:val="single" w:color="000000" w:sz="4" w:space="0"/>
            </w:tcBorders>
            <w:vAlign w:val="center"/>
          </w:tcPr>
          <w:p w14:paraId="577D112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5,433.79 </w:t>
            </w:r>
          </w:p>
        </w:tc>
        <w:tc>
          <w:tcPr>
            <w:tcW w:w="1272" w:type="dxa"/>
            <w:tcBorders>
              <w:top w:val="single" w:color="000000" w:sz="4" w:space="0"/>
              <w:left w:val="single" w:color="000000" w:sz="4" w:space="0"/>
              <w:bottom w:val="single" w:color="000000" w:sz="4" w:space="0"/>
              <w:right w:val="single" w:color="000000" w:sz="4" w:space="0"/>
            </w:tcBorders>
            <w:vAlign w:val="center"/>
          </w:tcPr>
          <w:p w14:paraId="38E6151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90.77%</w:t>
            </w:r>
          </w:p>
        </w:tc>
      </w:tr>
      <w:tr w14:paraId="5F59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1C367733">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6F8704F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2"/>
                <w:szCs w:val="22"/>
                <w:u w:val="none"/>
                <w:lang w:val="en-US" w:eastAsia="zh-CN"/>
              </w:rPr>
              <w:t>村集体经济发展项目</w:t>
            </w:r>
          </w:p>
        </w:tc>
        <w:tc>
          <w:tcPr>
            <w:tcW w:w="1910" w:type="dxa"/>
            <w:tcBorders>
              <w:top w:val="single" w:color="000000" w:sz="4" w:space="0"/>
              <w:left w:val="single" w:color="000000" w:sz="4" w:space="0"/>
              <w:bottom w:val="single" w:color="000000" w:sz="4" w:space="0"/>
              <w:right w:val="single" w:color="000000" w:sz="4" w:space="0"/>
            </w:tcBorders>
            <w:vAlign w:val="center"/>
          </w:tcPr>
          <w:p w14:paraId="5809DD4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4,418.00 </w:t>
            </w:r>
          </w:p>
        </w:tc>
        <w:tc>
          <w:tcPr>
            <w:tcW w:w="1870" w:type="dxa"/>
            <w:tcBorders>
              <w:top w:val="single" w:color="000000" w:sz="4" w:space="0"/>
              <w:left w:val="single" w:color="000000" w:sz="4" w:space="0"/>
              <w:bottom w:val="single" w:color="000000" w:sz="4" w:space="0"/>
              <w:right w:val="single" w:color="000000" w:sz="4" w:space="0"/>
            </w:tcBorders>
            <w:vAlign w:val="center"/>
          </w:tcPr>
          <w:p w14:paraId="13DC98A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4,418.00 </w:t>
            </w:r>
          </w:p>
        </w:tc>
        <w:tc>
          <w:tcPr>
            <w:tcW w:w="1272" w:type="dxa"/>
            <w:tcBorders>
              <w:top w:val="single" w:color="000000" w:sz="4" w:space="0"/>
              <w:left w:val="single" w:color="000000" w:sz="4" w:space="0"/>
              <w:bottom w:val="single" w:color="000000" w:sz="4" w:space="0"/>
              <w:right w:val="single" w:color="000000" w:sz="4" w:space="0"/>
            </w:tcBorders>
            <w:vAlign w:val="center"/>
          </w:tcPr>
          <w:p w14:paraId="2AC2296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6FCE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83" w:type="dxa"/>
            <w:vMerge w:val="restart"/>
            <w:tcBorders>
              <w:top w:val="single" w:color="000000" w:sz="4" w:space="0"/>
              <w:left w:val="single" w:color="000000" w:sz="4" w:space="0"/>
              <w:bottom w:val="single" w:color="000000" w:sz="4" w:space="0"/>
              <w:right w:val="single" w:color="000000" w:sz="4" w:space="0"/>
            </w:tcBorders>
            <w:vAlign w:val="center"/>
          </w:tcPr>
          <w:p w14:paraId="42F557F9">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其他</w:t>
            </w:r>
          </w:p>
        </w:tc>
        <w:tc>
          <w:tcPr>
            <w:tcW w:w="2390" w:type="dxa"/>
            <w:tcBorders>
              <w:top w:val="single" w:color="000000" w:sz="4" w:space="0"/>
              <w:left w:val="single" w:color="000000" w:sz="4" w:space="0"/>
              <w:bottom w:val="single" w:color="000000" w:sz="4" w:space="0"/>
              <w:right w:val="single" w:color="000000" w:sz="4" w:space="0"/>
            </w:tcBorders>
            <w:vAlign w:val="center"/>
          </w:tcPr>
          <w:p w14:paraId="53C108F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w:t>
            </w:r>
            <w:r>
              <w:rPr>
                <w:rFonts w:hint="eastAsia" w:ascii="宋体" w:hAnsi="宋体" w:eastAsia="宋体" w:cs="宋体"/>
                <w:i w:val="0"/>
                <w:iCs w:val="0"/>
                <w:color w:val="000000"/>
                <w:kern w:val="0"/>
                <w:sz w:val="21"/>
                <w:szCs w:val="21"/>
                <w:u w:val="none"/>
                <w:lang w:val="en-US" w:eastAsia="zh-CN"/>
              </w:rPr>
              <w:t>雨露计划</w:t>
            </w:r>
            <w:r>
              <w:rPr>
                <w:rFonts w:hint="default" w:ascii="Times New Roman" w:hAnsi="Times New Roman" w:eastAsia="宋体" w:cs="Times New Roman"/>
                <w:i w:val="0"/>
                <w:iCs w:val="0"/>
                <w:color w:val="000000"/>
                <w:kern w:val="0"/>
                <w:sz w:val="21"/>
                <w:szCs w:val="21"/>
                <w:u w:val="none"/>
                <w:lang w:val="en-US" w:eastAsia="zh-CN"/>
              </w:rPr>
              <w:t>”</w:t>
            </w:r>
            <w:r>
              <w:rPr>
                <w:rFonts w:hint="eastAsia" w:ascii="宋体" w:hAnsi="宋体" w:eastAsia="宋体" w:cs="宋体"/>
                <w:i w:val="0"/>
                <w:iCs w:val="0"/>
                <w:color w:val="000000"/>
                <w:kern w:val="0"/>
                <w:sz w:val="21"/>
                <w:szCs w:val="21"/>
                <w:u w:val="none"/>
                <w:lang w:val="en-US" w:eastAsia="zh-CN"/>
              </w:rPr>
              <w:t>培训</w:t>
            </w:r>
          </w:p>
        </w:tc>
        <w:tc>
          <w:tcPr>
            <w:tcW w:w="1910" w:type="dxa"/>
            <w:tcBorders>
              <w:top w:val="single" w:color="000000" w:sz="4" w:space="0"/>
              <w:left w:val="single" w:color="000000" w:sz="4" w:space="0"/>
              <w:bottom w:val="single" w:color="000000" w:sz="4" w:space="0"/>
              <w:right w:val="single" w:color="000000" w:sz="4" w:space="0"/>
            </w:tcBorders>
            <w:vAlign w:val="center"/>
          </w:tcPr>
          <w:p w14:paraId="43B55D6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583.75 </w:t>
            </w:r>
          </w:p>
        </w:tc>
        <w:tc>
          <w:tcPr>
            <w:tcW w:w="1870" w:type="dxa"/>
            <w:tcBorders>
              <w:top w:val="single" w:color="000000" w:sz="4" w:space="0"/>
              <w:left w:val="single" w:color="000000" w:sz="4" w:space="0"/>
              <w:bottom w:val="single" w:color="000000" w:sz="4" w:space="0"/>
              <w:right w:val="single" w:color="000000" w:sz="4" w:space="0"/>
            </w:tcBorders>
            <w:vAlign w:val="center"/>
          </w:tcPr>
          <w:p w14:paraId="6C1CF36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583.20 </w:t>
            </w:r>
          </w:p>
        </w:tc>
        <w:tc>
          <w:tcPr>
            <w:tcW w:w="1272" w:type="dxa"/>
            <w:tcBorders>
              <w:top w:val="single" w:color="000000" w:sz="4" w:space="0"/>
              <w:left w:val="single" w:color="000000" w:sz="4" w:space="0"/>
              <w:bottom w:val="single" w:color="000000" w:sz="4" w:space="0"/>
              <w:right w:val="single" w:color="000000" w:sz="4" w:space="0"/>
            </w:tcBorders>
            <w:vAlign w:val="center"/>
          </w:tcPr>
          <w:p w14:paraId="6649029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99.91%</w:t>
            </w:r>
          </w:p>
        </w:tc>
      </w:tr>
      <w:tr w14:paraId="3531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exact"/>
          <w:jc w:val="center"/>
        </w:trPr>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12EBDC89">
            <w:pPr>
              <w:jc w:val="center"/>
              <w:rPr>
                <w:rFonts w:hint="default" w:ascii="Times New Roman" w:hAnsi="Times New Roman" w:eastAsia="宋体" w:cs="Times New Roman"/>
                <w:i w:val="0"/>
                <w:iCs w:val="0"/>
                <w:color w:val="000000"/>
                <w:sz w:val="21"/>
                <w:szCs w:val="21"/>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36ADB6BE">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项目管理费</w:t>
            </w:r>
            <w:r>
              <w:rPr>
                <w:rFonts w:hint="default" w:ascii="Times New Roman" w:hAnsi="Times New Roman" w:eastAsia="宋体" w:cs="Times New Roman"/>
                <w:i w:val="0"/>
                <w:iCs w:val="0"/>
                <w:color w:val="000000"/>
                <w:kern w:val="0"/>
                <w:sz w:val="21"/>
                <w:szCs w:val="21"/>
                <w:u w:val="none"/>
                <w:lang w:val="en-US" w:eastAsia="zh-CN"/>
              </w:rPr>
              <w:t>/</w:t>
            </w:r>
            <w:r>
              <w:rPr>
                <w:rFonts w:hint="eastAsia" w:ascii="宋体" w:hAnsi="宋体" w:eastAsia="宋体" w:cs="宋体"/>
                <w:i w:val="0"/>
                <w:iCs w:val="0"/>
                <w:color w:val="000000"/>
                <w:kern w:val="0"/>
                <w:sz w:val="21"/>
                <w:szCs w:val="21"/>
                <w:u w:val="none"/>
                <w:lang w:val="en-US" w:eastAsia="zh-CN"/>
              </w:rPr>
              <w:t>第一书记工作经费</w:t>
            </w:r>
          </w:p>
        </w:tc>
        <w:tc>
          <w:tcPr>
            <w:tcW w:w="1910" w:type="dxa"/>
            <w:tcBorders>
              <w:top w:val="single" w:color="000000" w:sz="4" w:space="0"/>
              <w:left w:val="single" w:color="000000" w:sz="4" w:space="0"/>
              <w:bottom w:val="single" w:color="000000" w:sz="4" w:space="0"/>
              <w:right w:val="single" w:color="000000" w:sz="4" w:space="0"/>
            </w:tcBorders>
            <w:vAlign w:val="center"/>
          </w:tcPr>
          <w:p w14:paraId="25A69FC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274.25 </w:t>
            </w:r>
          </w:p>
        </w:tc>
        <w:tc>
          <w:tcPr>
            <w:tcW w:w="1870" w:type="dxa"/>
            <w:tcBorders>
              <w:top w:val="single" w:color="000000" w:sz="4" w:space="0"/>
              <w:left w:val="single" w:color="000000" w:sz="4" w:space="0"/>
              <w:bottom w:val="single" w:color="000000" w:sz="4" w:space="0"/>
              <w:right w:val="single" w:color="000000" w:sz="4" w:space="0"/>
            </w:tcBorders>
            <w:vAlign w:val="center"/>
          </w:tcPr>
          <w:p w14:paraId="6551AB4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178.30 </w:t>
            </w:r>
          </w:p>
        </w:tc>
        <w:tc>
          <w:tcPr>
            <w:tcW w:w="1272" w:type="dxa"/>
            <w:tcBorders>
              <w:top w:val="single" w:color="000000" w:sz="4" w:space="0"/>
              <w:left w:val="single" w:color="000000" w:sz="4" w:space="0"/>
              <w:bottom w:val="single" w:color="000000" w:sz="4" w:space="0"/>
              <w:right w:val="single" w:color="000000" w:sz="4" w:space="0"/>
            </w:tcBorders>
            <w:vAlign w:val="center"/>
          </w:tcPr>
          <w:p w14:paraId="56D3ADE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65.01%</w:t>
            </w:r>
          </w:p>
        </w:tc>
      </w:tr>
      <w:tr w14:paraId="44E7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473" w:type="dxa"/>
            <w:gridSpan w:val="2"/>
            <w:tcBorders>
              <w:top w:val="single" w:color="000000" w:sz="4" w:space="0"/>
              <w:left w:val="single" w:color="000000" w:sz="4" w:space="0"/>
              <w:bottom w:val="single" w:color="000000" w:sz="4" w:space="0"/>
              <w:right w:val="single" w:color="000000" w:sz="4" w:space="0"/>
            </w:tcBorders>
            <w:vAlign w:val="center"/>
          </w:tcPr>
          <w:p w14:paraId="34450FAB">
            <w:pPr>
              <w:jc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合计</w:t>
            </w:r>
          </w:p>
        </w:tc>
        <w:tc>
          <w:tcPr>
            <w:tcW w:w="1910" w:type="dxa"/>
            <w:tcBorders>
              <w:top w:val="single" w:color="000000" w:sz="4" w:space="0"/>
              <w:left w:val="single" w:color="000000" w:sz="4" w:space="0"/>
              <w:bottom w:val="single" w:color="000000" w:sz="4" w:space="0"/>
              <w:right w:val="single" w:color="000000" w:sz="4" w:space="0"/>
            </w:tcBorders>
            <w:vAlign w:val="center"/>
          </w:tcPr>
          <w:p w14:paraId="4F751F6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20,108.81 </w:t>
            </w:r>
          </w:p>
        </w:tc>
        <w:tc>
          <w:tcPr>
            <w:tcW w:w="1870" w:type="dxa"/>
            <w:tcBorders>
              <w:top w:val="single" w:color="000000" w:sz="4" w:space="0"/>
              <w:left w:val="single" w:color="000000" w:sz="4" w:space="0"/>
              <w:bottom w:val="single" w:color="000000" w:sz="4" w:space="0"/>
              <w:right w:val="single" w:color="000000" w:sz="4" w:space="0"/>
            </w:tcBorders>
            <w:vAlign w:val="center"/>
          </w:tcPr>
          <w:p w14:paraId="6AE1B0CD">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 xml:space="preserve">18,560.33 </w:t>
            </w:r>
          </w:p>
        </w:tc>
        <w:tc>
          <w:tcPr>
            <w:tcW w:w="1272" w:type="dxa"/>
            <w:tcBorders>
              <w:top w:val="single" w:color="000000" w:sz="4" w:space="0"/>
              <w:left w:val="single" w:color="000000" w:sz="4" w:space="0"/>
              <w:bottom w:val="single" w:color="000000" w:sz="4" w:space="0"/>
              <w:right w:val="single" w:color="000000" w:sz="4" w:space="0"/>
            </w:tcBorders>
            <w:vAlign w:val="center"/>
          </w:tcPr>
          <w:p w14:paraId="33DB52E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92.30%</w:t>
            </w:r>
          </w:p>
        </w:tc>
      </w:tr>
    </w:tbl>
    <w:p w14:paraId="0E42C72B">
      <w:pPr>
        <w:pStyle w:val="25"/>
        <w:widowControl w:val="0"/>
        <w:wordWrap/>
        <w:autoSpaceDE w:val="0"/>
        <w:autoSpaceDN w:val="0"/>
        <w:adjustRightInd w:val="0"/>
        <w:snapToGrid/>
        <w:spacing w:line="560" w:lineRule="exact"/>
        <w:jc w:val="center"/>
        <w:textAlignment w:val="auto"/>
        <w:rPr>
          <w:rFonts w:hint="default" w:ascii="Times New Roman" w:hAnsi="Times New Roman" w:eastAsia="仿宋_GB2312" w:cs="Times New Roman"/>
          <w:b/>
          <w:bCs/>
          <w:kern w:val="0"/>
          <w:sz w:val="24"/>
          <w:szCs w:val="24"/>
          <w:lang w:val="en-US" w:eastAsia="zh-CN" w:bidi="en-US"/>
        </w:rPr>
      </w:pPr>
      <w:r>
        <w:rPr>
          <w:rFonts w:hint="default" w:ascii="Times New Roman" w:hAnsi="Times New Roman" w:eastAsia="仿宋_GB2312" w:cs="Times New Roman"/>
          <w:b/>
          <w:bCs/>
          <w:kern w:val="0"/>
          <w:sz w:val="24"/>
          <w:szCs w:val="24"/>
          <w:lang w:val="en-US" w:eastAsia="zh-CN" w:bidi="en-US"/>
        </w:rPr>
        <w:t>表1-</w:t>
      </w:r>
      <w:r>
        <w:rPr>
          <w:rFonts w:hint="eastAsia" w:ascii="Times New Roman" w:hAnsi="Times New Roman" w:eastAsia="仿宋_GB2312" w:cs="Times New Roman"/>
          <w:b/>
          <w:bCs/>
          <w:kern w:val="0"/>
          <w:sz w:val="24"/>
          <w:szCs w:val="24"/>
          <w:lang w:val="en-US" w:eastAsia="zh-CN" w:bidi="en-US"/>
        </w:rPr>
        <w:t xml:space="preserve">7 </w:t>
      </w:r>
      <w:r>
        <w:rPr>
          <w:rFonts w:hint="default" w:ascii="Times New Roman" w:hAnsi="Times New Roman" w:eastAsia="仿宋_GB2312" w:cs="Times New Roman"/>
          <w:b/>
          <w:bCs/>
          <w:kern w:val="0"/>
          <w:sz w:val="24"/>
          <w:szCs w:val="24"/>
          <w:lang w:val="en-US" w:eastAsia="zh-CN" w:bidi="en-US"/>
        </w:rPr>
        <w:t>抽取项目资金安排及支出情况表</w:t>
      </w:r>
    </w:p>
    <w:p w14:paraId="022DF921">
      <w:pPr>
        <w:pStyle w:val="25"/>
        <w:widowControl w:val="0"/>
        <w:wordWrap/>
        <w:autoSpaceDE w:val="0"/>
        <w:autoSpaceDN w:val="0"/>
        <w:adjustRightInd w:val="0"/>
        <w:snapToGrid/>
        <w:spacing w:line="560" w:lineRule="exact"/>
        <w:jc w:val="right"/>
        <w:textAlignment w:val="auto"/>
        <w:rPr>
          <w:rFonts w:hint="default" w:ascii="Times New Roman" w:hAnsi="Times New Roman" w:eastAsia="仿宋_GB2312" w:cs="Times New Roman"/>
          <w:b/>
          <w:bCs/>
          <w:kern w:val="0"/>
          <w:sz w:val="24"/>
          <w:szCs w:val="24"/>
          <w:lang w:val="en-US" w:eastAsia="zh-CN" w:bidi="en-US"/>
        </w:rPr>
      </w:pPr>
      <w:r>
        <w:rPr>
          <w:rFonts w:hint="default" w:ascii="Times New Roman" w:hAnsi="Times New Roman" w:eastAsia="仿宋_GB2312" w:cs="Times New Roman"/>
          <w:b/>
          <w:bCs/>
          <w:kern w:val="0"/>
          <w:sz w:val="24"/>
          <w:szCs w:val="24"/>
          <w:lang w:val="en-US" w:eastAsia="zh-CN" w:bidi="en-US"/>
        </w:rPr>
        <w:t>单位：万元</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1440"/>
        <w:gridCol w:w="2810"/>
        <w:gridCol w:w="950"/>
        <w:gridCol w:w="920"/>
        <w:gridCol w:w="950"/>
        <w:gridCol w:w="938"/>
      </w:tblGrid>
      <w:tr w14:paraId="1A5F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51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7201D8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5E0917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项目类型</w:t>
            </w:r>
          </w:p>
        </w:tc>
        <w:tc>
          <w:tcPr>
            <w:tcW w:w="281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155A9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项目名称</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EA8534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年初预算数</w:t>
            </w:r>
          </w:p>
        </w:tc>
        <w:tc>
          <w:tcPr>
            <w:tcW w:w="92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E9FB34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调整预算数</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FF06235">
            <w:pPr>
              <w:widowControl/>
              <w:jc w:val="center"/>
              <w:textAlignment w:val="center"/>
              <w:rPr>
                <w:rFonts w:hint="eastAsia" w:ascii="宋体" w:hAnsi="宋体" w:eastAsia="宋体" w:cs="宋体"/>
                <w:b/>
                <w:bCs/>
                <w:i w:val="0"/>
                <w:iCs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rPr>
              <w:t>支出</w:t>
            </w:r>
          </w:p>
          <w:p w14:paraId="248B8FD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w:t>
            </w:r>
          </w:p>
        </w:tc>
        <w:tc>
          <w:tcPr>
            <w:tcW w:w="93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A586EF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w:t>
            </w:r>
          </w:p>
        </w:tc>
      </w:tr>
      <w:tr w14:paraId="464B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02E443E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14:paraId="63FA2341">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背街小巷硬化奖补</w:t>
            </w:r>
          </w:p>
        </w:tc>
        <w:tc>
          <w:tcPr>
            <w:tcW w:w="2810" w:type="dxa"/>
            <w:tcBorders>
              <w:top w:val="single" w:color="000000" w:sz="4" w:space="0"/>
              <w:left w:val="single" w:color="000000" w:sz="4" w:space="0"/>
              <w:bottom w:val="single" w:color="000000" w:sz="4" w:space="0"/>
              <w:right w:val="single" w:color="000000" w:sz="4" w:space="0"/>
            </w:tcBorders>
            <w:vAlign w:val="center"/>
          </w:tcPr>
          <w:p w14:paraId="75FC1E32">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留固镇横村村庄背街小巷硬化奖补项目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7AFFA9E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35.25 </w:t>
            </w:r>
          </w:p>
        </w:tc>
        <w:tc>
          <w:tcPr>
            <w:tcW w:w="920" w:type="dxa"/>
            <w:tcBorders>
              <w:top w:val="single" w:color="000000" w:sz="4" w:space="0"/>
              <w:left w:val="single" w:color="000000" w:sz="4" w:space="0"/>
              <w:bottom w:val="single" w:color="000000" w:sz="4" w:space="0"/>
              <w:right w:val="single" w:color="000000" w:sz="4" w:space="0"/>
            </w:tcBorders>
            <w:vAlign w:val="center"/>
          </w:tcPr>
          <w:p w14:paraId="3CF3E351">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32.83 </w:t>
            </w:r>
          </w:p>
        </w:tc>
        <w:tc>
          <w:tcPr>
            <w:tcW w:w="950" w:type="dxa"/>
            <w:tcBorders>
              <w:top w:val="single" w:color="000000" w:sz="4" w:space="0"/>
              <w:left w:val="single" w:color="000000" w:sz="4" w:space="0"/>
              <w:bottom w:val="single" w:color="000000" w:sz="4" w:space="0"/>
              <w:right w:val="single" w:color="000000" w:sz="4" w:space="0"/>
            </w:tcBorders>
            <w:vAlign w:val="center"/>
          </w:tcPr>
          <w:p w14:paraId="6E5AE84B">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32.83 </w:t>
            </w:r>
          </w:p>
        </w:tc>
        <w:tc>
          <w:tcPr>
            <w:tcW w:w="938" w:type="dxa"/>
            <w:tcBorders>
              <w:top w:val="single" w:color="000000" w:sz="4" w:space="0"/>
              <w:left w:val="single" w:color="000000" w:sz="4" w:space="0"/>
              <w:bottom w:val="single" w:color="000000" w:sz="4" w:space="0"/>
              <w:right w:val="single" w:color="000000" w:sz="4" w:space="0"/>
            </w:tcBorders>
            <w:vAlign w:val="center"/>
          </w:tcPr>
          <w:p w14:paraId="39AD01A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70FA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2833857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14:paraId="6829EF8B">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背街小巷硬化奖补</w:t>
            </w:r>
          </w:p>
        </w:tc>
        <w:tc>
          <w:tcPr>
            <w:tcW w:w="2810" w:type="dxa"/>
            <w:tcBorders>
              <w:top w:val="single" w:color="000000" w:sz="4" w:space="0"/>
              <w:left w:val="single" w:color="000000" w:sz="4" w:space="0"/>
              <w:bottom w:val="single" w:color="000000" w:sz="4" w:space="0"/>
              <w:right w:val="single" w:color="000000" w:sz="4" w:space="0"/>
            </w:tcBorders>
            <w:vAlign w:val="center"/>
          </w:tcPr>
          <w:p w14:paraId="6ADAA63C">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八里营镇黄琉璃村村庄背街小巷硬化奖补项目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5B3E2041">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37.50 </w:t>
            </w:r>
          </w:p>
        </w:tc>
        <w:tc>
          <w:tcPr>
            <w:tcW w:w="920" w:type="dxa"/>
            <w:tcBorders>
              <w:top w:val="single" w:color="000000" w:sz="4" w:space="0"/>
              <w:left w:val="single" w:color="000000" w:sz="4" w:space="0"/>
              <w:bottom w:val="single" w:color="000000" w:sz="4" w:space="0"/>
              <w:right w:val="single" w:color="000000" w:sz="4" w:space="0"/>
            </w:tcBorders>
            <w:vAlign w:val="center"/>
          </w:tcPr>
          <w:p w14:paraId="06B9945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37.28 </w:t>
            </w:r>
          </w:p>
        </w:tc>
        <w:tc>
          <w:tcPr>
            <w:tcW w:w="950" w:type="dxa"/>
            <w:tcBorders>
              <w:top w:val="single" w:color="000000" w:sz="4" w:space="0"/>
              <w:left w:val="single" w:color="000000" w:sz="4" w:space="0"/>
              <w:bottom w:val="single" w:color="000000" w:sz="4" w:space="0"/>
              <w:right w:val="single" w:color="000000" w:sz="4" w:space="0"/>
            </w:tcBorders>
            <w:vAlign w:val="center"/>
          </w:tcPr>
          <w:p w14:paraId="49222D3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37.28 </w:t>
            </w:r>
          </w:p>
        </w:tc>
        <w:tc>
          <w:tcPr>
            <w:tcW w:w="938" w:type="dxa"/>
            <w:tcBorders>
              <w:top w:val="single" w:color="000000" w:sz="4" w:space="0"/>
              <w:left w:val="single" w:color="000000" w:sz="4" w:space="0"/>
              <w:bottom w:val="single" w:color="000000" w:sz="4" w:space="0"/>
              <w:right w:val="single" w:color="000000" w:sz="4" w:space="0"/>
            </w:tcBorders>
            <w:vAlign w:val="center"/>
          </w:tcPr>
          <w:p w14:paraId="00E2E7FF">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6C37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5DC2FD96">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14:paraId="0CC744E0">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以工代赈</w:t>
            </w:r>
          </w:p>
        </w:tc>
        <w:tc>
          <w:tcPr>
            <w:tcW w:w="2810" w:type="dxa"/>
            <w:tcBorders>
              <w:top w:val="single" w:color="000000" w:sz="4" w:space="0"/>
              <w:left w:val="single" w:color="000000" w:sz="4" w:space="0"/>
              <w:bottom w:val="single" w:color="000000" w:sz="4" w:space="0"/>
              <w:right w:val="single" w:color="000000" w:sz="4" w:space="0"/>
            </w:tcBorders>
            <w:vAlign w:val="center"/>
          </w:tcPr>
          <w:p w14:paraId="7D299749">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滑县老店镇</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年中央财政预算内以工代赈项目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4551058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275.85 </w:t>
            </w:r>
          </w:p>
        </w:tc>
        <w:tc>
          <w:tcPr>
            <w:tcW w:w="920" w:type="dxa"/>
            <w:tcBorders>
              <w:top w:val="single" w:color="000000" w:sz="4" w:space="0"/>
              <w:left w:val="single" w:color="000000" w:sz="4" w:space="0"/>
              <w:bottom w:val="single" w:color="000000" w:sz="4" w:space="0"/>
              <w:right w:val="single" w:color="000000" w:sz="4" w:space="0"/>
            </w:tcBorders>
            <w:vAlign w:val="center"/>
          </w:tcPr>
          <w:p w14:paraId="52B4A5B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275.85 </w:t>
            </w:r>
          </w:p>
        </w:tc>
        <w:tc>
          <w:tcPr>
            <w:tcW w:w="950" w:type="dxa"/>
            <w:tcBorders>
              <w:top w:val="single" w:color="000000" w:sz="4" w:space="0"/>
              <w:left w:val="single" w:color="000000" w:sz="4" w:space="0"/>
              <w:bottom w:val="single" w:color="000000" w:sz="4" w:space="0"/>
              <w:right w:val="single" w:color="000000" w:sz="4" w:space="0"/>
            </w:tcBorders>
            <w:vAlign w:val="center"/>
          </w:tcPr>
          <w:p w14:paraId="41B5FC8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267.57 </w:t>
            </w:r>
          </w:p>
        </w:tc>
        <w:tc>
          <w:tcPr>
            <w:tcW w:w="938" w:type="dxa"/>
            <w:tcBorders>
              <w:top w:val="single" w:color="000000" w:sz="4" w:space="0"/>
              <w:left w:val="single" w:color="000000" w:sz="4" w:space="0"/>
              <w:bottom w:val="single" w:color="000000" w:sz="4" w:space="0"/>
              <w:right w:val="single" w:color="000000" w:sz="4" w:space="0"/>
            </w:tcBorders>
            <w:vAlign w:val="center"/>
          </w:tcPr>
          <w:p w14:paraId="5B298869">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97.00%</w:t>
            </w:r>
          </w:p>
        </w:tc>
      </w:tr>
      <w:tr w14:paraId="71D4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79B92BC9">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14:paraId="77F00D0D">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以工代赈</w:t>
            </w:r>
          </w:p>
        </w:tc>
        <w:tc>
          <w:tcPr>
            <w:tcW w:w="2810" w:type="dxa"/>
            <w:tcBorders>
              <w:top w:val="single" w:color="000000" w:sz="4" w:space="0"/>
              <w:left w:val="single" w:color="000000" w:sz="4" w:space="0"/>
              <w:bottom w:val="single" w:color="000000" w:sz="4" w:space="0"/>
              <w:right w:val="single" w:color="000000" w:sz="4" w:space="0"/>
            </w:tcBorders>
            <w:vAlign w:val="center"/>
          </w:tcPr>
          <w:p w14:paraId="40DFF3C8">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滑县瓦岗寨乡</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年第二批中央财政以工代赈项目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718DD4B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181.00 </w:t>
            </w:r>
          </w:p>
        </w:tc>
        <w:tc>
          <w:tcPr>
            <w:tcW w:w="920" w:type="dxa"/>
            <w:tcBorders>
              <w:top w:val="single" w:color="000000" w:sz="4" w:space="0"/>
              <w:left w:val="single" w:color="000000" w:sz="4" w:space="0"/>
              <w:bottom w:val="single" w:color="000000" w:sz="4" w:space="0"/>
              <w:right w:val="single" w:color="000000" w:sz="4" w:space="0"/>
            </w:tcBorders>
            <w:vAlign w:val="center"/>
          </w:tcPr>
          <w:p w14:paraId="03CDCCE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181.00 </w:t>
            </w:r>
          </w:p>
        </w:tc>
        <w:tc>
          <w:tcPr>
            <w:tcW w:w="950" w:type="dxa"/>
            <w:tcBorders>
              <w:top w:val="single" w:color="000000" w:sz="4" w:space="0"/>
              <w:left w:val="single" w:color="000000" w:sz="4" w:space="0"/>
              <w:bottom w:val="single" w:color="000000" w:sz="4" w:space="0"/>
              <w:right w:val="single" w:color="000000" w:sz="4" w:space="0"/>
            </w:tcBorders>
            <w:vAlign w:val="center"/>
          </w:tcPr>
          <w:p w14:paraId="2C3CF36B">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175.57 </w:t>
            </w:r>
          </w:p>
        </w:tc>
        <w:tc>
          <w:tcPr>
            <w:tcW w:w="938" w:type="dxa"/>
            <w:tcBorders>
              <w:top w:val="single" w:color="000000" w:sz="4" w:space="0"/>
              <w:left w:val="single" w:color="000000" w:sz="4" w:space="0"/>
              <w:bottom w:val="single" w:color="000000" w:sz="4" w:space="0"/>
              <w:right w:val="single" w:color="000000" w:sz="4" w:space="0"/>
            </w:tcBorders>
            <w:vAlign w:val="center"/>
          </w:tcPr>
          <w:p w14:paraId="12EA2CD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97.00%</w:t>
            </w:r>
          </w:p>
        </w:tc>
      </w:tr>
      <w:tr w14:paraId="1FDD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34D1E005">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14:paraId="15FD5BCE">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高标准农田机井及配套项目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4B91F9A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年滑县四间房镇唐尓庄村高标准农田机井及配套项目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2EA7BE42">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113.63 </w:t>
            </w:r>
          </w:p>
        </w:tc>
        <w:tc>
          <w:tcPr>
            <w:tcW w:w="920" w:type="dxa"/>
            <w:tcBorders>
              <w:top w:val="single" w:color="000000" w:sz="4" w:space="0"/>
              <w:left w:val="single" w:color="000000" w:sz="4" w:space="0"/>
              <w:bottom w:val="single" w:color="000000" w:sz="4" w:space="0"/>
              <w:right w:val="single" w:color="000000" w:sz="4" w:space="0"/>
            </w:tcBorders>
            <w:vAlign w:val="center"/>
          </w:tcPr>
          <w:p w14:paraId="3ED3A3D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113.63 </w:t>
            </w:r>
          </w:p>
        </w:tc>
        <w:tc>
          <w:tcPr>
            <w:tcW w:w="950" w:type="dxa"/>
            <w:tcBorders>
              <w:top w:val="single" w:color="000000" w:sz="4" w:space="0"/>
              <w:left w:val="single" w:color="000000" w:sz="4" w:space="0"/>
              <w:bottom w:val="single" w:color="000000" w:sz="4" w:space="0"/>
              <w:right w:val="single" w:color="000000" w:sz="4" w:space="0"/>
            </w:tcBorders>
            <w:vAlign w:val="center"/>
          </w:tcPr>
          <w:p w14:paraId="16DC407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68.17 </w:t>
            </w:r>
          </w:p>
        </w:tc>
        <w:tc>
          <w:tcPr>
            <w:tcW w:w="938" w:type="dxa"/>
            <w:tcBorders>
              <w:top w:val="single" w:color="000000" w:sz="4" w:space="0"/>
              <w:left w:val="single" w:color="000000" w:sz="4" w:space="0"/>
              <w:bottom w:val="single" w:color="000000" w:sz="4" w:space="0"/>
              <w:right w:val="single" w:color="000000" w:sz="4" w:space="0"/>
            </w:tcBorders>
            <w:vAlign w:val="center"/>
          </w:tcPr>
          <w:p w14:paraId="67C1E76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59.99%</w:t>
            </w:r>
          </w:p>
        </w:tc>
      </w:tr>
      <w:tr w14:paraId="707B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71FC388D">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14:paraId="2984152F">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高标准农田机井及配套项目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3E3203B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年滑县八里营镇谢寨村高标准农田机井及配套项目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48E3AA7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153.14 </w:t>
            </w:r>
          </w:p>
        </w:tc>
        <w:tc>
          <w:tcPr>
            <w:tcW w:w="920" w:type="dxa"/>
            <w:tcBorders>
              <w:top w:val="single" w:color="000000" w:sz="4" w:space="0"/>
              <w:left w:val="single" w:color="000000" w:sz="4" w:space="0"/>
              <w:bottom w:val="single" w:color="000000" w:sz="4" w:space="0"/>
              <w:right w:val="single" w:color="000000" w:sz="4" w:space="0"/>
            </w:tcBorders>
            <w:vAlign w:val="center"/>
          </w:tcPr>
          <w:p w14:paraId="427D6D85">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153.14 </w:t>
            </w:r>
          </w:p>
        </w:tc>
        <w:tc>
          <w:tcPr>
            <w:tcW w:w="950" w:type="dxa"/>
            <w:tcBorders>
              <w:top w:val="single" w:color="000000" w:sz="4" w:space="0"/>
              <w:left w:val="single" w:color="000000" w:sz="4" w:space="0"/>
              <w:bottom w:val="single" w:color="000000" w:sz="4" w:space="0"/>
              <w:right w:val="single" w:color="000000" w:sz="4" w:space="0"/>
            </w:tcBorders>
            <w:vAlign w:val="center"/>
          </w:tcPr>
          <w:p w14:paraId="3FA8F9B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91.88 </w:t>
            </w:r>
          </w:p>
        </w:tc>
        <w:tc>
          <w:tcPr>
            <w:tcW w:w="938" w:type="dxa"/>
            <w:tcBorders>
              <w:top w:val="single" w:color="000000" w:sz="4" w:space="0"/>
              <w:left w:val="single" w:color="000000" w:sz="4" w:space="0"/>
              <w:bottom w:val="single" w:color="000000" w:sz="4" w:space="0"/>
              <w:right w:val="single" w:color="000000" w:sz="4" w:space="0"/>
            </w:tcBorders>
            <w:vAlign w:val="center"/>
          </w:tcPr>
          <w:p w14:paraId="0E97EBF9">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60.00%</w:t>
            </w:r>
          </w:p>
        </w:tc>
      </w:tr>
      <w:tr w14:paraId="03BA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348F4D2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14:paraId="24B25B12">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道路硬化项目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1EC4AE4F">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高平镇张八寨村道路硬化项目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43B92DB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26.04 </w:t>
            </w:r>
          </w:p>
        </w:tc>
        <w:tc>
          <w:tcPr>
            <w:tcW w:w="920" w:type="dxa"/>
            <w:tcBorders>
              <w:top w:val="single" w:color="000000" w:sz="4" w:space="0"/>
              <w:left w:val="single" w:color="000000" w:sz="4" w:space="0"/>
              <w:bottom w:val="single" w:color="000000" w:sz="4" w:space="0"/>
              <w:right w:val="single" w:color="000000" w:sz="4" w:space="0"/>
            </w:tcBorders>
            <w:vAlign w:val="center"/>
          </w:tcPr>
          <w:p w14:paraId="6DB885E0">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26.04 </w:t>
            </w:r>
          </w:p>
        </w:tc>
        <w:tc>
          <w:tcPr>
            <w:tcW w:w="950" w:type="dxa"/>
            <w:tcBorders>
              <w:top w:val="single" w:color="000000" w:sz="4" w:space="0"/>
              <w:left w:val="single" w:color="000000" w:sz="4" w:space="0"/>
              <w:bottom w:val="single" w:color="000000" w:sz="4" w:space="0"/>
              <w:right w:val="single" w:color="000000" w:sz="4" w:space="0"/>
            </w:tcBorders>
            <w:vAlign w:val="center"/>
          </w:tcPr>
          <w:p w14:paraId="667F41D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23.41 </w:t>
            </w:r>
          </w:p>
        </w:tc>
        <w:tc>
          <w:tcPr>
            <w:tcW w:w="938" w:type="dxa"/>
            <w:tcBorders>
              <w:top w:val="single" w:color="000000" w:sz="4" w:space="0"/>
              <w:left w:val="single" w:color="000000" w:sz="4" w:space="0"/>
              <w:bottom w:val="single" w:color="000000" w:sz="4" w:space="0"/>
              <w:right w:val="single" w:color="000000" w:sz="4" w:space="0"/>
            </w:tcBorders>
            <w:vAlign w:val="center"/>
          </w:tcPr>
          <w:p w14:paraId="79F73B9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89.90%</w:t>
            </w:r>
          </w:p>
        </w:tc>
      </w:tr>
      <w:tr w14:paraId="37E3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56AB40B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14:paraId="1D18E4C3">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道路硬化项目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A5F54B6">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八里营镇李冢上村道路硬化项目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2D183F7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14.75 </w:t>
            </w:r>
          </w:p>
        </w:tc>
        <w:tc>
          <w:tcPr>
            <w:tcW w:w="920" w:type="dxa"/>
            <w:tcBorders>
              <w:top w:val="single" w:color="000000" w:sz="4" w:space="0"/>
              <w:left w:val="single" w:color="000000" w:sz="4" w:space="0"/>
              <w:bottom w:val="single" w:color="000000" w:sz="4" w:space="0"/>
              <w:right w:val="single" w:color="000000" w:sz="4" w:space="0"/>
            </w:tcBorders>
            <w:vAlign w:val="center"/>
          </w:tcPr>
          <w:p w14:paraId="66EAB208">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14.75 </w:t>
            </w:r>
          </w:p>
        </w:tc>
        <w:tc>
          <w:tcPr>
            <w:tcW w:w="950" w:type="dxa"/>
            <w:tcBorders>
              <w:top w:val="single" w:color="000000" w:sz="4" w:space="0"/>
              <w:left w:val="single" w:color="000000" w:sz="4" w:space="0"/>
              <w:bottom w:val="single" w:color="000000" w:sz="4" w:space="0"/>
              <w:right w:val="single" w:color="000000" w:sz="4" w:space="0"/>
            </w:tcBorders>
            <w:vAlign w:val="center"/>
          </w:tcPr>
          <w:p w14:paraId="36A04FE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10.32 </w:t>
            </w:r>
          </w:p>
        </w:tc>
        <w:tc>
          <w:tcPr>
            <w:tcW w:w="938" w:type="dxa"/>
            <w:tcBorders>
              <w:top w:val="single" w:color="000000" w:sz="4" w:space="0"/>
              <w:left w:val="single" w:color="000000" w:sz="4" w:space="0"/>
              <w:bottom w:val="single" w:color="000000" w:sz="4" w:space="0"/>
              <w:right w:val="single" w:color="000000" w:sz="4" w:space="0"/>
            </w:tcBorders>
            <w:vAlign w:val="center"/>
          </w:tcPr>
          <w:p w14:paraId="3D54763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69.97%</w:t>
            </w:r>
          </w:p>
        </w:tc>
      </w:tr>
      <w:tr w14:paraId="3D75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699AF8E8">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14:paraId="3DCB8FFD">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20C3B2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年八里营镇刘苑村塑料大棚扶持项目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6D570AFF">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465.61 </w:t>
            </w:r>
          </w:p>
        </w:tc>
        <w:tc>
          <w:tcPr>
            <w:tcW w:w="920" w:type="dxa"/>
            <w:tcBorders>
              <w:top w:val="single" w:color="000000" w:sz="4" w:space="0"/>
              <w:left w:val="single" w:color="000000" w:sz="4" w:space="0"/>
              <w:bottom w:val="single" w:color="000000" w:sz="4" w:space="0"/>
              <w:right w:val="single" w:color="000000" w:sz="4" w:space="0"/>
            </w:tcBorders>
            <w:vAlign w:val="center"/>
          </w:tcPr>
          <w:p w14:paraId="4CB08396">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465.61 </w:t>
            </w:r>
          </w:p>
        </w:tc>
        <w:tc>
          <w:tcPr>
            <w:tcW w:w="950" w:type="dxa"/>
            <w:tcBorders>
              <w:top w:val="single" w:color="000000" w:sz="4" w:space="0"/>
              <w:left w:val="single" w:color="000000" w:sz="4" w:space="0"/>
              <w:bottom w:val="single" w:color="000000" w:sz="4" w:space="0"/>
              <w:right w:val="single" w:color="000000" w:sz="4" w:space="0"/>
            </w:tcBorders>
            <w:vAlign w:val="center"/>
          </w:tcPr>
          <w:p w14:paraId="15FD4EB8">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418.98 </w:t>
            </w:r>
          </w:p>
        </w:tc>
        <w:tc>
          <w:tcPr>
            <w:tcW w:w="938" w:type="dxa"/>
            <w:tcBorders>
              <w:top w:val="single" w:color="000000" w:sz="4" w:space="0"/>
              <w:left w:val="single" w:color="000000" w:sz="4" w:space="0"/>
              <w:bottom w:val="single" w:color="000000" w:sz="4" w:space="0"/>
              <w:right w:val="single" w:color="000000" w:sz="4" w:space="0"/>
            </w:tcBorders>
            <w:vAlign w:val="center"/>
          </w:tcPr>
          <w:p w14:paraId="77DA8D4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89.99%</w:t>
            </w:r>
          </w:p>
        </w:tc>
      </w:tr>
      <w:tr w14:paraId="0265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09F1FB72">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14:paraId="20DF83D4">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5C1050D">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年高平镇大子厢后街村塑料大棚扶持项目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4578F1D9">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694.16 </w:t>
            </w:r>
          </w:p>
        </w:tc>
        <w:tc>
          <w:tcPr>
            <w:tcW w:w="920" w:type="dxa"/>
            <w:tcBorders>
              <w:top w:val="single" w:color="000000" w:sz="4" w:space="0"/>
              <w:left w:val="single" w:color="000000" w:sz="4" w:space="0"/>
              <w:bottom w:val="single" w:color="000000" w:sz="4" w:space="0"/>
              <w:right w:val="single" w:color="000000" w:sz="4" w:space="0"/>
            </w:tcBorders>
            <w:vAlign w:val="center"/>
          </w:tcPr>
          <w:p w14:paraId="033AD32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694.16 </w:t>
            </w:r>
          </w:p>
        </w:tc>
        <w:tc>
          <w:tcPr>
            <w:tcW w:w="950" w:type="dxa"/>
            <w:tcBorders>
              <w:top w:val="single" w:color="000000" w:sz="4" w:space="0"/>
              <w:left w:val="single" w:color="000000" w:sz="4" w:space="0"/>
              <w:bottom w:val="single" w:color="000000" w:sz="4" w:space="0"/>
              <w:right w:val="single" w:color="000000" w:sz="4" w:space="0"/>
            </w:tcBorders>
            <w:vAlign w:val="center"/>
          </w:tcPr>
          <w:p w14:paraId="3D74076B">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624.74 </w:t>
            </w:r>
          </w:p>
        </w:tc>
        <w:tc>
          <w:tcPr>
            <w:tcW w:w="938" w:type="dxa"/>
            <w:tcBorders>
              <w:top w:val="single" w:color="000000" w:sz="4" w:space="0"/>
              <w:left w:val="single" w:color="000000" w:sz="4" w:space="0"/>
              <w:bottom w:val="single" w:color="000000" w:sz="4" w:space="0"/>
              <w:right w:val="single" w:color="000000" w:sz="4" w:space="0"/>
            </w:tcBorders>
            <w:vAlign w:val="center"/>
          </w:tcPr>
          <w:p w14:paraId="4CB7930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90.00%</w:t>
            </w:r>
          </w:p>
        </w:tc>
      </w:tr>
      <w:tr w14:paraId="1535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6AA80121">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14:paraId="066C12C9">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2EDEF4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年慈周寨镇后柿园村日光温室扶持项目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503CAF5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643.33 </w:t>
            </w:r>
          </w:p>
        </w:tc>
        <w:tc>
          <w:tcPr>
            <w:tcW w:w="920" w:type="dxa"/>
            <w:tcBorders>
              <w:top w:val="single" w:color="000000" w:sz="4" w:space="0"/>
              <w:left w:val="single" w:color="000000" w:sz="4" w:space="0"/>
              <w:bottom w:val="single" w:color="000000" w:sz="4" w:space="0"/>
              <w:right w:val="single" w:color="000000" w:sz="4" w:space="0"/>
            </w:tcBorders>
            <w:vAlign w:val="center"/>
          </w:tcPr>
          <w:p w14:paraId="7405B245">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643.33 </w:t>
            </w:r>
          </w:p>
        </w:tc>
        <w:tc>
          <w:tcPr>
            <w:tcW w:w="950" w:type="dxa"/>
            <w:tcBorders>
              <w:top w:val="single" w:color="000000" w:sz="4" w:space="0"/>
              <w:left w:val="single" w:color="000000" w:sz="4" w:space="0"/>
              <w:bottom w:val="single" w:color="000000" w:sz="4" w:space="0"/>
              <w:right w:val="single" w:color="000000" w:sz="4" w:space="0"/>
            </w:tcBorders>
            <w:vAlign w:val="center"/>
          </w:tcPr>
          <w:p w14:paraId="33A9B7BF">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578.99 </w:t>
            </w:r>
          </w:p>
        </w:tc>
        <w:tc>
          <w:tcPr>
            <w:tcW w:w="938" w:type="dxa"/>
            <w:tcBorders>
              <w:top w:val="single" w:color="000000" w:sz="4" w:space="0"/>
              <w:left w:val="single" w:color="000000" w:sz="4" w:space="0"/>
              <w:bottom w:val="single" w:color="000000" w:sz="4" w:space="0"/>
              <w:right w:val="single" w:color="000000" w:sz="4" w:space="0"/>
            </w:tcBorders>
            <w:vAlign w:val="center"/>
          </w:tcPr>
          <w:p w14:paraId="3DA75D6F">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90.00%</w:t>
            </w:r>
          </w:p>
        </w:tc>
      </w:tr>
      <w:tr w14:paraId="1B47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172EE735">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14:paraId="1EF8E770">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设施农业产业扶持项目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DB13460">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年城关街道办事处史固村塑料大棚扶持项目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1A0A585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523.14 </w:t>
            </w:r>
          </w:p>
        </w:tc>
        <w:tc>
          <w:tcPr>
            <w:tcW w:w="920" w:type="dxa"/>
            <w:tcBorders>
              <w:top w:val="single" w:color="000000" w:sz="4" w:space="0"/>
              <w:left w:val="single" w:color="000000" w:sz="4" w:space="0"/>
              <w:bottom w:val="single" w:color="000000" w:sz="4" w:space="0"/>
              <w:right w:val="single" w:color="000000" w:sz="4" w:space="0"/>
            </w:tcBorders>
            <w:vAlign w:val="center"/>
          </w:tcPr>
          <w:p w14:paraId="05C1482B">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523.14 </w:t>
            </w:r>
          </w:p>
        </w:tc>
        <w:tc>
          <w:tcPr>
            <w:tcW w:w="950" w:type="dxa"/>
            <w:tcBorders>
              <w:top w:val="single" w:color="000000" w:sz="4" w:space="0"/>
              <w:left w:val="single" w:color="000000" w:sz="4" w:space="0"/>
              <w:bottom w:val="single" w:color="000000" w:sz="4" w:space="0"/>
              <w:right w:val="single" w:color="000000" w:sz="4" w:space="0"/>
            </w:tcBorders>
            <w:vAlign w:val="center"/>
          </w:tcPr>
          <w:p w14:paraId="35971EC4">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523.14 </w:t>
            </w:r>
          </w:p>
        </w:tc>
        <w:tc>
          <w:tcPr>
            <w:tcW w:w="938" w:type="dxa"/>
            <w:tcBorders>
              <w:top w:val="single" w:color="000000" w:sz="4" w:space="0"/>
              <w:left w:val="single" w:color="000000" w:sz="4" w:space="0"/>
              <w:bottom w:val="single" w:color="000000" w:sz="4" w:space="0"/>
              <w:right w:val="single" w:color="000000" w:sz="4" w:space="0"/>
            </w:tcBorders>
            <w:vAlign w:val="center"/>
          </w:tcPr>
          <w:p w14:paraId="408A639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11E3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2E730762">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14:paraId="3D576756">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村集体经济发展项目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571E2C0D">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年老店镇东马庄村面粉加工村集体经济发展扶持项目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576C5EF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2,440 </w:t>
            </w:r>
          </w:p>
        </w:tc>
        <w:tc>
          <w:tcPr>
            <w:tcW w:w="920" w:type="dxa"/>
            <w:tcBorders>
              <w:top w:val="single" w:color="000000" w:sz="4" w:space="0"/>
              <w:left w:val="single" w:color="000000" w:sz="4" w:space="0"/>
              <w:bottom w:val="single" w:color="000000" w:sz="4" w:space="0"/>
              <w:right w:val="single" w:color="000000" w:sz="4" w:space="0"/>
            </w:tcBorders>
            <w:vAlign w:val="center"/>
          </w:tcPr>
          <w:p w14:paraId="776FD91D">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2,440 </w:t>
            </w:r>
          </w:p>
        </w:tc>
        <w:tc>
          <w:tcPr>
            <w:tcW w:w="950" w:type="dxa"/>
            <w:tcBorders>
              <w:top w:val="single" w:color="000000" w:sz="4" w:space="0"/>
              <w:left w:val="single" w:color="000000" w:sz="4" w:space="0"/>
              <w:bottom w:val="single" w:color="000000" w:sz="4" w:space="0"/>
              <w:right w:val="single" w:color="000000" w:sz="4" w:space="0"/>
            </w:tcBorders>
            <w:vAlign w:val="center"/>
          </w:tcPr>
          <w:p w14:paraId="49AEE02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2,440</w:t>
            </w:r>
          </w:p>
        </w:tc>
        <w:tc>
          <w:tcPr>
            <w:tcW w:w="938" w:type="dxa"/>
            <w:tcBorders>
              <w:top w:val="single" w:color="000000" w:sz="4" w:space="0"/>
              <w:left w:val="single" w:color="000000" w:sz="4" w:space="0"/>
              <w:bottom w:val="single" w:color="000000" w:sz="4" w:space="0"/>
              <w:right w:val="single" w:color="000000" w:sz="4" w:space="0"/>
            </w:tcBorders>
            <w:vAlign w:val="center"/>
          </w:tcPr>
          <w:p w14:paraId="23228630">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137E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6EB6370E">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14:paraId="24A544A3">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村集体经济发展项目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7D5E666A">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年万古镇马成精村食品加工村集体经济发展扶持项目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43681980">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1,000 </w:t>
            </w:r>
          </w:p>
        </w:tc>
        <w:tc>
          <w:tcPr>
            <w:tcW w:w="920" w:type="dxa"/>
            <w:tcBorders>
              <w:top w:val="single" w:color="000000" w:sz="4" w:space="0"/>
              <w:left w:val="single" w:color="000000" w:sz="4" w:space="0"/>
              <w:bottom w:val="single" w:color="000000" w:sz="4" w:space="0"/>
              <w:right w:val="single" w:color="000000" w:sz="4" w:space="0"/>
            </w:tcBorders>
            <w:vAlign w:val="center"/>
          </w:tcPr>
          <w:p w14:paraId="083514B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1,000 </w:t>
            </w:r>
          </w:p>
        </w:tc>
        <w:tc>
          <w:tcPr>
            <w:tcW w:w="950" w:type="dxa"/>
            <w:tcBorders>
              <w:top w:val="single" w:color="000000" w:sz="4" w:space="0"/>
              <w:left w:val="single" w:color="000000" w:sz="4" w:space="0"/>
              <w:bottom w:val="single" w:color="000000" w:sz="4" w:space="0"/>
              <w:right w:val="single" w:color="000000" w:sz="4" w:space="0"/>
            </w:tcBorders>
            <w:vAlign w:val="center"/>
          </w:tcPr>
          <w:p w14:paraId="6C7912B7">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1,000 </w:t>
            </w:r>
          </w:p>
        </w:tc>
        <w:tc>
          <w:tcPr>
            <w:tcW w:w="938" w:type="dxa"/>
            <w:tcBorders>
              <w:top w:val="single" w:color="000000" w:sz="4" w:space="0"/>
              <w:left w:val="single" w:color="000000" w:sz="4" w:space="0"/>
              <w:bottom w:val="single" w:color="000000" w:sz="4" w:space="0"/>
              <w:right w:val="single" w:color="000000" w:sz="4" w:space="0"/>
            </w:tcBorders>
            <w:vAlign w:val="center"/>
          </w:tcPr>
          <w:p w14:paraId="7314EB7A">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27A7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2A8D9A2F">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14:paraId="0AC925A9">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村集体经济发展项目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1AAE8D18">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年留固镇大新庄村蔬菜初加工村集体经济发展扶持项目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1367C669">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250.00 </w:t>
            </w:r>
          </w:p>
        </w:tc>
        <w:tc>
          <w:tcPr>
            <w:tcW w:w="920" w:type="dxa"/>
            <w:tcBorders>
              <w:top w:val="single" w:color="000000" w:sz="4" w:space="0"/>
              <w:left w:val="single" w:color="000000" w:sz="4" w:space="0"/>
              <w:bottom w:val="single" w:color="000000" w:sz="4" w:space="0"/>
              <w:right w:val="single" w:color="000000" w:sz="4" w:space="0"/>
            </w:tcBorders>
            <w:vAlign w:val="center"/>
          </w:tcPr>
          <w:p w14:paraId="28B6B17D">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250.00 </w:t>
            </w:r>
          </w:p>
        </w:tc>
        <w:tc>
          <w:tcPr>
            <w:tcW w:w="950" w:type="dxa"/>
            <w:tcBorders>
              <w:top w:val="single" w:color="000000" w:sz="4" w:space="0"/>
              <w:left w:val="single" w:color="000000" w:sz="4" w:space="0"/>
              <w:bottom w:val="single" w:color="000000" w:sz="4" w:space="0"/>
              <w:right w:val="single" w:color="000000" w:sz="4" w:space="0"/>
            </w:tcBorders>
            <w:vAlign w:val="center"/>
          </w:tcPr>
          <w:p w14:paraId="711DC22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250.00 </w:t>
            </w:r>
          </w:p>
        </w:tc>
        <w:tc>
          <w:tcPr>
            <w:tcW w:w="938" w:type="dxa"/>
            <w:tcBorders>
              <w:top w:val="single" w:color="000000" w:sz="4" w:space="0"/>
              <w:left w:val="single" w:color="000000" w:sz="4" w:space="0"/>
              <w:bottom w:val="single" w:color="000000" w:sz="4" w:space="0"/>
              <w:right w:val="single" w:color="000000" w:sz="4" w:space="0"/>
            </w:tcBorders>
            <w:vAlign w:val="center"/>
          </w:tcPr>
          <w:p w14:paraId="234C27C0">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312A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14:paraId="0ACBAB70">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14:paraId="6D74008D">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rPr>
              <w:t>村集体经济发展项目</w:t>
            </w:r>
          </w:p>
        </w:tc>
        <w:tc>
          <w:tcPr>
            <w:tcW w:w="2810" w:type="dxa"/>
            <w:tcBorders>
              <w:top w:val="single" w:color="000000" w:sz="4" w:space="0"/>
              <w:left w:val="single" w:color="000000" w:sz="4" w:space="0"/>
              <w:bottom w:val="single" w:color="000000" w:sz="4" w:space="0"/>
              <w:right w:val="single" w:color="000000" w:sz="4" w:space="0"/>
            </w:tcBorders>
            <w:vAlign w:val="center"/>
          </w:tcPr>
          <w:p w14:paraId="53009B50">
            <w:pPr>
              <w:widowControl/>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滑县</w:t>
            </w:r>
            <w:r>
              <w:rPr>
                <w:rFonts w:hint="default" w:ascii="Times New Roman" w:hAnsi="Times New Roman" w:eastAsia="宋体" w:cs="Times New Roman"/>
                <w:i w:val="0"/>
                <w:iCs w:val="0"/>
                <w:color w:val="000000"/>
                <w:kern w:val="0"/>
                <w:sz w:val="20"/>
                <w:szCs w:val="20"/>
                <w:u w:val="none"/>
                <w:lang w:val="en-US" w:eastAsia="zh-CN"/>
              </w:rPr>
              <w:t>2022</w:t>
            </w:r>
            <w:r>
              <w:rPr>
                <w:rFonts w:hint="eastAsia" w:ascii="宋体" w:hAnsi="宋体" w:eastAsia="宋体" w:cs="宋体"/>
                <w:i w:val="0"/>
                <w:iCs w:val="0"/>
                <w:color w:val="000000"/>
                <w:kern w:val="0"/>
                <w:sz w:val="20"/>
                <w:szCs w:val="20"/>
                <w:u w:val="none"/>
                <w:lang w:val="en-US" w:eastAsia="zh-CN"/>
              </w:rPr>
              <w:t>年八里营镇东街村花生初加工村集体经济发展扶持项目</w:t>
            </w:r>
          </w:p>
        </w:tc>
        <w:tc>
          <w:tcPr>
            <w:tcW w:w="950" w:type="dxa"/>
            <w:tcBorders>
              <w:top w:val="single" w:color="000000" w:sz="4" w:space="0"/>
              <w:left w:val="single" w:color="000000" w:sz="4" w:space="0"/>
              <w:bottom w:val="single" w:color="000000" w:sz="4" w:space="0"/>
              <w:right w:val="single" w:color="000000" w:sz="4" w:space="0"/>
            </w:tcBorders>
            <w:vAlign w:val="center"/>
          </w:tcPr>
          <w:p w14:paraId="0CAF8EEE">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108.00 </w:t>
            </w:r>
          </w:p>
        </w:tc>
        <w:tc>
          <w:tcPr>
            <w:tcW w:w="920" w:type="dxa"/>
            <w:tcBorders>
              <w:top w:val="single" w:color="000000" w:sz="4" w:space="0"/>
              <w:left w:val="single" w:color="000000" w:sz="4" w:space="0"/>
              <w:bottom w:val="single" w:color="000000" w:sz="4" w:space="0"/>
              <w:right w:val="single" w:color="000000" w:sz="4" w:space="0"/>
            </w:tcBorders>
            <w:vAlign w:val="center"/>
          </w:tcPr>
          <w:p w14:paraId="6B798F4C">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108.00 </w:t>
            </w:r>
          </w:p>
        </w:tc>
        <w:tc>
          <w:tcPr>
            <w:tcW w:w="950" w:type="dxa"/>
            <w:tcBorders>
              <w:top w:val="single" w:color="000000" w:sz="4" w:space="0"/>
              <w:left w:val="single" w:color="000000" w:sz="4" w:space="0"/>
              <w:bottom w:val="single" w:color="000000" w:sz="4" w:space="0"/>
              <w:right w:val="single" w:color="000000" w:sz="4" w:space="0"/>
            </w:tcBorders>
            <w:vAlign w:val="center"/>
          </w:tcPr>
          <w:p w14:paraId="116C7956">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 xml:space="preserve">108.00 </w:t>
            </w:r>
          </w:p>
        </w:tc>
        <w:tc>
          <w:tcPr>
            <w:tcW w:w="938" w:type="dxa"/>
            <w:tcBorders>
              <w:top w:val="single" w:color="000000" w:sz="4" w:space="0"/>
              <w:left w:val="single" w:color="000000" w:sz="4" w:space="0"/>
              <w:bottom w:val="single" w:color="000000" w:sz="4" w:space="0"/>
              <w:right w:val="single" w:color="000000" w:sz="4" w:space="0"/>
            </w:tcBorders>
            <w:vAlign w:val="center"/>
          </w:tcPr>
          <w:p w14:paraId="7A482363">
            <w:pPr>
              <w:widowControl/>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rPr>
              <w:t>100.00%</w:t>
            </w:r>
          </w:p>
        </w:tc>
      </w:tr>
      <w:tr w14:paraId="34C2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67" w:type="dxa"/>
            <w:gridSpan w:val="3"/>
            <w:tcBorders>
              <w:top w:val="single" w:color="000000" w:sz="4" w:space="0"/>
              <w:left w:val="single" w:color="000000" w:sz="4" w:space="0"/>
              <w:bottom w:val="single" w:color="000000" w:sz="4" w:space="0"/>
              <w:right w:val="single" w:color="000000" w:sz="4" w:space="0"/>
            </w:tcBorders>
            <w:vAlign w:val="center"/>
          </w:tcPr>
          <w:p w14:paraId="64A418F1">
            <w:pPr>
              <w:jc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合计</w:t>
            </w:r>
          </w:p>
        </w:tc>
        <w:tc>
          <w:tcPr>
            <w:tcW w:w="950" w:type="dxa"/>
            <w:tcBorders>
              <w:top w:val="single" w:color="000000" w:sz="4" w:space="0"/>
              <w:left w:val="single" w:color="000000" w:sz="4" w:space="0"/>
              <w:bottom w:val="single" w:color="000000" w:sz="4" w:space="0"/>
              <w:right w:val="single" w:color="000000" w:sz="4" w:space="0"/>
            </w:tcBorders>
            <w:vAlign w:val="center"/>
          </w:tcPr>
          <w:p w14:paraId="3B4DDD74">
            <w:pPr>
              <w:widowControl/>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 xml:space="preserve">6,961.40 </w:t>
            </w:r>
          </w:p>
        </w:tc>
        <w:tc>
          <w:tcPr>
            <w:tcW w:w="920" w:type="dxa"/>
            <w:tcBorders>
              <w:top w:val="single" w:color="000000" w:sz="4" w:space="0"/>
              <w:left w:val="single" w:color="000000" w:sz="4" w:space="0"/>
              <w:bottom w:val="single" w:color="000000" w:sz="4" w:space="0"/>
              <w:right w:val="single" w:color="000000" w:sz="4" w:space="0"/>
            </w:tcBorders>
            <w:vAlign w:val="center"/>
          </w:tcPr>
          <w:p w14:paraId="248B4F73">
            <w:pPr>
              <w:widowControl/>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 xml:space="preserve">6,958.76 </w:t>
            </w:r>
          </w:p>
        </w:tc>
        <w:tc>
          <w:tcPr>
            <w:tcW w:w="950" w:type="dxa"/>
            <w:tcBorders>
              <w:top w:val="single" w:color="000000" w:sz="4" w:space="0"/>
              <w:left w:val="single" w:color="000000" w:sz="4" w:space="0"/>
              <w:bottom w:val="single" w:color="000000" w:sz="4" w:space="0"/>
              <w:right w:val="single" w:color="000000" w:sz="4" w:space="0"/>
            </w:tcBorders>
            <w:vAlign w:val="center"/>
          </w:tcPr>
          <w:p w14:paraId="7EFE2983">
            <w:pPr>
              <w:widowControl/>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 xml:space="preserve">6,650.88 </w:t>
            </w:r>
          </w:p>
        </w:tc>
        <w:tc>
          <w:tcPr>
            <w:tcW w:w="938" w:type="dxa"/>
            <w:tcBorders>
              <w:top w:val="single" w:color="000000" w:sz="4" w:space="0"/>
              <w:left w:val="single" w:color="000000" w:sz="4" w:space="0"/>
              <w:bottom w:val="single" w:color="000000" w:sz="4" w:space="0"/>
              <w:right w:val="single" w:color="000000" w:sz="4" w:space="0"/>
            </w:tcBorders>
            <w:vAlign w:val="center"/>
          </w:tcPr>
          <w:p w14:paraId="386D018A">
            <w:pPr>
              <w:widowControl/>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rPr>
              <w:t>95.58%</w:t>
            </w:r>
          </w:p>
        </w:tc>
      </w:tr>
    </w:tbl>
    <w:p w14:paraId="47E8112C">
      <w:pPr>
        <w:pStyle w:val="4"/>
        <w:rPr>
          <w:rFonts w:hint="default"/>
        </w:rPr>
      </w:pPr>
      <w:bookmarkStart w:id="35" w:name="_Toc23264898"/>
      <w:bookmarkStart w:id="36" w:name="_Toc11166"/>
      <w:r>
        <w:rPr>
          <w:rFonts w:hint="eastAsia"/>
          <w:lang w:eastAsia="zh-CN"/>
        </w:rPr>
        <w:t>（</w:t>
      </w:r>
      <w:r>
        <w:rPr>
          <w:rFonts w:hint="eastAsia"/>
          <w:lang w:val="en-US" w:eastAsia="zh-CN"/>
        </w:rPr>
        <w:t>四</w:t>
      </w:r>
      <w:r>
        <w:rPr>
          <w:rFonts w:hint="eastAsia"/>
          <w:lang w:eastAsia="zh-CN"/>
        </w:rPr>
        <w:t>）</w:t>
      </w:r>
      <w:r>
        <w:rPr>
          <w:rFonts w:hint="default"/>
        </w:rPr>
        <w:t>项目组织管理</w:t>
      </w:r>
      <w:bookmarkEnd w:id="35"/>
      <w:bookmarkEnd w:id="36"/>
    </w:p>
    <w:p w14:paraId="7D470514">
      <w:pPr>
        <w:pStyle w:val="5"/>
        <w:rPr>
          <w:rFonts w:hint="default"/>
        </w:rPr>
      </w:pPr>
      <w:bookmarkStart w:id="37" w:name="_Toc23264899"/>
      <w:r>
        <w:rPr>
          <w:rFonts w:hint="eastAsia"/>
          <w:lang w:val="en-US" w:eastAsia="zh-CN"/>
        </w:rPr>
        <w:t>1.</w:t>
      </w:r>
      <w:r>
        <w:rPr>
          <w:rFonts w:hint="default"/>
        </w:rPr>
        <w:t>组织管理机构</w:t>
      </w:r>
      <w:bookmarkEnd w:id="37"/>
    </w:p>
    <w:p w14:paraId="6AAB14B7">
      <w:pPr>
        <w:pStyle w:val="26"/>
        <w:rPr>
          <w:rFonts w:hint="default" w:ascii="Times New Roman" w:hAnsi="Times New Roman" w:cs="Times New Roman"/>
          <w:lang w:eastAsia="zh-CN"/>
        </w:rPr>
      </w:pPr>
      <w:bookmarkStart w:id="38" w:name="_Toc23264904"/>
      <w:r>
        <w:rPr>
          <w:rFonts w:hint="default" w:ascii="Times New Roman" w:hAnsi="Times New Roman" w:cs="Times New Roman"/>
          <w:b/>
          <w:bCs/>
        </w:rPr>
        <w:t>财政部门</w:t>
      </w:r>
      <w:r>
        <w:rPr>
          <w:rFonts w:hint="default" w:ascii="Times New Roman" w:hAnsi="Times New Roman" w:cs="Times New Roman"/>
          <w:b/>
          <w:bCs/>
          <w:lang w:eastAsia="zh-CN"/>
        </w:rPr>
        <w:t>：</w:t>
      </w:r>
      <w:r>
        <w:rPr>
          <w:rFonts w:hint="default" w:ascii="Times New Roman" w:hAnsi="Times New Roman" w:cs="Times New Roman"/>
          <w:lang w:eastAsia="zh-CN"/>
        </w:rPr>
        <w:t>按乡村振兴部门会同业务主管部门提出的资金分配意见或方案，及时按规定的规模、时间下达或支付资金；按照政府采购法、实施条例和有关规定履行政府采购监督管理职责；指导乡村振兴、农业农村、交通、住建等业务主管部门加强资金监管和绩效管理</w:t>
      </w:r>
      <w:r>
        <w:rPr>
          <w:rFonts w:hint="eastAsia" w:cs="Times New Roman"/>
          <w:lang w:eastAsia="zh-CN"/>
        </w:rPr>
        <w:t>。</w:t>
      </w:r>
    </w:p>
    <w:p w14:paraId="48283DF2">
      <w:pPr>
        <w:pStyle w:val="26"/>
        <w:rPr>
          <w:rFonts w:hint="default" w:ascii="Times New Roman" w:hAnsi="Times New Roman" w:cs="Times New Roman"/>
          <w:lang w:eastAsia="zh-CN"/>
        </w:rPr>
      </w:pPr>
      <w:r>
        <w:rPr>
          <w:rFonts w:hint="default" w:ascii="Times New Roman" w:hAnsi="Times New Roman" w:cs="Times New Roman"/>
          <w:b/>
          <w:bCs/>
          <w:lang w:eastAsia="zh-CN"/>
        </w:rPr>
        <w:t>乡村振兴部门：</w:t>
      </w:r>
      <w:r>
        <w:rPr>
          <w:rFonts w:hint="default" w:ascii="Times New Roman" w:hAnsi="Times New Roman" w:cs="Times New Roman"/>
          <w:lang w:eastAsia="zh-CN"/>
        </w:rPr>
        <w:t>负责指导有关单位和部门精准识别脱贫户和边缘易致贫户并按规定建设巩固拓展脱贫攻坚成果和乡村振兴项目库；按照有关规定和要求及时提出资金分配方案；督促项目实施单位按计划和实施方案要求完成项目建设内容。</w:t>
      </w:r>
    </w:p>
    <w:p w14:paraId="68218C6A">
      <w:pPr>
        <w:pStyle w:val="26"/>
        <w:rPr>
          <w:rFonts w:hint="default" w:ascii="Times New Roman" w:hAnsi="Times New Roman" w:cs="Times New Roman"/>
          <w:lang w:eastAsia="zh-CN"/>
        </w:rPr>
      </w:pPr>
      <w:r>
        <w:rPr>
          <w:rFonts w:hint="default" w:ascii="Times New Roman" w:hAnsi="Times New Roman" w:cs="Times New Roman"/>
          <w:b/>
          <w:bCs/>
          <w:lang w:eastAsia="zh-CN"/>
        </w:rPr>
        <w:t>农业农村、交通、住建等业务主管部门：</w:t>
      </w:r>
      <w:r>
        <w:rPr>
          <w:rFonts w:hint="default" w:ascii="Times New Roman" w:hAnsi="Times New Roman" w:cs="Times New Roman"/>
          <w:lang w:eastAsia="zh-CN"/>
        </w:rPr>
        <w:t>按照部门规划及时提出资金分配建议方案；负责资金和项目使用管理、绩效管理、监督管理等工作，按照权责对等原则落实监管责任。</w:t>
      </w:r>
    </w:p>
    <w:p w14:paraId="7074E5FC">
      <w:pPr>
        <w:pStyle w:val="26"/>
        <w:rPr>
          <w:rFonts w:hint="default" w:ascii="Times New Roman" w:hAnsi="Times New Roman" w:cs="Times New Roman"/>
          <w:lang w:eastAsia="zh-CN"/>
        </w:rPr>
      </w:pPr>
      <w:r>
        <w:rPr>
          <w:rFonts w:hint="default" w:ascii="Times New Roman" w:hAnsi="Times New Roman" w:cs="Times New Roman"/>
          <w:b/>
          <w:bCs/>
          <w:lang w:eastAsia="zh-CN"/>
        </w:rPr>
        <w:t>各乡镇政府、街道办事处：</w:t>
      </w:r>
      <w:r>
        <w:rPr>
          <w:rFonts w:hint="default" w:ascii="Times New Roman" w:hAnsi="Times New Roman" w:cs="Times New Roman"/>
          <w:lang w:eastAsia="zh-CN"/>
        </w:rPr>
        <w:t>负责精准识别脱贫户和边缘易致贫户；严格执行国家、</w:t>
      </w:r>
      <w:r>
        <w:rPr>
          <w:rFonts w:hint="default" w:ascii="Times New Roman" w:hAnsi="Times New Roman" w:cs="Times New Roman"/>
          <w:lang w:val="en-US" w:eastAsia="zh-CN"/>
        </w:rPr>
        <w:t>省、市确定的</w:t>
      </w:r>
      <w:r>
        <w:rPr>
          <w:rFonts w:hint="default" w:ascii="Times New Roman" w:hAnsi="Times New Roman" w:cs="Times New Roman"/>
          <w:lang w:eastAsia="zh-CN"/>
        </w:rPr>
        <w:t>工程建设标准和定额；严格按照有关规定报备巩固拓展脱贫攻坚成果实施计划调整方案；负责巩固拓展脱贫攻坚成果同乡村振兴有效衔接资金使用管理工作并按规定及时审核报账资料的真实性和合规性；负责项目的论证、实施等工作；负责项目的前期准备及日常监督检查、竣工验收等工作；督促项目实施单位按计划和实施方案要求完成项目建设内容。</w:t>
      </w:r>
    </w:p>
    <w:p w14:paraId="1830C50D">
      <w:pPr>
        <w:pStyle w:val="26"/>
        <w:rPr>
          <w:rFonts w:hint="default" w:ascii="Times New Roman" w:hAnsi="Times New Roman" w:cs="Times New Roman"/>
          <w:lang w:eastAsia="zh-CN"/>
        </w:rPr>
      </w:pPr>
      <w:r>
        <w:rPr>
          <w:rFonts w:hint="default" w:ascii="Times New Roman" w:hAnsi="Times New Roman" w:cs="Times New Roman"/>
          <w:b/>
          <w:bCs/>
          <w:lang w:eastAsia="zh-CN"/>
        </w:rPr>
        <w:t>项目实施单位：</w:t>
      </w:r>
      <w:r>
        <w:rPr>
          <w:rFonts w:hint="default" w:ascii="Times New Roman" w:hAnsi="Times New Roman" w:cs="Times New Roman"/>
          <w:lang w:eastAsia="zh-CN"/>
        </w:rPr>
        <w:t>按上级项目指南和有关文件向项目主管部门提交衔接资金申报材料，并对申报材料的真实性、完整性、合规性负责；严格按照政府采购和招投标有关规定实施政府采购和招投标；根据下达的资金项目计划组织项目实施，在项目实施过程中，督促施工单位根据项目建设合同和设计要求进行施工并严格执行有关行业规范、建设标准；负责建立巩固拓展脱贫攻坚成果同乡村振兴有效衔接项目资金专账及会计核算工作；加强资金使用管理，按规定用途和项目实施方案要求使用资金；负责项目资金报账，对提交报账资料的真实性和合规性负责；负责管理项目档案；充分做好项目前期准备工作并积极组织实施，及时申请业务主管部门及乡村振兴部门验收项目，完善项目竣工决算工作。配合主管部门做好项目竣工验收、绩效考评等工作。</w:t>
      </w:r>
    </w:p>
    <w:bookmarkEnd w:id="38"/>
    <w:p w14:paraId="46299ACE">
      <w:pPr>
        <w:pStyle w:val="5"/>
        <w:rPr>
          <w:rFonts w:hint="default"/>
        </w:rPr>
      </w:pPr>
      <w:bookmarkStart w:id="39" w:name="_Toc23264905"/>
      <w:r>
        <w:rPr>
          <w:rFonts w:hint="eastAsia"/>
          <w:lang w:val="en-US" w:eastAsia="zh-CN"/>
        </w:rPr>
        <w:t>2.</w:t>
      </w:r>
      <w:r>
        <w:rPr>
          <w:rFonts w:hint="default"/>
        </w:rPr>
        <w:t>项目</w:t>
      </w:r>
      <w:r>
        <w:rPr>
          <w:rFonts w:hint="default"/>
          <w:lang w:val="en-US" w:eastAsia="zh-CN"/>
        </w:rPr>
        <w:t>资金</w:t>
      </w:r>
      <w:r>
        <w:rPr>
          <w:rFonts w:hint="default"/>
        </w:rPr>
        <w:t>管理情况</w:t>
      </w:r>
      <w:bookmarkEnd w:id="39"/>
    </w:p>
    <w:p w14:paraId="10C16589">
      <w:pPr>
        <w:pStyle w:val="26"/>
        <w:rPr>
          <w:rFonts w:hint="default" w:ascii="Times New Roman" w:hAnsi="Times New Roman" w:cs="Times New Roman"/>
        </w:rPr>
      </w:pPr>
      <w:bookmarkStart w:id="40" w:name="_Toc23264907"/>
      <w:bookmarkStart w:id="41" w:name="_Toc23261593"/>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统筹程序。</w:t>
      </w:r>
      <w:r>
        <w:rPr>
          <w:rFonts w:hint="default" w:ascii="Times New Roman" w:hAnsi="Times New Roman" w:cs="Times New Roman"/>
          <w:lang w:val="en-US" w:eastAsia="zh-CN"/>
        </w:rPr>
        <w:t xml:space="preserve">县级财政部门收到上级下达纳入整合范围的资金文件后，及时与项目主管部门沟通，并报请主管领导审批。财政部门按照审批意见将统筹整合资金额度正式通知县级乡村振兴部门，按照下达资金来源和资金性质由县级乡村振兴部门对接相应的巩固拓展脱贫攻坚成果项目。 </w:t>
      </w:r>
    </w:p>
    <w:p w14:paraId="0110F3E3">
      <w:pPr>
        <w:pStyle w:val="26"/>
        <w:rPr>
          <w:rFonts w:hint="default" w:ascii="Times New Roman" w:hAnsi="Times New Roman" w:cs="Times New Roman"/>
        </w:rPr>
      </w:pP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拨付程序。</w:t>
      </w:r>
      <w:r>
        <w:rPr>
          <w:rFonts w:hint="default" w:ascii="Times New Roman" w:hAnsi="Times New Roman" w:cs="Times New Roman"/>
          <w:lang w:val="en-US" w:eastAsia="zh-CN"/>
        </w:rPr>
        <w:t xml:space="preserve">项目实施单位依据巩固拓展脱贫攻坚成果规划实施项目后，及时向业务主管部门及乡村振兴部门提交资金使用计划、时间、规模。业务主管部门及乡村振兴部门对项目实施单位提交的资金使用计划、时间、规模等相关材料的真实性、完整性、合规性进行审核并签署意见后及时向财政部门提出巩固拓展脱贫攻坚成果同乡村振兴有效衔接资金分配方案，财政部门依据业务主管部门及乡村振兴部门提供的资金分配方案的规模、时间下达资金。 </w:t>
      </w:r>
    </w:p>
    <w:p w14:paraId="6D6ABC84">
      <w:pPr>
        <w:pStyle w:val="26"/>
        <w:rPr>
          <w:rFonts w:hint="default" w:ascii="Times New Roman" w:hAnsi="Times New Roman" w:cs="Times New Roman"/>
        </w:rPr>
      </w:pP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报账程序。工程类项目：</w:t>
      </w:r>
      <w:r>
        <w:rPr>
          <w:rFonts w:hint="default" w:ascii="Times New Roman" w:hAnsi="Times New Roman" w:cs="Times New Roman"/>
          <w:lang w:val="en-US" w:eastAsia="zh-CN"/>
        </w:rPr>
        <w:t xml:space="preserve">项目实施单位依据巩固拓展脱贫攻坚成果规划实施脱贫项目，按照政府采购和招投标有关规定确定施工单位，签订项目建设（施工）合同。项目实施单位在项目完成后组织初验，有关部门组织相关单位或委托第三方进行验收并出具验收报告。项目主管部门对项目实施单位提交的相关资料的真实性、完整性、合规性进行审核并签署意见，及时向财政部门提出用款申请，财政部门审核项目建设单位的用款申请后，通过国库单一账户体系，直接将资金支付给施工单位。 </w:t>
      </w:r>
    </w:p>
    <w:p w14:paraId="2DE82AC4">
      <w:pPr>
        <w:pStyle w:val="26"/>
        <w:rPr>
          <w:rFonts w:hint="default" w:ascii="Times New Roman" w:hAnsi="Times New Roman" w:cs="Times New Roman"/>
        </w:rPr>
      </w:pPr>
      <w:r>
        <w:rPr>
          <w:rFonts w:hint="default" w:ascii="Times New Roman" w:hAnsi="Times New Roman" w:cs="Times New Roman"/>
          <w:b/>
          <w:bCs/>
          <w:lang w:val="en-US" w:eastAsia="zh-CN"/>
        </w:rPr>
        <w:t>个人补贴类项目：</w:t>
      </w:r>
      <w:r>
        <w:rPr>
          <w:rFonts w:hint="default" w:ascii="Times New Roman" w:hAnsi="Times New Roman" w:cs="Times New Roman"/>
          <w:lang w:val="en-US" w:eastAsia="zh-CN"/>
        </w:rPr>
        <w:t>乡（镇）人民政府、街道办事处，产业集聚区管委会及相关部门审核补贴对象相关信息（含精准识别贫困户身份、姓名、身份证号、银行卡号），根据国家和省有关政策规定的发放标准、发放金额等内容，向财政部门提出资金申请，财政部门应及时通过国库单一账户体系和财政“一卡通”系统，直接将补助资金发放到补贴对象个人账户，严禁以现金形式发放。</w:t>
      </w:r>
    </w:p>
    <w:bookmarkEnd w:id="40"/>
    <w:bookmarkEnd w:id="41"/>
    <w:p w14:paraId="07A623D4">
      <w:pPr>
        <w:pStyle w:val="27"/>
        <w:rPr>
          <w:rFonts w:hint="default" w:ascii="Times New Roman" w:hAnsi="Times New Roman" w:cs="Times New Roman"/>
          <w:highlight w:val="none"/>
        </w:rPr>
      </w:pPr>
      <w:bookmarkStart w:id="42" w:name="_Toc23266423"/>
      <w:bookmarkStart w:id="43" w:name="_Toc18632"/>
      <w:bookmarkStart w:id="44" w:name="_Toc23264908"/>
      <w:r>
        <w:rPr>
          <w:rFonts w:hint="default" w:ascii="Times New Roman" w:hAnsi="Times New Roman" w:cs="Times New Roman"/>
          <w:highlight w:val="none"/>
        </w:rPr>
        <w:t>（</w:t>
      </w:r>
      <w:r>
        <w:rPr>
          <w:rFonts w:hint="eastAsia" w:ascii="Times New Roman" w:hAnsi="Times New Roman" w:cs="Times New Roman"/>
          <w:highlight w:val="none"/>
          <w:lang w:val="en-US" w:eastAsia="zh-CN"/>
        </w:rPr>
        <w:t>五</w:t>
      </w:r>
      <w:r>
        <w:rPr>
          <w:rFonts w:hint="default" w:ascii="Times New Roman" w:hAnsi="Times New Roman" w:cs="Times New Roman"/>
          <w:highlight w:val="none"/>
        </w:rPr>
        <w:t>）项目绩效目标</w:t>
      </w:r>
      <w:bookmarkEnd w:id="42"/>
      <w:bookmarkEnd w:id="43"/>
      <w:bookmarkEnd w:id="44"/>
    </w:p>
    <w:p w14:paraId="45B16944">
      <w:pPr>
        <w:pStyle w:val="5"/>
        <w:rPr>
          <w:rFonts w:hint="default" w:ascii="Times New Roman" w:hAnsi="Times New Roman" w:cs="Times New Roman"/>
        </w:rPr>
      </w:pPr>
      <w:bookmarkStart w:id="45" w:name="_Toc23264909"/>
      <w:bookmarkStart w:id="46" w:name="_Toc23266424"/>
      <w:bookmarkStart w:id="47" w:name="_Toc32696"/>
      <w:bookmarkStart w:id="48" w:name="_Toc23267035"/>
      <w:bookmarkStart w:id="49" w:name="_Toc22591"/>
      <w:r>
        <w:rPr>
          <w:rFonts w:hint="default" w:ascii="Times New Roman" w:hAnsi="Times New Roman" w:cs="Times New Roman"/>
        </w:rPr>
        <w:t>1.总体绩效目标</w:t>
      </w:r>
      <w:bookmarkEnd w:id="45"/>
      <w:bookmarkEnd w:id="46"/>
      <w:bookmarkEnd w:id="47"/>
      <w:bookmarkEnd w:id="48"/>
      <w:bookmarkEnd w:id="49"/>
    </w:p>
    <w:p w14:paraId="0A4F0D31">
      <w:pPr>
        <w:pStyle w:val="26"/>
        <w:rPr>
          <w:rFonts w:hint="default" w:ascii="Times New Roman" w:hAnsi="Times New Roman" w:cs="Times New Roman"/>
        </w:rPr>
      </w:pPr>
      <w:bookmarkStart w:id="50" w:name="_Toc23266425"/>
      <w:bookmarkStart w:id="51" w:name="_Toc23267036"/>
      <w:bookmarkStart w:id="52" w:name="_Toc23264910"/>
      <w:bookmarkStart w:id="53" w:name="_Toc11910"/>
      <w:bookmarkStart w:id="54" w:name="_Toc6099"/>
      <w:r>
        <w:rPr>
          <w:rFonts w:hint="default" w:ascii="Times New Roman" w:hAnsi="Times New Roman" w:cs="Times New Roman"/>
        </w:rPr>
        <w:t>以习近平新时代中国特色社会主义思想为指导，深入贯彻党的十九大和十九届二中、三中、四中、五中全会精神，认真落实习近平总书记关于河南工作的重要讲话和指示批示精神，以省持续推进减贫工作衔接试点县为契机，不断创新思路和模式，先行先试，持续巩固拓展脱贫攻坚成果，逐步完善农村低收入人口帮扶机制，进一步提高乡村产业质量效益，促进低收入人口持续增收，提升农村基础设施和基本公共服务水平，推进农村生态环境持续改善，为全县巩固拓展脱贫攻坚成果与乡村振兴衔接开好局、起好步。</w:t>
      </w:r>
    </w:p>
    <w:p w14:paraId="4022F30A">
      <w:pPr>
        <w:pStyle w:val="5"/>
        <w:rPr>
          <w:rFonts w:hint="default" w:ascii="Times New Roman" w:hAnsi="Times New Roman" w:cs="Times New Roman"/>
        </w:rPr>
      </w:pPr>
      <w:r>
        <w:rPr>
          <w:rFonts w:hint="default" w:ascii="Times New Roman" w:hAnsi="Times New Roman" w:cs="Times New Roman"/>
        </w:rPr>
        <w:t>2.年度绩效目标</w:t>
      </w:r>
      <w:bookmarkEnd w:id="50"/>
      <w:bookmarkEnd w:id="51"/>
      <w:bookmarkEnd w:id="52"/>
      <w:bookmarkEnd w:id="53"/>
      <w:bookmarkEnd w:id="54"/>
      <w:r>
        <w:rPr>
          <w:rFonts w:hint="default" w:ascii="Times New Roman" w:hAnsi="Times New Roman" w:cs="Times New Roman"/>
        </w:rPr>
        <w:tab/>
      </w:r>
    </w:p>
    <w:p w14:paraId="5D86A464">
      <w:pPr>
        <w:pStyle w:val="26"/>
        <w:rPr>
          <w:rFonts w:hint="default" w:ascii="Times New Roman" w:hAnsi="Times New Roman" w:cs="Times New Roman"/>
        </w:rPr>
      </w:pPr>
      <w:r>
        <w:rPr>
          <w:rFonts w:hint="default" w:ascii="Times New Roman" w:hAnsi="Times New Roman" w:cs="Times New Roman"/>
        </w:rPr>
        <w:t>全面贯彻落实国家和</w:t>
      </w:r>
      <w:r>
        <w:rPr>
          <w:rFonts w:hint="default" w:ascii="Times New Roman" w:hAnsi="Times New Roman" w:cs="Times New Roman"/>
          <w:lang w:eastAsia="zh-CN"/>
        </w:rPr>
        <w:t>全省</w:t>
      </w:r>
      <w:r>
        <w:rPr>
          <w:rFonts w:hint="default" w:ascii="Times New Roman" w:hAnsi="Times New Roman" w:cs="Times New Roman"/>
        </w:rPr>
        <w:t>巩固脱贫攻坚成果同乡村振兴有效衔接总体部署，优先支持产业发展，促进产业提质增效，带动脱贫人口就业增收，提高脱贫群众参与度，增强带动持续性，通过强力推进202</w:t>
      </w:r>
      <w:r>
        <w:rPr>
          <w:rFonts w:hint="eastAsia" w:ascii="Times New Roman" w:hAnsi="Times New Roman" w:cs="Times New Roman"/>
          <w:lang w:val="en-US" w:eastAsia="zh-CN"/>
        </w:rPr>
        <w:t>2</w:t>
      </w:r>
      <w:r>
        <w:rPr>
          <w:rFonts w:hint="default" w:ascii="Times New Roman" w:hAnsi="Times New Roman" w:cs="Times New Roman"/>
        </w:rPr>
        <w:t>年巩固拓展脱贫攻坚成果和乡村振兴项目实施，切实带动符合条件的脱贫户和监测对象稳定增收，逐步建立持续增收、快步小康长效机制，为实现同全国一道步入全面小康社会伟大目标奠定坚实基础。</w:t>
      </w:r>
    </w:p>
    <w:p w14:paraId="07250EDD">
      <w:pPr>
        <w:pStyle w:val="3"/>
        <w:ind w:firstLine="640"/>
        <w:rPr>
          <w:rFonts w:hint="default" w:ascii="Times New Roman" w:hAnsi="Times New Roman" w:cs="Times New Roman"/>
          <w:b w:val="0"/>
          <w:color w:val="FF0000"/>
          <w:szCs w:val="32"/>
        </w:rPr>
      </w:pPr>
      <w:bookmarkStart w:id="55" w:name="_Toc23266426"/>
      <w:bookmarkStart w:id="56" w:name="_Toc2920"/>
      <w:bookmarkStart w:id="57" w:name="_Toc23264911"/>
      <w:r>
        <w:rPr>
          <w:rFonts w:hint="default" w:ascii="Times New Roman" w:hAnsi="Times New Roman" w:cs="Times New Roman"/>
          <w:b w:val="0"/>
          <w:szCs w:val="32"/>
        </w:rPr>
        <w:t>二、</w:t>
      </w:r>
      <w:r>
        <w:rPr>
          <w:rFonts w:hint="default" w:ascii="Times New Roman" w:hAnsi="Times New Roman" w:cs="Times New Roman"/>
          <w:b w:val="0"/>
          <w:color w:val="000000"/>
          <w:szCs w:val="32"/>
        </w:rPr>
        <w:t>绩效评价开展情况</w:t>
      </w:r>
      <w:bookmarkEnd w:id="55"/>
      <w:bookmarkEnd w:id="56"/>
      <w:bookmarkEnd w:id="57"/>
    </w:p>
    <w:p w14:paraId="50AAAC79">
      <w:pPr>
        <w:pStyle w:val="27"/>
        <w:ind w:firstLine="562"/>
        <w:rPr>
          <w:rFonts w:hint="default" w:ascii="Times New Roman" w:hAnsi="Times New Roman" w:cs="Times New Roman"/>
        </w:rPr>
      </w:pPr>
      <w:bookmarkStart w:id="58" w:name="_Toc14560"/>
      <w:bookmarkStart w:id="59" w:name="_Toc23264912"/>
      <w:bookmarkStart w:id="60" w:name="_Toc23266427"/>
      <w:r>
        <w:rPr>
          <w:rFonts w:hint="default" w:ascii="Times New Roman" w:hAnsi="Times New Roman" w:cs="Times New Roman"/>
        </w:rPr>
        <w:t>（一）绩效评价目的</w:t>
      </w:r>
      <w:bookmarkEnd w:id="58"/>
      <w:bookmarkEnd w:id="59"/>
      <w:bookmarkEnd w:id="60"/>
    </w:p>
    <w:p w14:paraId="31C4657A">
      <w:pPr>
        <w:pStyle w:val="26"/>
        <w:rPr>
          <w:rFonts w:hint="default" w:ascii="Times New Roman" w:hAnsi="Times New Roman" w:cs="Times New Roman"/>
        </w:rPr>
      </w:pPr>
      <w:r>
        <w:rPr>
          <w:rFonts w:hint="default" w:ascii="Times New Roman" w:hAnsi="Times New Roman" w:cs="Times New Roman"/>
        </w:rPr>
        <w:t>本次绩效评价旨在了解20</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cs="Times New Roman"/>
          <w:lang w:val="en-US" w:eastAsia="zh-CN"/>
        </w:rPr>
        <w:t>滑县</w:t>
      </w:r>
      <w:r>
        <w:rPr>
          <w:rFonts w:hint="eastAsia" w:ascii="Times New Roman" w:hAnsi="Times New Roman" w:cs="Times New Roman"/>
          <w:lang w:val="en-US" w:eastAsia="zh-CN"/>
        </w:rPr>
        <w:t>财政衔接推进乡村振兴补助</w:t>
      </w:r>
      <w:r>
        <w:rPr>
          <w:rFonts w:hint="default" w:ascii="Times New Roman" w:hAnsi="Times New Roman" w:cs="Times New Roman"/>
          <w:lang w:eastAsia="zh-CN"/>
        </w:rPr>
        <w:t>资金</w:t>
      </w:r>
      <w:r>
        <w:rPr>
          <w:rFonts w:hint="default" w:ascii="Times New Roman" w:hAnsi="Times New Roman" w:cs="Times New Roman"/>
        </w:rPr>
        <w:t>投入、项目开展和绩效达成情况，检查项目实施各环节的合规性与合理性，总结</w:t>
      </w:r>
      <w:r>
        <w:rPr>
          <w:rFonts w:hint="default" w:ascii="Times New Roman" w:hAnsi="Times New Roman" w:cs="Times New Roman"/>
          <w:lang w:val="en-US" w:eastAsia="zh-CN"/>
        </w:rPr>
        <w:t>滑县</w:t>
      </w:r>
      <w:r>
        <w:rPr>
          <w:rFonts w:hint="default" w:ascii="Times New Roman" w:hAnsi="Times New Roman" w:cs="Times New Roman"/>
        </w:rPr>
        <w:t>巩固拓展脱贫攻坚成果</w:t>
      </w:r>
      <w:r>
        <w:rPr>
          <w:rFonts w:hint="default" w:ascii="Times New Roman" w:hAnsi="Times New Roman" w:cs="Times New Roman"/>
          <w:lang w:val="en-US" w:eastAsia="zh-CN"/>
        </w:rPr>
        <w:t>和乡村振兴</w:t>
      </w:r>
      <w:r>
        <w:rPr>
          <w:rFonts w:hint="default" w:ascii="Times New Roman" w:hAnsi="Times New Roman" w:cs="Times New Roman"/>
        </w:rPr>
        <w:t>工作开展中的成绩与经验，发现项目实施和资金管理中的问题与不足，并提出建设性的改进建议，进一步加强财政专项资金管理，提高财政资金管理及使用的经济性、效益性和效率性。</w:t>
      </w:r>
    </w:p>
    <w:p w14:paraId="307FDB86">
      <w:pPr>
        <w:pStyle w:val="27"/>
        <w:ind w:firstLine="562"/>
        <w:rPr>
          <w:rFonts w:hint="default" w:ascii="Times New Roman" w:hAnsi="Times New Roman" w:cs="Times New Roman"/>
        </w:rPr>
      </w:pPr>
      <w:bookmarkStart w:id="61" w:name="_Toc17758"/>
      <w:bookmarkStart w:id="62" w:name="_Toc23264913"/>
      <w:bookmarkStart w:id="63" w:name="_Toc23266428"/>
      <w:r>
        <w:rPr>
          <w:rFonts w:hint="default" w:ascii="Times New Roman" w:hAnsi="Times New Roman" w:cs="Times New Roman"/>
        </w:rPr>
        <w:t>（二）绩效评价原则与方法</w:t>
      </w:r>
      <w:bookmarkEnd w:id="61"/>
      <w:bookmarkEnd w:id="62"/>
      <w:bookmarkEnd w:id="63"/>
    </w:p>
    <w:p w14:paraId="1D2759EE">
      <w:pPr>
        <w:pStyle w:val="26"/>
        <w:rPr>
          <w:rFonts w:hint="default" w:ascii="Times New Roman" w:hAnsi="Times New Roman" w:cs="Times New Roman"/>
          <w:lang w:val="en-US" w:eastAsia="zh-CN"/>
        </w:rPr>
      </w:pPr>
      <w:bookmarkStart w:id="64" w:name="_Toc21781507"/>
      <w:r>
        <w:rPr>
          <w:rFonts w:hint="default" w:ascii="Times New Roman" w:hAnsi="Times New Roman" w:cs="Times New Roman"/>
          <w:lang w:val="en-US" w:eastAsia="zh-CN"/>
        </w:rPr>
        <w:t>此次评价</w:t>
      </w:r>
      <w:r>
        <w:rPr>
          <w:rFonts w:hint="default" w:ascii="Times New Roman" w:hAnsi="Times New Roman" w:cs="Times New Roman"/>
        </w:rPr>
        <w:t>坚持定量优先、定性与定量相结合的</w:t>
      </w:r>
      <w:r>
        <w:rPr>
          <w:rFonts w:hint="default" w:ascii="Times New Roman" w:hAnsi="Times New Roman" w:cs="Times New Roman"/>
          <w:lang w:val="en-US" w:eastAsia="zh-CN"/>
        </w:rPr>
        <w:t>评价</w:t>
      </w:r>
      <w:r>
        <w:rPr>
          <w:rFonts w:hint="default" w:ascii="Times New Roman" w:hAnsi="Times New Roman" w:cs="Times New Roman"/>
        </w:rPr>
        <w:t>方式，始终遵循科学规范、全面系统、公正客观、合规合法、绩效相关的基本原则。</w:t>
      </w:r>
      <w:r>
        <w:rPr>
          <w:rFonts w:hint="default" w:ascii="Times New Roman" w:hAnsi="Times New Roman" w:cs="Times New Roman"/>
          <w:lang w:val="en-US" w:eastAsia="zh-CN"/>
        </w:rPr>
        <w:t>在</w:t>
      </w:r>
      <w:r>
        <w:rPr>
          <w:rFonts w:hint="default" w:ascii="Times New Roman" w:hAnsi="Times New Roman" w:cs="Times New Roman"/>
        </w:rPr>
        <w:t>评价实施过程中，</w:t>
      </w:r>
      <w:r>
        <w:rPr>
          <w:rFonts w:hint="default" w:ascii="Times New Roman" w:hAnsi="Times New Roman" w:cs="Times New Roman"/>
          <w:lang w:val="en-US" w:eastAsia="zh-CN"/>
        </w:rPr>
        <w:t>采用综合评价</w:t>
      </w:r>
      <w:r>
        <w:rPr>
          <w:rFonts w:hint="default" w:ascii="Times New Roman" w:hAnsi="Times New Roman" w:cs="Times New Roman"/>
        </w:rPr>
        <w:t>法、</w:t>
      </w:r>
      <w:r>
        <w:rPr>
          <w:rFonts w:hint="default" w:ascii="Times New Roman" w:hAnsi="Times New Roman" w:cs="Times New Roman"/>
          <w:lang w:val="en-US" w:eastAsia="zh-CN"/>
        </w:rPr>
        <w:t>比较法</w:t>
      </w:r>
      <w:r>
        <w:rPr>
          <w:rFonts w:hint="default" w:ascii="Times New Roman" w:hAnsi="Times New Roman" w:cs="Times New Roman"/>
        </w:rPr>
        <w:t>、</w:t>
      </w:r>
      <w:r>
        <w:rPr>
          <w:rFonts w:hint="default" w:ascii="Times New Roman" w:hAnsi="Times New Roman" w:cs="Times New Roman"/>
          <w:lang w:val="en-US" w:eastAsia="zh-CN"/>
        </w:rPr>
        <w:t>社会调查法</w:t>
      </w:r>
      <w:r>
        <w:rPr>
          <w:rFonts w:hint="default" w:ascii="Times New Roman" w:hAnsi="Times New Roman" w:cs="Times New Roman"/>
        </w:rPr>
        <w:t>等多种方法</w:t>
      </w:r>
      <w:bookmarkEnd w:id="64"/>
      <w:r>
        <w:rPr>
          <w:rFonts w:hint="default" w:ascii="Times New Roman" w:hAnsi="Times New Roman" w:cs="Times New Roman"/>
          <w:lang w:eastAsia="zh-CN"/>
        </w:rPr>
        <w:t>，</w:t>
      </w:r>
      <w:r>
        <w:rPr>
          <w:rFonts w:hint="default" w:ascii="Times New Roman" w:hAnsi="Times New Roman" w:cs="Times New Roman"/>
          <w:lang w:val="en-US" w:eastAsia="zh-CN"/>
        </w:rPr>
        <w:t>提高评价工作的科学性与规范性。</w:t>
      </w:r>
      <w:bookmarkStart w:id="65" w:name="_Toc23264914"/>
      <w:bookmarkStart w:id="66" w:name="_Toc23266429"/>
      <w:r>
        <w:rPr>
          <w:rFonts w:hint="default" w:ascii="Times New Roman" w:hAnsi="Times New Roman" w:cs="Times New Roman"/>
          <w:b/>
          <w:bCs/>
          <w:lang w:val="en-US" w:eastAsia="zh-CN"/>
        </w:rPr>
        <w:t>一是综合评价法。</w:t>
      </w:r>
      <w:r>
        <w:rPr>
          <w:rFonts w:hint="default" w:ascii="Times New Roman" w:hAnsi="Times New Roman" w:cs="Times New Roman"/>
          <w:lang w:val="en-US" w:eastAsia="zh-CN"/>
        </w:rPr>
        <w:t>通过设立整体规划执行、效果等维度的评价指标，构建客观、科学的综合评价指标体系，并设置相应的指标权重与评分标准，对项目成效进行综合、全面评价。</w:t>
      </w:r>
      <w:r>
        <w:rPr>
          <w:rFonts w:hint="default" w:ascii="Times New Roman" w:hAnsi="Times New Roman" w:cs="Times New Roman"/>
          <w:b/>
          <w:bCs/>
          <w:lang w:val="en-US" w:eastAsia="zh-CN"/>
        </w:rPr>
        <w:t>二是比较法。</w:t>
      </w:r>
      <w:r>
        <w:rPr>
          <w:rFonts w:hint="default" w:ascii="Times New Roman" w:hAnsi="Times New Roman" w:cs="Times New Roman"/>
          <w:lang w:val="en-US" w:eastAsia="zh-CN"/>
        </w:rPr>
        <w:t>通过对整体规划目标与实施效果、历史与当期等情况比较，分析项目目标设立是否明确、资金投入是否科学、建设内容是否合理、项目效果是否达到预期目标等。</w:t>
      </w:r>
      <w:bookmarkStart w:id="67" w:name="_Toc30572"/>
      <w:bookmarkStart w:id="68" w:name="_Toc23657"/>
      <w:r>
        <w:rPr>
          <w:rFonts w:hint="default" w:ascii="Times New Roman" w:hAnsi="Times New Roman" w:cs="Times New Roman"/>
          <w:b/>
          <w:bCs/>
          <w:lang w:val="en-US" w:eastAsia="zh-CN"/>
        </w:rPr>
        <w:t>三是社会调查法。</w:t>
      </w:r>
      <w:r>
        <w:rPr>
          <w:rFonts w:hint="default" w:ascii="Times New Roman" w:hAnsi="Times New Roman" w:cs="Times New Roman"/>
          <w:lang w:val="en-US" w:eastAsia="zh-CN"/>
        </w:rPr>
        <w:t>通过现场勘查、访谈调研、资料收集与数据复核等方式对规划项目建设完成情况及绩效目标的实现程度进行调查，并对项目产出和项目绩效进行分析。</w:t>
      </w:r>
      <w:bookmarkEnd w:id="67"/>
      <w:bookmarkEnd w:id="68"/>
    </w:p>
    <w:p w14:paraId="37A5DDB4">
      <w:pPr>
        <w:pStyle w:val="27"/>
        <w:numPr>
          <w:ilvl w:val="0"/>
          <w:numId w:val="2"/>
        </w:numPr>
        <w:ind w:firstLine="562"/>
        <w:rPr>
          <w:rFonts w:hint="default" w:ascii="Times New Roman" w:hAnsi="Times New Roman" w:cs="Times New Roman"/>
          <w:lang w:val="en-US" w:eastAsia="zh-CN"/>
        </w:rPr>
      </w:pPr>
      <w:bookmarkStart w:id="69" w:name="_Toc16992"/>
      <w:r>
        <w:rPr>
          <w:rFonts w:hint="default" w:ascii="Times New Roman" w:hAnsi="Times New Roman" w:cs="Times New Roman"/>
          <w:lang w:val="en-US" w:eastAsia="zh-CN"/>
        </w:rPr>
        <w:t>绩效评价指标体系框架</w:t>
      </w:r>
      <w:bookmarkEnd w:id="69"/>
    </w:p>
    <w:p w14:paraId="4F4C4F27">
      <w:pPr>
        <w:pStyle w:val="26"/>
        <w:rPr>
          <w:rFonts w:hint="default"/>
          <w:lang w:val="en-US" w:eastAsia="zh-CN"/>
        </w:rPr>
      </w:pPr>
      <w:r>
        <w:rPr>
          <w:rFonts w:hint="default"/>
          <w:lang w:val="en-US" w:eastAsia="zh-CN"/>
        </w:rPr>
        <w:t>此次评价指标体系共由</w:t>
      </w:r>
      <w:r>
        <w:rPr>
          <w:rFonts w:hint="eastAsia"/>
          <w:lang w:val="en-US" w:eastAsia="zh-CN"/>
        </w:rPr>
        <w:t>4</w:t>
      </w:r>
      <w:r>
        <w:rPr>
          <w:rFonts w:hint="default"/>
          <w:lang w:val="en-US" w:eastAsia="zh-CN"/>
        </w:rPr>
        <w:t>个一级指标、</w:t>
      </w:r>
      <w:r>
        <w:rPr>
          <w:rFonts w:hint="eastAsia"/>
          <w:lang w:val="en-US" w:eastAsia="zh-CN"/>
        </w:rPr>
        <w:t>13</w:t>
      </w:r>
      <w:r>
        <w:rPr>
          <w:rFonts w:hint="default"/>
          <w:lang w:val="en-US" w:eastAsia="zh-CN"/>
        </w:rPr>
        <w:t>个二级指标、</w:t>
      </w:r>
      <w:r>
        <w:rPr>
          <w:rFonts w:hint="eastAsia"/>
          <w:lang w:val="en-US" w:eastAsia="zh-CN"/>
        </w:rPr>
        <w:t>31</w:t>
      </w:r>
      <w:r>
        <w:rPr>
          <w:rFonts w:hint="default"/>
          <w:lang w:val="en-US" w:eastAsia="zh-CN"/>
        </w:rPr>
        <w:t>个三级指标组成。指标数据来源于政府文件、实地调研、访谈等。绩效评价指标框架详见表2-1，具体绩效评价指标体系详见附件一。</w:t>
      </w:r>
      <w:r>
        <w:rPr>
          <w:rFonts w:hint="default"/>
          <w:b/>
          <w:bCs/>
          <w:lang w:val="en-US" w:eastAsia="zh-CN"/>
        </w:rPr>
        <w:t>一是决策类指标：</w:t>
      </w:r>
      <w:r>
        <w:rPr>
          <w:rFonts w:hint="default"/>
          <w:lang w:val="en-US" w:eastAsia="zh-CN"/>
        </w:rPr>
        <w:t>占权重分12分，主要从项目立项、项目目标、资金投入三个方面加以考察。</w:t>
      </w:r>
      <w:r>
        <w:rPr>
          <w:rFonts w:hint="default"/>
          <w:b/>
          <w:bCs/>
          <w:lang w:val="en-US" w:eastAsia="zh-CN"/>
        </w:rPr>
        <w:t>二是过程类指标：</w:t>
      </w:r>
      <w:r>
        <w:rPr>
          <w:rFonts w:hint="default"/>
          <w:lang w:val="en-US" w:eastAsia="zh-CN"/>
        </w:rPr>
        <w:t>占权重分2</w:t>
      </w:r>
      <w:r>
        <w:rPr>
          <w:rFonts w:hint="eastAsia"/>
          <w:lang w:val="en-US" w:eastAsia="zh-CN"/>
        </w:rPr>
        <w:t>8</w:t>
      </w:r>
      <w:r>
        <w:rPr>
          <w:rFonts w:hint="default"/>
          <w:lang w:val="en-US" w:eastAsia="zh-CN"/>
        </w:rPr>
        <w:t>分，主要从资金管理和组织实施两方面加以考核</w:t>
      </w:r>
      <w:r>
        <w:rPr>
          <w:rFonts w:hint="eastAsia"/>
          <w:lang w:val="en-US" w:eastAsia="zh-CN"/>
        </w:rPr>
        <w:t>，综合评价项目库建设管理情况、管理制度建设及执行情况、信息公开公示情况等</w:t>
      </w:r>
      <w:r>
        <w:rPr>
          <w:rFonts w:hint="default"/>
          <w:lang w:val="en-US" w:eastAsia="zh-CN"/>
        </w:rPr>
        <w:t>。</w:t>
      </w:r>
      <w:r>
        <w:rPr>
          <w:rFonts w:hint="default"/>
          <w:b/>
          <w:bCs/>
          <w:lang w:val="en-US" w:eastAsia="zh-CN"/>
        </w:rPr>
        <w:t>三是产出类指标：</w:t>
      </w:r>
      <w:r>
        <w:rPr>
          <w:rFonts w:hint="default"/>
          <w:lang w:val="en-US" w:eastAsia="zh-CN"/>
        </w:rPr>
        <w:t>占权重分</w:t>
      </w:r>
      <w:r>
        <w:rPr>
          <w:rFonts w:hint="eastAsia"/>
          <w:lang w:val="en-US" w:eastAsia="zh-CN"/>
        </w:rPr>
        <w:t>30</w:t>
      </w:r>
      <w:r>
        <w:rPr>
          <w:rFonts w:hint="default"/>
          <w:lang w:val="en-US" w:eastAsia="zh-CN"/>
        </w:rPr>
        <w:t>分，用于评价项目实际产出情况</w:t>
      </w:r>
      <w:r>
        <w:rPr>
          <w:rFonts w:hint="eastAsia"/>
          <w:lang w:val="en-US" w:eastAsia="zh-CN"/>
        </w:rPr>
        <w:t>，包括</w:t>
      </w:r>
      <w:r>
        <w:rPr>
          <w:rFonts w:hint="default"/>
          <w:lang w:val="en-US" w:eastAsia="zh-CN"/>
        </w:rPr>
        <w:t>产出数量、产出质量和产出时效。</w:t>
      </w:r>
      <w:r>
        <w:rPr>
          <w:rFonts w:hint="default"/>
          <w:b/>
          <w:bCs/>
          <w:lang w:val="en-US" w:eastAsia="zh-CN"/>
        </w:rPr>
        <w:t>四是效益类指标：</w:t>
      </w:r>
      <w:r>
        <w:rPr>
          <w:rFonts w:hint="default"/>
          <w:lang w:val="en-US" w:eastAsia="zh-CN"/>
        </w:rPr>
        <w:t>占权重分</w:t>
      </w:r>
      <w:r>
        <w:rPr>
          <w:rFonts w:hint="eastAsia"/>
          <w:lang w:val="en-US" w:eastAsia="zh-CN"/>
        </w:rPr>
        <w:t>30</w:t>
      </w:r>
      <w:r>
        <w:rPr>
          <w:rFonts w:hint="default"/>
          <w:lang w:val="en-US" w:eastAsia="zh-CN"/>
        </w:rPr>
        <w:t>分，综合评价</w:t>
      </w:r>
      <w:r>
        <w:rPr>
          <w:rFonts w:hint="eastAsia"/>
          <w:lang w:val="en-US" w:eastAsia="zh-CN"/>
        </w:rPr>
        <w:t>统筹整合财政涉农</w:t>
      </w:r>
      <w:r>
        <w:rPr>
          <w:rFonts w:hint="default"/>
          <w:lang w:val="en-US" w:eastAsia="zh-CN"/>
        </w:rPr>
        <w:t>资金投入使用后的效益实现程度，</w:t>
      </w:r>
      <w:r>
        <w:rPr>
          <w:rFonts w:hint="eastAsia"/>
          <w:lang w:val="en-US" w:eastAsia="zh-CN"/>
        </w:rPr>
        <w:t>产业类项目利益链接机制健全情况以及联农带农绩效目标实现情况，</w:t>
      </w:r>
      <w:r>
        <w:rPr>
          <w:rFonts w:hint="default"/>
          <w:lang w:val="en-US" w:eastAsia="zh-CN"/>
        </w:rPr>
        <w:t>项目运行期内管理维护情况</w:t>
      </w:r>
      <w:r>
        <w:rPr>
          <w:rFonts w:hint="eastAsia"/>
          <w:lang w:val="en-US" w:eastAsia="zh-CN"/>
        </w:rPr>
        <w:t>、往年</w:t>
      </w:r>
      <w:r>
        <w:rPr>
          <w:rFonts w:hint="default"/>
          <w:lang w:val="en-US" w:eastAsia="zh-CN"/>
        </w:rPr>
        <w:t>项目可持续影响</w:t>
      </w:r>
      <w:r>
        <w:rPr>
          <w:rFonts w:hint="eastAsia"/>
          <w:lang w:val="en-US" w:eastAsia="zh-CN"/>
        </w:rPr>
        <w:t>，以及受益群众满意度等</w:t>
      </w:r>
      <w:r>
        <w:rPr>
          <w:rFonts w:hint="default"/>
          <w:lang w:val="en-US" w:eastAsia="zh-CN"/>
        </w:rPr>
        <w:t>。</w:t>
      </w:r>
    </w:p>
    <w:p w14:paraId="4B845922">
      <w:pPr>
        <w:pStyle w:val="26"/>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表2-1 绩效评价指标体系框架表</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1"/>
        <w:gridCol w:w="1925"/>
        <w:gridCol w:w="4361"/>
        <w:gridCol w:w="788"/>
      </w:tblGrid>
      <w:tr w14:paraId="7BAD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45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62A547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一级指标</w:t>
            </w:r>
          </w:p>
        </w:tc>
        <w:tc>
          <w:tcPr>
            <w:tcW w:w="192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0EA7C51">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436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4BEF6A1">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78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43835A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r>
      <w:tr w14:paraId="1B76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exact"/>
          <w:jc w:val="center"/>
        </w:trPr>
        <w:tc>
          <w:tcPr>
            <w:tcW w:w="1451" w:type="dxa"/>
            <w:vMerge w:val="restart"/>
            <w:tcBorders>
              <w:top w:val="single" w:color="000000" w:sz="4" w:space="0"/>
              <w:left w:val="single" w:color="000000" w:sz="4" w:space="0"/>
              <w:bottom w:val="single" w:color="000000" w:sz="4" w:space="0"/>
              <w:right w:val="single" w:color="000000" w:sz="4" w:space="0"/>
            </w:tcBorders>
            <w:vAlign w:val="center"/>
          </w:tcPr>
          <w:p w14:paraId="15C04DA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A项目决策（12）</w:t>
            </w: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4347FDD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A1项目立项（3）</w:t>
            </w:r>
          </w:p>
        </w:tc>
        <w:tc>
          <w:tcPr>
            <w:tcW w:w="4361" w:type="dxa"/>
            <w:tcBorders>
              <w:top w:val="single" w:color="000000" w:sz="4" w:space="0"/>
              <w:left w:val="single" w:color="000000" w:sz="4" w:space="0"/>
              <w:bottom w:val="single" w:color="000000" w:sz="4" w:space="0"/>
              <w:right w:val="single" w:color="000000" w:sz="4" w:space="0"/>
            </w:tcBorders>
            <w:vAlign w:val="center"/>
          </w:tcPr>
          <w:p w14:paraId="114E654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A11立项依据充分性</w:t>
            </w:r>
          </w:p>
        </w:tc>
        <w:tc>
          <w:tcPr>
            <w:tcW w:w="788" w:type="dxa"/>
            <w:tcBorders>
              <w:top w:val="single" w:color="000000" w:sz="4" w:space="0"/>
              <w:left w:val="single" w:color="000000" w:sz="4" w:space="0"/>
              <w:bottom w:val="single" w:color="000000" w:sz="4" w:space="0"/>
              <w:right w:val="single" w:color="000000" w:sz="4" w:space="0"/>
            </w:tcBorders>
            <w:vAlign w:val="center"/>
          </w:tcPr>
          <w:p w14:paraId="65D1FC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6FCF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40A30C94">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A9D93BD">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46578FC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A12立项程序规范性</w:t>
            </w:r>
          </w:p>
        </w:tc>
        <w:tc>
          <w:tcPr>
            <w:tcW w:w="788" w:type="dxa"/>
            <w:tcBorders>
              <w:top w:val="single" w:color="000000" w:sz="4" w:space="0"/>
              <w:left w:val="single" w:color="000000" w:sz="4" w:space="0"/>
              <w:bottom w:val="single" w:color="000000" w:sz="4" w:space="0"/>
              <w:right w:val="single" w:color="000000" w:sz="4" w:space="0"/>
            </w:tcBorders>
            <w:vAlign w:val="center"/>
          </w:tcPr>
          <w:p w14:paraId="1EEE8E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91C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2B631FB2">
            <w:pPr>
              <w:jc w:val="center"/>
              <w:rPr>
                <w:rFonts w:hint="default" w:ascii="Times New Roman" w:hAnsi="Times New Roman" w:eastAsia="宋体" w:cs="Times New Roman"/>
                <w:i w:val="0"/>
                <w:iCs w:val="0"/>
                <w:color w:val="000000"/>
                <w:sz w:val="21"/>
                <w:szCs w:val="21"/>
                <w:u w:val="none"/>
              </w:rPr>
            </w:pP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407041C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A2绩效目标（7）</w:t>
            </w:r>
          </w:p>
        </w:tc>
        <w:tc>
          <w:tcPr>
            <w:tcW w:w="4361" w:type="dxa"/>
            <w:tcBorders>
              <w:top w:val="single" w:color="000000" w:sz="4" w:space="0"/>
              <w:left w:val="single" w:color="000000" w:sz="4" w:space="0"/>
              <w:bottom w:val="single" w:color="000000" w:sz="4" w:space="0"/>
              <w:right w:val="single" w:color="000000" w:sz="4" w:space="0"/>
            </w:tcBorders>
            <w:vAlign w:val="center"/>
          </w:tcPr>
          <w:p w14:paraId="59BC562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A21绩效目标合理性</w:t>
            </w:r>
          </w:p>
        </w:tc>
        <w:tc>
          <w:tcPr>
            <w:tcW w:w="788" w:type="dxa"/>
            <w:tcBorders>
              <w:top w:val="single" w:color="000000" w:sz="4" w:space="0"/>
              <w:left w:val="single" w:color="000000" w:sz="4" w:space="0"/>
              <w:bottom w:val="single" w:color="000000" w:sz="4" w:space="0"/>
              <w:right w:val="single" w:color="000000" w:sz="4" w:space="0"/>
            </w:tcBorders>
            <w:vAlign w:val="center"/>
          </w:tcPr>
          <w:p w14:paraId="3D5C33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44FB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6C8445A1">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664E679">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441C6B85">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A22绩效目标明确性</w:t>
            </w:r>
          </w:p>
        </w:tc>
        <w:tc>
          <w:tcPr>
            <w:tcW w:w="788" w:type="dxa"/>
            <w:tcBorders>
              <w:top w:val="single" w:color="000000" w:sz="4" w:space="0"/>
              <w:left w:val="single" w:color="000000" w:sz="4" w:space="0"/>
              <w:bottom w:val="single" w:color="000000" w:sz="4" w:space="0"/>
              <w:right w:val="single" w:color="000000" w:sz="4" w:space="0"/>
            </w:tcBorders>
            <w:vAlign w:val="center"/>
          </w:tcPr>
          <w:p w14:paraId="41CC9F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3673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646547D0">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3134D1CE">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65395C6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A23绩效监控及自评完成率</w:t>
            </w:r>
          </w:p>
        </w:tc>
        <w:tc>
          <w:tcPr>
            <w:tcW w:w="788" w:type="dxa"/>
            <w:tcBorders>
              <w:top w:val="single" w:color="000000" w:sz="4" w:space="0"/>
              <w:left w:val="single" w:color="000000" w:sz="4" w:space="0"/>
              <w:bottom w:val="single" w:color="000000" w:sz="4" w:space="0"/>
              <w:right w:val="single" w:color="000000" w:sz="4" w:space="0"/>
            </w:tcBorders>
            <w:vAlign w:val="center"/>
          </w:tcPr>
          <w:p w14:paraId="12020E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1BA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531B403">
            <w:pPr>
              <w:jc w:val="center"/>
              <w:rPr>
                <w:rFonts w:hint="default" w:ascii="Times New Roman" w:hAnsi="Times New Roman" w:eastAsia="宋体" w:cs="Times New Roman"/>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vAlign w:val="center"/>
          </w:tcPr>
          <w:p w14:paraId="59461B1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A3资金安排（2）</w:t>
            </w:r>
          </w:p>
        </w:tc>
        <w:tc>
          <w:tcPr>
            <w:tcW w:w="4361" w:type="dxa"/>
            <w:tcBorders>
              <w:top w:val="single" w:color="000000" w:sz="4" w:space="0"/>
              <w:left w:val="single" w:color="000000" w:sz="4" w:space="0"/>
              <w:bottom w:val="single" w:color="000000" w:sz="4" w:space="0"/>
              <w:right w:val="single" w:color="000000" w:sz="4" w:space="0"/>
            </w:tcBorders>
            <w:vAlign w:val="center"/>
          </w:tcPr>
          <w:p w14:paraId="630AA5D4">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A31预算编制合理性</w:t>
            </w:r>
          </w:p>
        </w:tc>
        <w:tc>
          <w:tcPr>
            <w:tcW w:w="788" w:type="dxa"/>
            <w:tcBorders>
              <w:top w:val="single" w:color="000000" w:sz="4" w:space="0"/>
              <w:left w:val="single" w:color="000000" w:sz="4" w:space="0"/>
              <w:bottom w:val="single" w:color="000000" w:sz="4" w:space="0"/>
              <w:right w:val="single" w:color="000000" w:sz="4" w:space="0"/>
            </w:tcBorders>
            <w:vAlign w:val="center"/>
          </w:tcPr>
          <w:p w14:paraId="4AC370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3F43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restart"/>
            <w:tcBorders>
              <w:top w:val="single" w:color="000000" w:sz="4" w:space="0"/>
              <w:left w:val="single" w:color="000000" w:sz="4" w:space="0"/>
              <w:bottom w:val="single" w:color="000000" w:sz="4" w:space="0"/>
              <w:right w:val="single" w:color="000000" w:sz="4" w:space="0"/>
            </w:tcBorders>
            <w:vAlign w:val="center"/>
          </w:tcPr>
          <w:p w14:paraId="735016B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B项目过程（28）</w:t>
            </w: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4030C1D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B1组织实施（13）</w:t>
            </w:r>
          </w:p>
        </w:tc>
        <w:tc>
          <w:tcPr>
            <w:tcW w:w="4361" w:type="dxa"/>
            <w:tcBorders>
              <w:top w:val="single" w:color="000000" w:sz="4" w:space="0"/>
              <w:left w:val="single" w:color="000000" w:sz="4" w:space="0"/>
              <w:bottom w:val="single" w:color="000000" w:sz="4" w:space="0"/>
              <w:right w:val="single" w:color="000000" w:sz="4" w:space="0"/>
            </w:tcBorders>
            <w:vAlign w:val="center"/>
          </w:tcPr>
          <w:p w14:paraId="0394CAF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B11项目库建设及管理规范性</w:t>
            </w:r>
          </w:p>
        </w:tc>
        <w:tc>
          <w:tcPr>
            <w:tcW w:w="788" w:type="dxa"/>
            <w:tcBorders>
              <w:top w:val="single" w:color="000000" w:sz="4" w:space="0"/>
              <w:left w:val="single" w:color="000000" w:sz="4" w:space="0"/>
              <w:bottom w:val="single" w:color="000000" w:sz="4" w:space="0"/>
              <w:right w:val="single" w:color="000000" w:sz="4" w:space="0"/>
            </w:tcBorders>
            <w:vAlign w:val="center"/>
          </w:tcPr>
          <w:p w14:paraId="24CA54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6E7D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A7D4C8E">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DD48868">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729DBC5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B12项目管理制度健全性</w:t>
            </w:r>
          </w:p>
        </w:tc>
        <w:tc>
          <w:tcPr>
            <w:tcW w:w="788" w:type="dxa"/>
            <w:tcBorders>
              <w:top w:val="single" w:color="000000" w:sz="4" w:space="0"/>
              <w:left w:val="single" w:color="000000" w:sz="4" w:space="0"/>
              <w:bottom w:val="single" w:color="000000" w:sz="4" w:space="0"/>
              <w:right w:val="single" w:color="000000" w:sz="4" w:space="0"/>
            </w:tcBorders>
            <w:vAlign w:val="center"/>
          </w:tcPr>
          <w:p w14:paraId="3D16E8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1683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2CDF0478">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73892961">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FA064D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B13政府采购规范性</w:t>
            </w:r>
          </w:p>
        </w:tc>
        <w:tc>
          <w:tcPr>
            <w:tcW w:w="788" w:type="dxa"/>
            <w:tcBorders>
              <w:top w:val="single" w:color="000000" w:sz="4" w:space="0"/>
              <w:left w:val="single" w:color="000000" w:sz="4" w:space="0"/>
              <w:bottom w:val="single" w:color="000000" w:sz="4" w:space="0"/>
              <w:right w:val="single" w:color="000000" w:sz="4" w:space="0"/>
            </w:tcBorders>
            <w:vAlign w:val="center"/>
          </w:tcPr>
          <w:p w14:paraId="2A12E3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4F06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73938350">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138FD4BB">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F563E9D">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B14项目执行有效性</w:t>
            </w:r>
          </w:p>
        </w:tc>
        <w:tc>
          <w:tcPr>
            <w:tcW w:w="788" w:type="dxa"/>
            <w:tcBorders>
              <w:top w:val="single" w:color="000000" w:sz="4" w:space="0"/>
              <w:left w:val="single" w:color="000000" w:sz="4" w:space="0"/>
              <w:bottom w:val="single" w:color="000000" w:sz="4" w:space="0"/>
              <w:right w:val="single" w:color="000000" w:sz="4" w:space="0"/>
            </w:tcBorders>
            <w:vAlign w:val="center"/>
          </w:tcPr>
          <w:p w14:paraId="242FCD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5FD9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6B815FA1">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310BD530">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2DA8D2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B15信息公开和公告公示制度执行有效性</w:t>
            </w:r>
          </w:p>
        </w:tc>
        <w:tc>
          <w:tcPr>
            <w:tcW w:w="788" w:type="dxa"/>
            <w:tcBorders>
              <w:top w:val="single" w:color="000000" w:sz="4" w:space="0"/>
              <w:left w:val="single" w:color="000000" w:sz="4" w:space="0"/>
              <w:bottom w:val="single" w:color="000000" w:sz="4" w:space="0"/>
              <w:right w:val="single" w:color="000000" w:sz="4" w:space="0"/>
            </w:tcBorders>
            <w:vAlign w:val="center"/>
          </w:tcPr>
          <w:p w14:paraId="5FD336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4F79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24302F4C">
            <w:pPr>
              <w:jc w:val="center"/>
              <w:rPr>
                <w:rFonts w:hint="default" w:ascii="Times New Roman" w:hAnsi="Times New Roman" w:eastAsia="宋体" w:cs="Times New Roman"/>
                <w:i w:val="0"/>
                <w:iCs w:val="0"/>
                <w:color w:val="000000"/>
                <w:sz w:val="21"/>
                <w:szCs w:val="21"/>
                <w:u w:val="none"/>
              </w:rPr>
            </w:pP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794B7FA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B2资金管理（15）</w:t>
            </w:r>
          </w:p>
        </w:tc>
        <w:tc>
          <w:tcPr>
            <w:tcW w:w="4361" w:type="dxa"/>
            <w:tcBorders>
              <w:top w:val="single" w:color="000000" w:sz="4" w:space="0"/>
              <w:left w:val="single" w:color="000000" w:sz="4" w:space="0"/>
              <w:bottom w:val="single" w:color="000000" w:sz="4" w:space="0"/>
              <w:right w:val="single" w:color="000000" w:sz="4" w:space="0"/>
            </w:tcBorders>
            <w:vAlign w:val="center"/>
          </w:tcPr>
          <w:p w14:paraId="2082F85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B21资金到位率</w:t>
            </w:r>
          </w:p>
        </w:tc>
        <w:tc>
          <w:tcPr>
            <w:tcW w:w="788" w:type="dxa"/>
            <w:tcBorders>
              <w:top w:val="single" w:color="000000" w:sz="4" w:space="0"/>
              <w:left w:val="single" w:color="000000" w:sz="4" w:space="0"/>
              <w:bottom w:val="single" w:color="000000" w:sz="4" w:space="0"/>
              <w:right w:val="single" w:color="000000" w:sz="4" w:space="0"/>
            </w:tcBorders>
            <w:vAlign w:val="center"/>
          </w:tcPr>
          <w:p w14:paraId="7BC636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F20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2B531D5F">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6B1281F9">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EDDC63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B22资金用于产业比例</w:t>
            </w:r>
          </w:p>
        </w:tc>
        <w:tc>
          <w:tcPr>
            <w:tcW w:w="788" w:type="dxa"/>
            <w:tcBorders>
              <w:top w:val="single" w:color="000000" w:sz="4" w:space="0"/>
              <w:left w:val="single" w:color="000000" w:sz="4" w:space="0"/>
              <w:bottom w:val="single" w:color="000000" w:sz="4" w:space="0"/>
              <w:right w:val="single" w:color="000000" w:sz="4" w:space="0"/>
            </w:tcBorders>
            <w:vAlign w:val="center"/>
          </w:tcPr>
          <w:p w14:paraId="48CAC3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1F60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57AEA8D">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ED49A0C">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711492C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B23预算执行率</w:t>
            </w:r>
          </w:p>
        </w:tc>
        <w:tc>
          <w:tcPr>
            <w:tcW w:w="788" w:type="dxa"/>
            <w:tcBorders>
              <w:top w:val="single" w:color="000000" w:sz="4" w:space="0"/>
              <w:left w:val="single" w:color="000000" w:sz="4" w:space="0"/>
              <w:bottom w:val="single" w:color="000000" w:sz="4" w:space="0"/>
              <w:right w:val="single" w:color="000000" w:sz="4" w:space="0"/>
            </w:tcBorders>
            <w:vAlign w:val="center"/>
          </w:tcPr>
          <w:p w14:paraId="2BEF44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23F7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11CB790B">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02FA215C">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4901E0A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B24财务管理制度健全性</w:t>
            </w:r>
          </w:p>
        </w:tc>
        <w:tc>
          <w:tcPr>
            <w:tcW w:w="788" w:type="dxa"/>
            <w:tcBorders>
              <w:top w:val="single" w:color="000000" w:sz="4" w:space="0"/>
              <w:left w:val="single" w:color="000000" w:sz="4" w:space="0"/>
              <w:bottom w:val="single" w:color="000000" w:sz="4" w:space="0"/>
              <w:right w:val="single" w:color="000000" w:sz="4" w:space="0"/>
            </w:tcBorders>
            <w:vAlign w:val="center"/>
          </w:tcPr>
          <w:p w14:paraId="069C6E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1F9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10CDFB6">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B3B8120">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5FCF29B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B25资金使用合规性</w:t>
            </w:r>
          </w:p>
        </w:tc>
        <w:tc>
          <w:tcPr>
            <w:tcW w:w="788" w:type="dxa"/>
            <w:tcBorders>
              <w:top w:val="single" w:color="000000" w:sz="4" w:space="0"/>
              <w:left w:val="single" w:color="000000" w:sz="4" w:space="0"/>
              <w:bottom w:val="single" w:color="000000" w:sz="4" w:space="0"/>
              <w:right w:val="single" w:color="000000" w:sz="4" w:space="0"/>
            </w:tcBorders>
            <w:vAlign w:val="center"/>
          </w:tcPr>
          <w:p w14:paraId="1D990F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0484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E3BA26A">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081E5973">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56C5F0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B26监督管理有效性</w:t>
            </w:r>
          </w:p>
        </w:tc>
        <w:tc>
          <w:tcPr>
            <w:tcW w:w="788" w:type="dxa"/>
            <w:tcBorders>
              <w:top w:val="single" w:color="000000" w:sz="4" w:space="0"/>
              <w:left w:val="single" w:color="000000" w:sz="4" w:space="0"/>
              <w:bottom w:val="single" w:color="000000" w:sz="4" w:space="0"/>
              <w:right w:val="single" w:color="000000" w:sz="4" w:space="0"/>
            </w:tcBorders>
            <w:vAlign w:val="center"/>
          </w:tcPr>
          <w:p w14:paraId="5293BB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14:paraId="05BB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exact"/>
          <w:jc w:val="center"/>
        </w:trPr>
        <w:tc>
          <w:tcPr>
            <w:tcW w:w="1451" w:type="dxa"/>
            <w:vMerge w:val="restart"/>
            <w:tcBorders>
              <w:top w:val="single" w:color="000000" w:sz="4" w:space="0"/>
              <w:left w:val="single" w:color="000000" w:sz="4" w:space="0"/>
              <w:bottom w:val="single" w:color="000000" w:sz="4" w:space="0"/>
              <w:right w:val="single" w:color="000000" w:sz="4" w:space="0"/>
            </w:tcBorders>
            <w:vAlign w:val="center"/>
          </w:tcPr>
          <w:p w14:paraId="24BCB79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C项目产出（30）</w:t>
            </w:r>
          </w:p>
        </w:tc>
        <w:tc>
          <w:tcPr>
            <w:tcW w:w="1925" w:type="dxa"/>
            <w:tcBorders>
              <w:top w:val="single" w:color="000000" w:sz="4" w:space="0"/>
              <w:left w:val="single" w:color="000000" w:sz="4" w:space="0"/>
              <w:bottom w:val="single" w:color="000000" w:sz="4" w:space="0"/>
              <w:right w:val="single" w:color="000000" w:sz="4" w:space="0"/>
            </w:tcBorders>
            <w:vAlign w:val="center"/>
          </w:tcPr>
          <w:p w14:paraId="3CCB2F7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C1产出数量（8）</w:t>
            </w:r>
          </w:p>
        </w:tc>
        <w:tc>
          <w:tcPr>
            <w:tcW w:w="4361" w:type="dxa"/>
            <w:tcBorders>
              <w:top w:val="single" w:color="000000" w:sz="4" w:space="0"/>
              <w:left w:val="single" w:color="000000" w:sz="4" w:space="0"/>
              <w:bottom w:val="single" w:color="000000" w:sz="4" w:space="0"/>
              <w:right w:val="single" w:color="000000" w:sz="4" w:space="0"/>
            </w:tcBorders>
            <w:vAlign w:val="center"/>
          </w:tcPr>
          <w:p w14:paraId="19DB588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C11项目建设实施完成率</w:t>
            </w:r>
          </w:p>
        </w:tc>
        <w:tc>
          <w:tcPr>
            <w:tcW w:w="788" w:type="dxa"/>
            <w:tcBorders>
              <w:top w:val="single" w:color="000000" w:sz="4" w:space="0"/>
              <w:left w:val="single" w:color="000000" w:sz="4" w:space="0"/>
              <w:bottom w:val="single" w:color="000000" w:sz="4" w:space="0"/>
              <w:right w:val="single" w:color="000000" w:sz="4" w:space="0"/>
            </w:tcBorders>
            <w:vAlign w:val="center"/>
          </w:tcPr>
          <w:p w14:paraId="6048EA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14:paraId="28E7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11380635">
            <w:pPr>
              <w:jc w:val="center"/>
              <w:rPr>
                <w:rFonts w:hint="default" w:ascii="Times New Roman" w:hAnsi="Times New Roman" w:eastAsia="宋体" w:cs="Times New Roman"/>
                <w:i w:val="0"/>
                <w:iCs w:val="0"/>
                <w:color w:val="000000"/>
                <w:sz w:val="21"/>
                <w:szCs w:val="21"/>
                <w:u w:val="none"/>
              </w:rPr>
            </w:pP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4011720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C2产出质量（8）</w:t>
            </w:r>
          </w:p>
        </w:tc>
        <w:tc>
          <w:tcPr>
            <w:tcW w:w="4361" w:type="dxa"/>
            <w:tcBorders>
              <w:top w:val="single" w:color="000000" w:sz="4" w:space="0"/>
              <w:left w:val="single" w:color="000000" w:sz="4" w:space="0"/>
              <w:bottom w:val="single" w:color="000000" w:sz="4" w:space="0"/>
              <w:right w:val="single" w:color="000000" w:sz="4" w:space="0"/>
            </w:tcBorders>
            <w:vAlign w:val="center"/>
          </w:tcPr>
          <w:p w14:paraId="7FB4E03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C21项目验收合格率</w:t>
            </w:r>
          </w:p>
        </w:tc>
        <w:tc>
          <w:tcPr>
            <w:tcW w:w="788" w:type="dxa"/>
            <w:tcBorders>
              <w:top w:val="single" w:color="000000" w:sz="4" w:space="0"/>
              <w:left w:val="single" w:color="000000" w:sz="4" w:space="0"/>
              <w:bottom w:val="single" w:color="000000" w:sz="4" w:space="0"/>
              <w:right w:val="single" w:color="000000" w:sz="4" w:space="0"/>
            </w:tcBorders>
            <w:vAlign w:val="center"/>
          </w:tcPr>
          <w:p w14:paraId="7DDA85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r>
      <w:tr w14:paraId="07D9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7B6285C2">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79614EDB">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7177B96D">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C22工程质量达标率</w:t>
            </w:r>
          </w:p>
        </w:tc>
        <w:tc>
          <w:tcPr>
            <w:tcW w:w="788" w:type="dxa"/>
            <w:tcBorders>
              <w:top w:val="single" w:color="000000" w:sz="4" w:space="0"/>
              <w:left w:val="single" w:color="000000" w:sz="4" w:space="0"/>
              <w:bottom w:val="single" w:color="000000" w:sz="4" w:space="0"/>
              <w:right w:val="single" w:color="000000" w:sz="4" w:space="0"/>
            </w:tcBorders>
            <w:vAlign w:val="center"/>
          </w:tcPr>
          <w:p w14:paraId="25CBA6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7D98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6E5DD326">
            <w:pPr>
              <w:jc w:val="center"/>
              <w:rPr>
                <w:rFonts w:hint="default" w:ascii="Times New Roman" w:hAnsi="Times New Roman" w:eastAsia="宋体" w:cs="Times New Roman"/>
                <w:i w:val="0"/>
                <w:iCs w:val="0"/>
                <w:color w:val="000000"/>
                <w:sz w:val="21"/>
                <w:szCs w:val="21"/>
                <w:u w:val="none"/>
              </w:rPr>
            </w:pP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35A6EC6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C3产出时效（8）</w:t>
            </w:r>
          </w:p>
        </w:tc>
        <w:tc>
          <w:tcPr>
            <w:tcW w:w="4361" w:type="dxa"/>
            <w:tcBorders>
              <w:top w:val="single" w:color="000000" w:sz="4" w:space="0"/>
              <w:left w:val="single" w:color="000000" w:sz="4" w:space="0"/>
              <w:bottom w:val="single" w:color="000000" w:sz="4" w:space="0"/>
              <w:right w:val="single" w:color="000000" w:sz="4" w:space="0"/>
            </w:tcBorders>
            <w:vAlign w:val="center"/>
          </w:tcPr>
          <w:p w14:paraId="37B319C6">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C31项目开工及时率</w:t>
            </w:r>
          </w:p>
        </w:tc>
        <w:tc>
          <w:tcPr>
            <w:tcW w:w="788" w:type="dxa"/>
            <w:tcBorders>
              <w:top w:val="single" w:color="000000" w:sz="4" w:space="0"/>
              <w:left w:val="single" w:color="000000" w:sz="4" w:space="0"/>
              <w:bottom w:val="single" w:color="000000" w:sz="4" w:space="0"/>
              <w:right w:val="single" w:color="000000" w:sz="4" w:space="0"/>
            </w:tcBorders>
            <w:vAlign w:val="center"/>
          </w:tcPr>
          <w:p w14:paraId="07D0E0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51B7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45F389C9">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4046A84B">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781C0104">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C32项目完成及时率</w:t>
            </w:r>
          </w:p>
        </w:tc>
        <w:tc>
          <w:tcPr>
            <w:tcW w:w="788" w:type="dxa"/>
            <w:tcBorders>
              <w:top w:val="single" w:color="000000" w:sz="4" w:space="0"/>
              <w:left w:val="single" w:color="000000" w:sz="4" w:space="0"/>
              <w:bottom w:val="single" w:color="000000" w:sz="4" w:space="0"/>
              <w:right w:val="single" w:color="000000" w:sz="4" w:space="0"/>
            </w:tcBorders>
            <w:vAlign w:val="center"/>
          </w:tcPr>
          <w:p w14:paraId="55C918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13EA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7C30DD7E">
            <w:pPr>
              <w:jc w:val="center"/>
              <w:rPr>
                <w:rFonts w:hint="default" w:ascii="Times New Roman" w:hAnsi="Times New Roman" w:eastAsia="宋体" w:cs="Times New Roman"/>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vAlign w:val="center"/>
          </w:tcPr>
          <w:p w14:paraId="6036F14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C4产出成本（6）</w:t>
            </w:r>
          </w:p>
        </w:tc>
        <w:tc>
          <w:tcPr>
            <w:tcW w:w="4361" w:type="dxa"/>
            <w:tcBorders>
              <w:top w:val="single" w:color="000000" w:sz="4" w:space="0"/>
              <w:left w:val="single" w:color="000000" w:sz="4" w:space="0"/>
              <w:bottom w:val="single" w:color="000000" w:sz="4" w:space="0"/>
              <w:right w:val="single" w:color="000000" w:sz="4" w:space="0"/>
            </w:tcBorders>
            <w:vAlign w:val="center"/>
          </w:tcPr>
          <w:p w14:paraId="4C73EFC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C41项目成本节约率</w:t>
            </w:r>
          </w:p>
        </w:tc>
        <w:tc>
          <w:tcPr>
            <w:tcW w:w="788" w:type="dxa"/>
            <w:tcBorders>
              <w:top w:val="single" w:color="000000" w:sz="4" w:space="0"/>
              <w:left w:val="single" w:color="000000" w:sz="4" w:space="0"/>
              <w:bottom w:val="single" w:color="000000" w:sz="4" w:space="0"/>
              <w:right w:val="single" w:color="000000" w:sz="4" w:space="0"/>
            </w:tcBorders>
            <w:vAlign w:val="center"/>
          </w:tcPr>
          <w:p w14:paraId="281FE4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14:paraId="559A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exact"/>
          <w:jc w:val="center"/>
        </w:trPr>
        <w:tc>
          <w:tcPr>
            <w:tcW w:w="1451" w:type="dxa"/>
            <w:vMerge w:val="restart"/>
            <w:tcBorders>
              <w:top w:val="single" w:color="000000" w:sz="4" w:space="0"/>
              <w:left w:val="single" w:color="000000" w:sz="4" w:space="0"/>
              <w:bottom w:val="single" w:color="000000" w:sz="4" w:space="0"/>
              <w:right w:val="single" w:color="000000" w:sz="4" w:space="0"/>
            </w:tcBorders>
            <w:vAlign w:val="center"/>
          </w:tcPr>
          <w:p w14:paraId="3F91D5C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D项目效益（30）</w:t>
            </w: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25EF504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D1经济效益（8）</w:t>
            </w:r>
          </w:p>
        </w:tc>
        <w:tc>
          <w:tcPr>
            <w:tcW w:w="4361" w:type="dxa"/>
            <w:tcBorders>
              <w:top w:val="single" w:color="000000" w:sz="4" w:space="0"/>
              <w:left w:val="single" w:color="000000" w:sz="4" w:space="0"/>
              <w:bottom w:val="single" w:color="000000" w:sz="4" w:space="0"/>
              <w:right w:val="single" w:color="000000" w:sz="4" w:space="0"/>
            </w:tcBorders>
            <w:vAlign w:val="center"/>
          </w:tcPr>
          <w:p w14:paraId="4787696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D11农村居民人均可支配收入增长率</w:t>
            </w:r>
          </w:p>
        </w:tc>
        <w:tc>
          <w:tcPr>
            <w:tcW w:w="788" w:type="dxa"/>
            <w:tcBorders>
              <w:top w:val="single" w:color="000000" w:sz="4" w:space="0"/>
              <w:left w:val="single" w:color="000000" w:sz="4" w:space="0"/>
              <w:bottom w:val="single" w:color="000000" w:sz="4" w:space="0"/>
              <w:right w:val="single" w:color="000000" w:sz="4" w:space="0"/>
            </w:tcBorders>
            <w:vAlign w:val="center"/>
          </w:tcPr>
          <w:p w14:paraId="35F0C9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0D68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7E062C2E">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7EACA595">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54674115">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D12带动增加村集体经济年收入</w:t>
            </w:r>
          </w:p>
        </w:tc>
        <w:tc>
          <w:tcPr>
            <w:tcW w:w="788" w:type="dxa"/>
            <w:tcBorders>
              <w:top w:val="single" w:color="000000" w:sz="4" w:space="0"/>
              <w:left w:val="single" w:color="000000" w:sz="4" w:space="0"/>
              <w:bottom w:val="single" w:color="000000" w:sz="4" w:space="0"/>
              <w:right w:val="single" w:color="000000" w:sz="4" w:space="0"/>
            </w:tcBorders>
            <w:vAlign w:val="center"/>
          </w:tcPr>
          <w:p w14:paraId="5298C5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2ECF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2A048579">
            <w:pPr>
              <w:jc w:val="center"/>
              <w:rPr>
                <w:rFonts w:hint="default" w:ascii="Times New Roman" w:hAnsi="Times New Roman" w:eastAsia="宋体" w:cs="Times New Roman"/>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vAlign w:val="center"/>
          </w:tcPr>
          <w:p w14:paraId="4BC5DF7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D2社会效益（3）</w:t>
            </w:r>
          </w:p>
        </w:tc>
        <w:tc>
          <w:tcPr>
            <w:tcW w:w="4361" w:type="dxa"/>
            <w:tcBorders>
              <w:top w:val="single" w:color="000000" w:sz="4" w:space="0"/>
              <w:left w:val="single" w:color="000000" w:sz="4" w:space="0"/>
              <w:bottom w:val="single" w:color="000000" w:sz="4" w:space="0"/>
              <w:right w:val="single" w:color="000000" w:sz="4" w:space="0"/>
            </w:tcBorders>
            <w:vAlign w:val="center"/>
          </w:tcPr>
          <w:p w14:paraId="5DF13BA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D21惠及困难群众数量</w:t>
            </w:r>
          </w:p>
        </w:tc>
        <w:tc>
          <w:tcPr>
            <w:tcW w:w="788" w:type="dxa"/>
            <w:tcBorders>
              <w:top w:val="single" w:color="000000" w:sz="4" w:space="0"/>
              <w:left w:val="single" w:color="000000" w:sz="4" w:space="0"/>
              <w:bottom w:val="single" w:color="000000" w:sz="4" w:space="0"/>
              <w:right w:val="single" w:color="000000" w:sz="4" w:space="0"/>
            </w:tcBorders>
            <w:vAlign w:val="center"/>
          </w:tcPr>
          <w:p w14:paraId="6EF313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4B6B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1D71D62D">
            <w:pPr>
              <w:jc w:val="center"/>
              <w:rPr>
                <w:rFonts w:hint="default" w:ascii="Times New Roman" w:hAnsi="Times New Roman" w:eastAsia="宋体" w:cs="Times New Roman"/>
                <w:i w:val="0"/>
                <w:iCs w:val="0"/>
                <w:color w:val="000000"/>
                <w:sz w:val="21"/>
                <w:szCs w:val="21"/>
                <w:u w:val="none"/>
              </w:rPr>
            </w:pPr>
          </w:p>
        </w:tc>
        <w:tc>
          <w:tcPr>
            <w:tcW w:w="1925" w:type="dxa"/>
            <w:vMerge w:val="restart"/>
            <w:tcBorders>
              <w:top w:val="single" w:color="000000" w:sz="4" w:space="0"/>
              <w:left w:val="single" w:color="000000" w:sz="4" w:space="0"/>
              <w:bottom w:val="single" w:color="000000" w:sz="4" w:space="0"/>
              <w:right w:val="single" w:color="000000" w:sz="4" w:space="0"/>
            </w:tcBorders>
            <w:vAlign w:val="center"/>
          </w:tcPr>
          <w:p w14:paraId="009B5C0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D3可持续影响（15）</w:t>
            </w:r>
          </w:p>
        </w:tc>
        <w:tc>
          <w:tcPr>
            <w:tcW w:w="4361" w:type="dxa"/>
            <w:tcBorders>
              <w:top w:val="single" w:color="000000" w:sz="4" w:space="0"/>
              <w:left w:val="single" w:color="000000" w:sz="4" w:space="0"/>
              <w:bottom w:val="single" w:color="000000" w:sz="4" w:space="0"/>
              <w:right w:val="single" w:color="000000" w:sz="4" w:space="0"/>
            </w:tcBorders>
            <w:vAlign w:val="center"/>
          </w:tcPr>
          <w:p w14:paraId="33C960E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D31联农带农机制有效性</w:t>
            </w:r>
          </w:p>
        </w:tc>
        <w:tc>
          <w:tcPr>
            <w:tcW w:w="788" w:type="dxa"/>
            <w:tcBorders>
              <w:top w:val="single" w:color="000000" w:sz="4" w:space="0"/>
              <w:left w:val="single" w:color="000000" w:sz="4" w:space="0"/>
              <w:bottom w:val="single" w:color="000000" w:sz="4" w:space="0"/>
              <w:right w:val="single" w:color="000000" w:sz="4" w:space="0"/>
            </w:tcBorders>
            <w:vAlign w:val="center"/>
          </w:tcPr>
          <w:p w14:paraId="65E10D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1CC8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5B5736A4">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36668FFF">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0D9F3F8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D32资产管理有效性</w:t>
            </w:r>
          </w:p>
        </w:tc>
        <w:tc>
          <w:tcPr>
            <w:tcW w:w="788" w:type="dxa"/>
            <w:tcBorders>
              <w:top w:val="single" w:color="000000" w:sz="4" w:space="0"/>
              <w:left w:val="single" w:color="000000" w:sz="4" w:space="0"/>
              <w:bottom w:val="single" w:color="000000" w:sz="4" w:space="0"/>
              <w:right w:val="single" w:color="000000" w:sz="4" w:space="0"/>
            </w:tcBorders>
            <w:vAlign w:val="center"/>
          </w:tcPr>
          <w:p w14:paraId="0921A3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5F94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0F07E218">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2C4797BA">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5429376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w:t>
            </w:r>
            <w:r>
              <w:rPr>
                <w:rFonts w:hint="eastAsia" w:ascii="Times New Roman" w:hAnsi="Times New Roman" w:eastAsia="宋体" w:cs="Times New Roman"/>
                <w:i w:val="0"/>
                <w:iCs w:val="0"/>
                <w:color w:val="000000"/>
                <w:kern w:val="0"/>
                <w:sz w:val="21"/>
                <w:szCs w:val="21"/>
                <w:u w:val="none"/>
                <w:lang w:val="en-US" w:eastAsia="zh-CN"/>
              </w:rPr>
              <w:t>3</w:t>
            </w:r>
            <w:r>
              <w:rPr>
                <w:rFonts w:hint="default" w:ascii="Times New Roman" w:hAnsi="Times New Roman" w:eastAsia="宋体" w:cs="Times New Roman"/>
                <w:i w:val="0"/>
                <w:iCs w:val="0"/>
                <w:color w:val="000000"/>
                <w:kern w:val="0"/>
                <w:sz w:val="21"/>
                <w:szCs w:val="21"/>
                <w:u w:val="none"/>
                <w:lang w:val="en-US" w:eastAsia="zh-CN"/>
              </w:rPr>
              <w:t>项目管护机制健全性</w:t>
            </w:r>
          </w:p>
        </w:tc>
        <w:tc>
          <w:tcPr>
            <w:tcW w:w="788" w:type="dxa"/>
            <w:tcBorders>
              <w:top w:val="single" w:color="000000" w:sz="4" w:space="0"/>
              <w:left w:val="single" w:color="000000" w:sz="4" w:space="0"/>
              <w:bottom w:val="single" w:color="000000" w:sz="4" w:space="0"/>
              <w:right w:val="single" w:color="000000" w:sz="4" w:space="0"/>
            </w:tcBorders>
            <w:vAlign w:val="center"/>
          </w:tcPr>
          <w:p w14:paraId="7F8170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3452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3D1B3D3C">
            <w:pPr>
              <w:jc w:val="center"/>
              <w:rPr>
                <w:rFonts w:hint="default" w:ascii="Times New Roman" w:hAnsi="Times New Roman" w:eastAsia="宋体" w:cs="Times New Roman"/>
                <w:i w:val="0"/>
                <w:iCs w:val="0"/>
                <w:color w:val="000000"/>
                <w:sz w:val="21"/>
                <w:szCs w:val="21"/>
                <w:u w:val="none"/>
              </w:rPr>
            </w:pPr>
          </w:p>
        </w:tc>
        <w:tc>
          <w:tcPr>
            <w:tcW w:w="1925" w:type="dxa"/>
            <w:vMerge w:val="continue"/>
            <w:tcBorders>
              <w:top w:val="single" w:color="000000" w:sz="4" w:space="0"/>
              <w:left w:val="single" w:color="000000" w:sz="4" w:space="0"/>
              <w:bottom w:val="single" w:color="000000" w:sz="4" w:space="0"/>
              <w:right w:val="single" w:color="000000" w:sz="4" w:space="0"/>
            </w:tcBorders>
            <w:vAlign w:val="center"/>
          </w:tcPr>
          <w:p w14:paraId="0AA8928D">
            <w:pPr>
              <w:jc w:val="center"/>
              <w:rPr>
                <w:rFonts w:hint="default" w:ascii="Times New Roman" w:hAnsi="Times New Roman" w:eastAsia="宋体" w:cs="Times New Roman"/>
                <w:i w:val="0"/>
                <w:iCs w:val="0"/>
                <w:color w:val="000000"/>
                <w:sz w:val="21"/>
                <w:szCs w:val="21"/>
                <w:u w:val="none"/>
              </w:rPr>
            </w:pPr>
          </w:p>
        </w:tc>
        <w:tc>
          <w:tcPr>
            <w:tcW w:w="4361" w:type="dxa"/>
            <w:tcBorders>
              <w:top w:val="single" w:color="000000" w:sz="4" w:space="0"/>
              <w:left w:val="single" w:color="000000" w:sz="4" w:space="0"/>
              <w:bottom w:val="single" w:color="000000" w:sz="4" w:space="0"/>
              <w:right w:val="single" w:color="000000" w:sz="4" w:space="0"/>
            </w:tcBorders>
            <w:vAlign w:val="center"/>
          </w:tcPr>
          <w:p w14:paraId="7C36B8EF">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w:t>
            </w:r>
            <w:r>
              <w:rPr>
                <w:rFonts w:hint="eastAsia" w:ascii="Times New Roman" w:hAnsi="Times New Roman" w:eastAsia="宋体" w:cs="Times New Roman"/>
                <w:i w:val="0"/>
                <w:iCs w:val="0"/>
                <w:color w:val="000000"/>
                <w:kern w:val="0"/>
                <w:sz w:val="21"/>
                <w:szCs w:val="21"/>
                <w:u w:val="none"/>
                <w:lang w:val="en-US" w:eastAsia="zh-CN"/>
              </w:rPr>
              <w:t>4</w:t>
            </w:r>
            <w:r>
              <w:rPr>
                <w:rFonts w:hint="default" w:ascii="Times New Roman" w:hAnsi="Times New Roman" w:eastAsia="宋体" w:cs="Times New Roman"/>
                <w:i w:val="0"/>
                <w:iCs w:val="0"/>
                <w:color w:val="000000"/>
                <w:kern w:val="0"/>
                <w:sz w:val="21"/>
                <w:szCs w:val="21"/>
                <w:u w:val="none"/>
                <w:lang w:val="en-US" w:eastAsia="zh-CN"/>
              </w:rPr>
              <w:t>往年项目持续发挥作用情况</w:t>
            </w:r>
          </w:p>
        </w:tc>
        <w:tc>
          <w:tcPr>
            <w:tcW w:w="788" w:type="dxa"/>
            <w:tcBorders>
              <w:top w:val="single" w:color="000000" w:sz="4" w:space="0"/>
              <w:left w:val="single" w:color="000000" w:sz="4" w:space="0"/>
              <w:bottom w:val="single" w:color="000000" w:sz="4" w:space="0"/>
              <w:right w:val="single" w:color="000000" w:sz="4" w:space="0"/>
            </w:tcBorders>
            <w:vAlign w:val="center"/>
          </w:tcPr>
          <w:p w14:paraId="28265F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70A5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exact"/>
          <w:jc w:val="center"/>
        </w:trPr>
        <w:tc>
          <w:tcPr>
            <w:tcW w:w="1451" w:type="dxa"/>
            <w:vMerge w:val="continue"/>
            <w:tcBorders>
              <w:top w:val="single" w:color="000000" w:sz="4" w:space="0"/>
              <w:left w:val="single" w:color="000000" w:sz="4" w:space="0"/>
              <w:bottom w:val="single" w:color="000000" w:sz="4" w:space="0"/>
              <w:right w:val="single" w:color="000000" w:sz="4" w:space="0"/>
            </w:tcBorders>
            <w:vAlign w:val="center"/>
          </w:tcPr>
          <w:p w14:paraId="094816B1">
            <w:pPr>
              <w:jc w:val="center"/>
              <w:rPr>
                <w:rFonts w:hint="default" w:ascii="Times New Roman" w:hAnsi="Times New Roman" w:eastAsia="宋体" w:cs="Times New Roman"/>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vAlign w:val="center"/>
          </w:tcPr>
          <w:p w14:paraId="15A7501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D4服务对象满意度（4）</w:t>
            </w:r>
          </w:p>
        </w:tc>
        <w:tc>
          <w:tcPr>
            <w:tcW w:w="4361" w:type="dxa"/>
            <w:tcBorders>
              <w:top w:val="single" w:color="000000" w:sz="4" w:space="0"/>
              <w:left w:val="single" w:color="000000" w:sz="4" w:space="0"/>
              <w:bottom w:val="single" w:color="000000" w:sz="4" w:space="0"/>
              <w:right w:val="single" w:color="000000" w:sz="4" w:space="0"/>
            </w:tcBorders>
            <w:vAlign w:val="center"/>
          </w:tcPr>
          <w:p w14:paraId="4406957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D41脱贫户和防止返贫监测对象满意度 </w:t>
            </w:r>
          </w:p>
        </w:tc>
        <w:tc>
          <w:tcPr>
            <w:tcW w:w="788" w:type="dxa"/>
            <w:tcBorders>
              <w:top w:val="single" w:color="000000" w:sz="4" w:space="0"/>
              <w:left w:val="single" w:color="000000" w:sz="4" w:space="0"/>
              <w:bottom w:val="single" w:color="000000" w:sz="4" w:space="0"/>
              <w:right w:val="single" w:color="000000" w:sz="4" w:space="0"/>
            </w:tcBorders>
            <w:vAlign w:val="center"/>
          </w:tcPr>
          <w:p w14:paraId="135977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14:paraId="6B8D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7737" w:type="dxa"/>
            <w:gridSpan w:val="3"/>
            <w:tcBorders>
              <w:top w:val="single" w:color="000000" w:sz="4" w:space="0"/>
              <w:left w:val="single" w:color="000000" w:sz="4" w:space="0"/>
              <w:bottom w:val="single" w:color="000000" w:sz="4" w:space="0"/>
              <w:right w:val="single" w:color="000000" w:sz="4" w:space="0"/>
            </w:tcBorders>
            <w:vAlign w:val="center"/>
          </w:tcPr>
          <w:p w14:paraId="37F5A502">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788" w:type="dxa"/>
            <w:tcBorders>
              <w:top w:val="single" w:color="000000" w:sz="4" w:space="0"/>
              <w:left w:val="single" w:color="000000" w:sz="4" w:space="0"/>
              <w:bottom w:val="single" w:color="000000" w:sz="4" w:space="0"/>
              <w:right w:val="single" w:color="000000" w:sz="4" w:space="0"/>
            </w:tcBorders>
            <w:vAlign w:val="center"/>
          </w:tcPr>
          <w:p w14:paraId="78F5910B">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100</w:t>
            </w:r>
          </w:p>
        </w:tc>
      </w:tr>
    </w:tbl>
    <w:p w14:paraId="7FA92A04">
      <w:pPr>
        <w:pStyle w:val="27"/>
        <w:ind w:firstLine="562"/>
        <w:rPr>
          <w:rFonts w:hint="default" w:ascii="Times New Roman" w:hAnsi="Times New Roman" w:cs="Times New Roman"/>
        </w:rPr>
      </w:pPr>
      <w:bookmarkStart w:id="70" w:name="_Toc87"/>
      <w:r>
        <w:rPr>
          <w:rFonts w:hint="default" w:ascii="Times New Roman" w:hAnsi="Times New Roman" w:cs="Times New Roman"/>
        </w:rPr>
        <w:t>（</w:t>
      </w:r>
      <w:r>
        <w:rPr>
          <w:rFonts w:hint="default" w:ascii="Times New Roman" w:hAnsi="Times New Roman" w:cs="Times New Roman"/>
          <w:lang w:val="en-US" w:eastAsia="zh-CN"/>
        </w:rPr>
        <w:t>四</w:t>
      </w:r>
      <w:r>
        <w:rPr>
          <w:rFonts w:hint="default" w:ascii="Times New Roman" w:hAnsi="Times New Roman" w:cs="Times New Roman"/>
        </w:rPr>
        <w:t>）绩效评价工作过程</w:t>
      </w:r>
      <w:bookmarkEnd w:id="65"/>
      <w:bookmarkEnd w:id="66"/>
      <w:bookmarkEnd w:id="70"/>
    </w:p>
    <w:p w14:paraId="284DC3D8">
      <w:pPr>
        <w:pStyle w:val="26"/>
        <w:rPr>
          <w:rFonts w:hint="default" w:ascii="Times New Roman" w:hAnsi="Times New Roman" w:cs="Times New Roman"/>
          <w:b/>
          <w:bCs/>
          <w:lang w:eastAsia="zh-CN"/>
        </w:rPr>
      </w:pPr>
      <w:bookmarkStart w:id="71" w:name="_Toc15542"/>
      <w:bookmarkStart w:id="72" w:name="_Toc26277"/>
      <w:r>
        <w:rPr>
          <w:rFonts w:hint="default" w:ascii="Times New Roman" w:hAnsi="Times New Roman" w:cs="Times New Roman"/>
          <w:b/>
          <w:bCs/>
          <w:lang w:val="en-US" w:eastAsia="zh-CN"/>
        </w:rPr>
        <w:t>1.</w:t>
      </w:r>
      <w:r>
        <w:rPr>
          <w:rFonts w:hint="default" w:ascii="Times New Roman" w:hAnsi="Times New Roman" w:cs="Times New Roman"/>
          <w:b/>
          <w:bCs/>
        </w:rPr>
        <w:t>前期工作阶段</w:t>
      </w:r>
      <w:bookmarkEnd w:id="71"/>
      <w:bookmarkEnd w:id="72"/>
      <w:r>
        <w:rPr>
          <w:rFonts w:hint="default" w:ascii="Times New Roman" w:hAnsi="Times New Roman" w:cs="Times New Roman"/>
          <w:b/>
          <w:bCs/>
          <w:lang w:eastAsia="zh-CN"/>
        </w:rPr>
        <w:t>（</w:t>
      </w:r>
      <w:r>
        <w:rPr>
          <w:rFonts w:hint="default" w:ascii="Times New Roman" w:hAnsi="Times New Roman" w:cs="Times New Roman"/>
          <w:b/>
          <w:bCs/>
          <w:lang w:val="en-US" w:eastAsia="zh-CN"/>
        </w:rPr>
        <w:t>11月</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日-11月</w:t>
      </w:r>
      <w:r>
        <w:rPr>
          <w:rFonts w:hint="eastAsia" w:ascii="Times New Roman" w:hAnsi="Times New Roman" w:cs="Times New Roman"/>
          <w:b/>
          <w:bCs/>
          <w:lang w:val="en-US" w:eastAsia="zh-CN"/>
        </w:rPr>
        <w:t>15</w:t>
      </w:r>
      <w:r>
        <w:rPr>
          <w:rFonts w:hint="default" w:ascii="Times New Roman" w:hAnsi="Times New Roman" w:cs="Times New Roman"/>
          <w:b/>
          <w:bCs/>
          <w:lang w:val="en-US" w:eastAsia="zh-CN"/>
        </w:rPr>
        <w:t>日</w:t>
      </w:r>
      <w:r>
        <w:rPr>
          <w:rFonts w:hint="default" w:ascii="Times New Roman" w:hAnsi="Times New Roman" w:cs="Times New Roman"/>
          <w:b/>
          <w:bCs/>
          <w:lang w:eastAsia="zh-CN"/>
        </w:rPr>
        <w:t>）</w:t>
      </w:r>
    </w:p>
    <w:p w14:paraId="7BD4CB33">
      <w:pPr>
        <w:pStyle w:val="26"/>
        <w:rPr>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一是</w:t>
      </w:r>
      <w:r>
        <w:rPr>
          <w:rFonts w:hint="default" w:ascii="Times New Roman" w:hAnsi="Times New Roman" w:cs="Times New Roman"/>
          <w:b/>
          <w:bCs/>
        </w:rPr>
        <w:t>项目前期</w:t>
      </w:r>
      <w:bookmarkStart w:id="73" w:name="_Hlk533506556"/>
      <w:r>
        <w:rPr>
          <w:rFonts w:hint="default" w:ascii="Times New Roman" w:hAnsi="Times New Roman" w:cs="Times New Roman"/>
          <w:b/>
          <w:bCs/>
        </w:rPr>
        <w:t>准备。</w:t>
      </w:r>
      <w:r>
        <w:rPr>
          <w:rFonts w:hint="default" w:ascii="Times New Roman" w:hAnsi="Times New Roman" w:cs="Times New Roman"/>
        </w:rPr>
        <w:t>成立绩效评价小组，搜集项目资料，全面了解项目基本情况</w:t>
      </w:r>
      <w:bookmarkEnd w:id="73"/>
      <w:r>
        <w:rPr>
          <w:rFonts w:hint="default" w:ascii="Times New Roman" w:hAnsi="Times New Roman" w:cs="Times New Roman"/>
        </w:rPr>
        <w:t>。</w:t>
      </w:r>
      <w:r>
        <w:rPr>
          <w:rFonts w:hint="default" w:ascii="Times New Roman" w:hAnsi="Times New Roman" w:cs="Times New Roman"/>
          <w:b/>
          <w:bCs/>
          <w:lang w:val="en-US" w:eastAsia="zh-CN"/>
        </w:rPr>
        <w:t>二是</w:t>
      </w:r>
      <w:r>
        <w:rPr>
          <w:rFonts w:hint="default" w:ascii="Times New Roman" w:hAnsi="Times New Roman" w:cs="Times New Roman"/>
          <w:b/>
          <w:bCs/>
        </w:rPr>
        <w:t>工作方案制定及论证。</w:t>
      </w:r>
      <w:bookmarkStart w:id="74" w:name="_Hlk533501537"/>
      <w:r>
        <w:rPr>
          <w:rFonts w:hint="default" w:ascii="Times New Roman" w:hAnsi="Times New Roman" w:cs="Times New Roman"/>
        </w:rPr>
        <w:t>根据前期收集到的项目资料，</w:t>
      </w:r>
      <w:r>
        <w:rPr>
          <w:rFonts w:hint="default" w:ascii="Times New Roman" w:hAnsi="Times New Roman" w:cs="Times New Roman"/>
          <w:lang w:val="en-US" w:eastAsia="zh-CN"/>
        </w:rPr>
        <w:t>结合</w:t>
      </w:r>
      <w:r>
        <w:rPr>
          <w:rFonts w:hint="default" w:ascii="Times New Roman" w:hAnsi="Times New Roman" w:cs="Times New Roman"/>
        </w:rPr>
        <w:t>项目特点</w:t>
      </w:r>
      <w:r>
        <w:rPr>
          <w:rFonts w:hint="default" w:ascii="Times New Roman" w:hAnsi="Times New Roman" w:cs="Times New Roman"/>
          <w:lang w:eastAsia="zh-CN"/>
        </w:rPr>
        <w:t>，</w:t>
      </w:r>
      <w:r>
        <w:rPr>
          <w:rFonts w:hint="default" w:ascii="Times New Roman" w:hAnsi="Times New Roman" w:cs="Times New Roman"/>
        </w:rPr>
        <w:t>有针对性</w:t>
      </w:r>
      <w:r>
        <w:rPr>
          <w:rFonts w:hint="default" w:ascii="Times New Roman" w:hAnsi="Times New Roman" w:cs="Times New Roman"/>
          <w:lang w:val="en-US" w:eastAsia="zh-CN"/>
        </w:rPr>
        <w:t>地</w:t>
      </w:r>
      <w:r>
        <w:rPr>
          <w:rFonts w:hint="default" w:ascii="Times New Roman" w:hAnsi="Times New Roman" w:cs="Times New Roman"/>
        </w:rPr>
        <w:t>设计评价指标体系、基础数据</w:t>
      </w:r>
      <w:r>
        <w:rPr>
          <w:rFonts w:hint="default" w:ascii="Times New Roman" w:hAnsi="Times New Roman" w:cs="Times New Roman"/>
          <w:lang w:val="en-US" w:eastAsia="zh-CN"/>
        </w:rPr>
        <w:t>表</w:t>
      </w:r>
      <w:r>
        <w:rPr>
          <w:rFonts w:hint="default" w:ascii="Times New Roman" w:hAnsi="Times New Roman" w:cs="Times New Roman"/>
        </w:rPr>
        <w:t>、</w:t>
      </w:r>
      <w:r>
        <w:rPr>
          <w:rFonts w:hint="default" w:ascii="Times New Roman" w:hAnsi="Times New Roman" w:cs="Times New Roman"/>
          <w:lang w:val="en-US" w:eastAsia="zh-CN"/>
        </w:rPr>
        <w:t>资料清单</w:t>
      </w:r>
      <w:r>
        <w:rPr>
          <w:rFonts w:hint="default" w:ascii="Times New Roman" w:hAnsi="Times New Roman" w:cs="Times New Roman"/>
        </w:rPr>
        <w:t>等，确定科学、合理的评价方法和评价标准，设计绩效评价工作整体时间表，形成项目工作方案。</w:t>
      </w:r>
      <w:bookmarkEnd w:id="74"/>
    </w:p>
    <w:p w14:paraId="644DAB1A">
      <w:pPr>
        <w:pStyle w:val="26"/>
        <w:rPr>
          <w:rFonts w:hint="default" w:ascii="Times New Roman" w:hAnsi="Times New Roman" w:cs="Times New Roman"/>
          <w:b/>
          <w:bCs/>
          <w:lang w:eastAsia="zh-CN"/>
        </w:rPr>
      </w:pPr>
      <w:bookmarkStart w:id="75" w:name="_Toc30558"/>
      <w:bookmarkStart w:id="76" w:name="_Toc2077"/>
      <w:r>
        <w:rPr>
          <w:rFonts w:hint="default" w:ascii="Times New Roman" w:hAnsi="Times New Roman" w:cs="Times New Roman"/>
          <w:b/>
          <w:bCs/>
          <w:lang w:val="en-US" w:eastAsia="zh-CN"/>
        </w:rPr>
        <w:t>2.</w:t>
      </w:r>
      <w:r>
        <w:rPr>
          <w:rFonts w:hint="default" w:ascii="Times New Roman" w:hAnsi="Times New Roman" w:cs="Times New Roman"/>
          <w:b/>
          <w:bCs/>
        </w:rPr>
        <w:t>评价实施阶段</w:t>
      </w:r>
      <w:bookmarkEnd w:id="75"/>
      <w:bookmarkEnd w:id="76"/>
      <w:r>
        <w:rPr>
          <w:rFonts w:hint="default" w:ascii="Times New Roman" w:hAnsi="Times New Roman" w:cs="Times New Roman"/>
          <w:b/>
          <w:bCs/>
          <w:lang w:eastAsia="zh-CN"/>
        </w:rPr>
        <w:t>（</w:t>
      </w:r>
      <w:r>
        <w:rPr>
          <w:rFonts w:hint="eastAsia" w:ascii="Times New Roman" w:hAnsi="Times New Roman" w:cs="Times New Roman"/>
          <w:b/>
          <w:bCs/>
          <w:lang w:val="en-US" w:eastAsia="zh-CN"/>
        </w:rPr>
        <w:t>11</w:t>
      </w:r>
      <w:r>
        <w:rPr>
          <w:rFonts w:hint="default" w:ascii="Times New Roman" w:hAnsi="Times New Roman" w:cs="Times New Roman"/>
          <w:b/>
          <w:bCs/>
          <w:lang w:val="en-US" w:eastAsia="zh-CN"/>
        </w:rPr>
        <w:t>月1</w:t>
      </w:r>
      <w:r>
        <w:rPr>
          <w:rFonts w:hint="eastAsia" w:ascii="Times New Roman" w:hAnsi="Times New Roman" w:cs="Times New Roman"/>
          <w:b/>
          <w:bCs/>
          <w:lang w:val="en-US" w:eastAsia="zh-CN"/>
        </w:rPr>
        <w:t>6</w:t>
      </w:r>
      <w:r>
        <w:rPr>
          <w:rFonts w:hint="default" w:ascii="Times New Roman" w:hAnsi="Times New Roman" w:cs="Times New Roman"/>
          <w:b/>
          <w:bCs/>
          <w:lang w:val="en-US" w:eastAsia="zh-CN"/>
        </w:rPr>
        <w:t>日-</w:t>
      </w:r>
      <w:r>
        <w:rPr>
          <w:rFonts w:hint="eastAsia" w:ascii="Times New Roman" w:hAnsi="Times New Roman" w:cs="Times New Roman"/>
          <w:b/>
          <w:bCs/>
          <w:lang w:val="en-US" w:eastAsia="zh-CN"/>
        </w:rPr>
        <w:t>11</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23</w:t>
      </w:r>
      <w:r>
        <w:rPr>
          <w:rFonts w:hint="default" w:ascii="Times New Roman" w:hAnsi="Times New Roman" w:cs="Times New Roman"/>
          <w:b/>
          <w:bCs/>
          <w:lang w:val="en-US" w:eastAsia="zh-CN"/>
        </w:rPr>
        <w:t>日</w:t>
      </w:r>
      <w:r>
        <w:rPr>
          <w:rFonts w:hint="default" w:ascii="Times New Roman" w:hAnsi="Times New Roman" w:cs="Times New Roman"/>
          <w:b/>
          <w:bCs/>
          <w:lang w:eastAsia="zh-CN"/>
        </w:rPr>
        <w:t>）</w:t>
      </w:r>
    </w:p>
    <w:p w14:paraId="6555D148">
      <w:pPr>
        <w:pStyle w:val="26"/>
        <w:rPr>
          <w:rFonts w:hint="default" w:ascii="Times New Roman" w:hAnsi="Times New Roman" w:cs="Times New Roman"/>
        </w:rPr>
      </w:pPr>
      <w:bookmarkStart w:id="77" w:name="_Hlk533501604"/>
      <w:r>
        <w:rPr>
          <w:rFonts w:hint="default" w:ascii="Times New Roman" w:hAnsi="Times New Roman" w:cs="Times New Roman"/>
          <w:b/>
          <w:bCs/>
          <w:lang w:val="en-US" w:eastAsia="zh-CN"/>
        </w:rPr>
        <w:t>一是</w:t>
      </w:r>
      <w:r>
        <w:rPr>
          <w:rFonts w:hint="default" w:ascii="Times New Roman" w:hAnsi="Times New Roman" w:cs="Times New Roman"/>
          <w:b/>
          <w:bCs/>
        </w:rPr>
        <w:t>开展社会调研及数据采集。</w:t>
      </w:r>
      <w:r>
        <w:rPr>
          <w:rFonts w:hint="default" w:ascii="Times New Roman" w:hAnsi="Times New Roman" w:cs="Times New Roman"/>
        </w:rPr>
        <w:t>与项目主管单位等相关单位协调配合，完成</w:t>
      </w:r>
      <w:r>
        <w:rPr>
          <w:rFonts w:hint="default" w:ascii="Times New Roman" w:hAnsi="Times New Roman" w:cs="Times New Roman"/>
          <w:lang w:val="en-US" w:eastAsia="zh-CN"/>
        </w:rPr>
        <w:t>访谈</w:t>
      </w:r>
      <w:r>
        <w:rPr>
          <w:rFonts w:hint="default" w:ascii="Times New Roman" w:hAnsi="Times New Roman" w:cs="Times New Roman"/>
        </w:rPr>
        <w:t>调研、实地核查、</w:t>
      </w:r>
      <w:r>
        <w:rPr>
          <w:rFonts w:hint="default" w:ascii="Times New Roman" w:hAnsi="Times New Roman" w:cs="Times New Roman"/>
          <w:lang w:val="en-US" w:eastAsia="zh-CN"/>
        </w:rPr>
        <w:t>满意度</w:t>
      </w:r>
      <w:r>
        <w:rPr>
          <w:rFonts w:hint="default" w:ascii="Times New Roman" w:hAnsi="Times New Roman" w:cs="Times New Roman"/>
        </w:rPr>
        <w:t>调研等。通过</w:t>
      </w:r>
      <w:r>
        <w:rPr>
          <w:rFonts w:hint="default" w:ascii="Times New Roman" w:hAnsi="Times New Roman" w:cs="Times New Roman"/>
          <w:lang w:val="en-US" w:eastAsia="zh-CN"/>
        </w:rPr>
        <w:t>对滑县乡村振兴局主要负责人进行访谈，了解项目实施整体流程；通过抽取</w:t>
      </w:r>
      <w:r>
        <w:rPr>
          <w:rFonts w:hint="eastAsia" w:ascii="Times New Roman" w:hAnsi="Times New Roman" w:cs="Times New Roman"/>
          <w:lang w:val="en-US" w:eastAsia="zh-CN"/>
        </w:rPr>
        <w:t>16个</w:t>
      </w:r>
      <w:r>
        <w:rPr>
          <w:rFonts w:hint="default" w:ascii="Times New Roman" w:hAnsi="Times New Roman" w:cs="Times New Roman"/>
          <w:lang w:val="en-US" w:eastAsia="zh-CN"/>
        </w:rPr>
        <w:t>项目，实地查勘项目实施、建设、维护、公示等情况；通过对受益群众进行满意度问卷调查，了解受益村民满意度情况；通过</w:t>
      </w:r>
      <w:r>
        <w:rPr>
          <w:rFonts w:hint="default" w:ascii="Times New Roman" w:hAnsi="Times New Roman" w:cs="Times New Roman"/>
        </w:rPr>
        <w:t>基础表等形式进行数据采集，对绩效评价项目内容进行分析判断，主要包括项目建设情况、资金使用情况、项目管理制度制定及执行情况、项目绩效达成情况等内容，并对数据进行复核。</w:t>
      </w:r>
      <w:bookmarkEnd w:id="77"/>
      <w:bookmarkStart w:id="78" w:name="_Hlk533501639"/>
      <w:r>
        <w:rPr>
          <w:rFonts w:hint="default" w:ascii="Times New Roman" w:hAnsi="Times New Roman" w:cs="Times New Roman"/>
          <w:b/>
          <w:bCs/>
          <w:lang w:val="en-US" w:eastAsia="zh-CN"/>
        </w:rPr>
        <w:t>二是</w:t>
      </w:r>
      <w:r>
        <w:rPr>
          <w:rFonts w:hint="default" w:ascii="Times New Roman" w:hAnsi="Times New Roman" w:cs="Times New Roman"/>
          <w:b/>
          <w:bCs/>
        </w:rPr>
        <w:t>数据整理和分析。</w:t>
      </w:r>
      <w:r>
        <w:rPr>
          <w:rFonts w:hint="default" w:ascii="Times New Roman" w:hAnsi="Times New Roman" w:cs="Times New Roman"/>
        </w:rPr>
        <w:t>针对采集数据进行整理、剔除错误数据，进行数据分析，回答关键评价问题，进行原因解释。</w:t>
      </w:r>
      <w:bookmarkEnd w:id="78"/>
    </w:p>
    <w:p w14:paraId="4F54D8F8">
      <w:pPr>
        <w:pStyle w:val="26"/>
        <w:rPr>
          <w:rFonts w:hint="default" w:ascii="Times New Roman" w:hAnsi="Times New Roman" w:cs="Times New Roman"/>
          <w:b/>
          <w:bCs/>
          <w:lang w:eastAsia="zh-CN"/>
        </w:rPr>
      </w:pPr>
      <w:bookmarkStart w:id="79" w:name="_Toc16908"/>
      <w:bookmarkStart w:id="80" w:name="_Toc3927"/>
      <w:r>
        <w:rPr>
          <w:rFonts w:hint="default" w:ascii="Times New Roman" w:hAnsi="Times New Roman" w:cs="Times New Roman"/>
          <w:b/>
          <w:bCs/>
          <w:lang w:val="en-US" w:eastAsia="zh-CN"/>
        </w:rPr>
        <w:t>3.</w:t>
      </w:r>
      <w:r>
        <w:rPr>
          <w:rFonts w:hint="default" w:ascii="Times New Roman" w:hAnsi="Times New Roman" w:cs="Times New Roman"/>
          <w:b/>
          <w:bCs/>
        </w:rPr>
        <w:t>报告撰写阶段</w:t>
      </w:r>
      <w:bookmarkEnd w:id="79"/>
      <w:bookmarkEnd w:id="80"/>
      <w:r>
        <w:rPr>
          <w:rFonts w:hint="default" w:ascii="Times New Roman" w:hAnsi="Times New Roman" w:cs="Times New Roman"/>
          <w:b/>
          <w:bCs/>
          <w:lang w:eastAsia="zh-CN"/>
        </w:rPr>
        <w:t>（</w:t>
      </w:r>
      <w:r>
        <w:rPr>
          <w:rFonts w:hint="default" w:ascii="Times New Roman" w:hAnsi="Times New Roman" w:cs="Times New Roman"/>
          <w:b/>
          <w:bCs/>
          <w:lang w:val="en-US" w:eastAsia="zh-CN"/>
        </w:rPr>
        <w:t>1</w:t>
      </w:r>
      <w:r>
        <w:rPr>
          <w:rFonts w:hint="eastAsia" w:ascii="Times New Roman" w:hAnsi="Times New Roman" w:cs="Times New Roman"/>
          <w:b/>
          <w:bCs/>
          <w:lang w:val="en-US" w:eastAsia="zh-CN"/>
        </w:rPr>
        <w:t>1</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24</w:t>
      </w:r>
      <w:r>
        <w:rPr>
          <w:rFonts w:hint="default" w:ascii="Times New Roman" w:hAnsi="Times New Roman" w:cs="Times New Roman"/>
          <w:b/>
          <w:bCs/>
          <w:lang w:val="en-US" w:eastAsia="zh-CN"/>
        </w:rPr>
        <w:t>日-</w:t>
      </w:r>
      <w:r>
        <w:rPr>
          <w:rFonts w:hint="eastAsia" w:ascii="Times New Roman" w:hAnsi="Times New Roman" w:cs="Times New Roman"/>
          <w:b/>
          <w:bCs/>
          <w:lang w:val="en-US" w:eastAsia="zh-CN"/>
        </w:rPr>
        <w:t>11</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30</w:t>
      </w:r>
      <w:r>
        <w:rPr>
          <w:rFonts w:hint="default" w:ascii="Times New Roman" w:hAnsi="Times New Roman" w:cs="Times New Roman"/>
          <w:b/>
          <w:bCs/>
          <w:lang w:val="en-US" w:eastAsia="zh-CN"/>
        </w:rPr>
        <w:t>日</w:t>
      </w:r>
      <w:r>
        <w:rPr>
          <w:rFonts w:hint="default" w:ascii="Times New Roman" w:hAnsi="Times New Roman" w:cs="Times New Roman"/>
          <w:b/>
          <w:bCs/>
          <w:lang w:eastAsia="zh-CN"/>
        </w:rPr>
        <w:t>）</w:t>
      </w:r>
    </w:p>
    <w:p w14:paraId="3F19E2C3">
      <w:pPr>
        <w:pStyle w:val="26"/>
        <w:rPr>
          <w:rFonts w:hint="default" w:ascii="Times New Roman" w:hAnsi="Times New Roman" w:cs="Times New Roman"/>
        </w:rPr>
      </w:pPr>
      <w:bookmarkStart w:id="81" w:name="_Hlk533501753"/>
      <w:r>
        <w:rPr>
          <w:rFonts w:hint="default" w:ascii="Times New Roman" w:hAnsi="Times New Roman" w:cs="Times New Roman"/>
          <w:b/>
          <w:bCs/>
          <w:lang w:val="en-US" w:eastAsia="zh-CN"/>
        </w:rPr>
        <w:t>一是</w:t>
      </w:r>
      <w:r>
        <w:rPr>
          <w:rFonts w:hint="default" w:ascii="Times New Roman" w:hAnsi="Times New Roman" w:cs="Times New Roman"/>
          <w:b/>
          <w:bCs/>
        </w:rPr>
        <w:t>评价报告撰写。</w:t>
      </w:r>
      <w:r>
        <w:rPr>
          <w:rFonts w:hint="default" w:ascii="Times New Roman" w:hAnsi="Times New Roman" w:cs="Times New Roman"/>
        </w:rPr>
        <w:t>依据制订的评价标准和打分规则，对项目进行量化打分。依据评价结论和</w:t>
      </w:r>
      <w:r>
        <w:rPr>
          <w:rFonts w:hint="default" w:ascii="Times New Roman" w:hAnsi="Times New Roman" w:cs="Times New Roman"/>
          <w:lang w:val="en-US" w:eastAsia="zh-CN"/>
        </w:rPr>
        <w:t>脱贫攻坚</w:t>
      </w:r>
      <w:r>
        <w:rPr>
          <w:rFonts w:hint="default" w:ascii="Times New Roman" w:hAnsi="Times New Roman" w:cs="Times New Roman"/>
        </w:rPr>
        <w:t>工作取得的成效，撰写绩效评价报告，总结经验、分析不足，并针对存在问题提出改进建议。</w:t>
      </w:r>
      <w:r>
        <w:rPr>
          <w:rFonts w:hint="default" w:ascii="Times New Roman" w:hAnsi="Times New Roman" w:cs="Times New Roman"/>
          <w:b/>
          <w:bCs/>
          <w:lang w:val="en-US" w:eastAsia="zh-CN"/>
        </w:rPr>
        <w:t>二是</w:t>
      </w:r>
      <w:r>
        <w:rPr>
          <w:rFonts w:hint="default" w:ascii="Times New Roman" w:hAnsi="Times New Roman" w:cs="Times New Roman"/>
          <w:b/>
          <w:bCs/>
        </w:rPr>
        <w:t>评价报告修改</w:t>
      </w:r>
      <w:r>
        <w:rPr>
          <w:rFonts w:hint="default" w:ascii="Times New Roman" w:hAnsi="Times New Roman" w:cs="Times New Roman"/>
          <w:b/>
          <w:bCs/>
          <w:lang w:eastAsia="zh-CN"/>
        </w:rPr>
        <w:t>、</w:t>
      </w:r>
      <w:r>
        <w:rPr>
          <w:rFonts w:hint="default" w:ascii="Times New Roman" w:hAnsi="Times New Roman" w:cs="Times New Roman"/>
          <w:b/>
          <w:bCs/>
          <w:lang w:val="en-US" w:eastAsia="zh-CN"/>
        </w:rPr>
        <w:t>完善</w:t>
      </w:r>
      <w:r>
        <w:rPr>
          <w:rFonts w:hint="default" w:ascii="Times New Roman" w:hAnsi="Times New Roman" w:cs="Times New Roman"/>
          <w:b/>
          <w:bCs/>
        </w:rPr>
        <w:t>。</w:t>
      </w:r>
      <w:r>
        <w:rPr>
          <w:rFonts w:hint="default" w:ascii="Times New Roman" w:hAnsi="Times New Roman" w:cs="Times New Roman"/>
        </w:rPr>
        <w:t>评价小组根据</w:t>
      </w:r>
      <w:r>
        <w:rPr>
          <w:rFonts w:hint="default" w:ascii="Times New Roman" w:hAnsi="Times New Roman" w:cs="Times New Roman"/>
          <w:lang w:val="en-US" w:eastAsia="zh-CN"/>
        </w:rPr>
        <w:t>相关方</w:t>
      </w:r>
      <w:r>
        <w:rPr>
          <w:rFonts w:hint="default" w:ascii="Times New Roman" w:hAnsi="Times New Roman" w:cs="Times New Roman"/>
        </w:rPr>
        <w:t>意见，对评价报告进行修改完善。</w:t>
      </w:r>
      <w:bookmarkEnd w:id="81"/>
    </w:p>
    <w:p w14:paraId="3385C1B0">
      <w:pPr>
        <w:pStyle w:val="3"/>
        <w:ind w:firstLine="643"/>
        <w:rPr>
          <w:rFonts w:hint="default" w:ascii="Times New Roman" w:hAnsi="Times New Roman" w:cs="Times New Roman"/>
          <w:b w:val="0"/>
          <w:bCs w:val="0"/>
        </w:rPr>
      </w:pPr>
      <w:bookmarkStart w:id="82" w:name="_Toc23264919"/>
      <w:bookmarkStart w:id="83" w:name="_Toc4657"/>
      <w:bookmarkStart w:id="84" w:name="_Toc23266434"/>
      <w:r>
        <w:rPr>
          <w:rFonts w:hint="default" w:ascii="Times New Roman" w:hAnsi="Times New Roman" w:cs="Times New Roman"/>
          <w:b w:val="0"/>
          <w:bCs w:val="0"/>
        </w:rPr>
        <w:t>三、综合评价过程及指标分析</w:t>
      </w:r>
      <w:bookmarkEnd w:id="82"/>
      <w:bookmarkEnd w:id="83"/>
      <w:bookmarkEnd w:id="84"/>
    </w:p>
    <w:p w14:paraId="58DCF050">
      <w:pPr>
        <w:pStyle w:val="27"/>
        <w:ind w:firstLine="562"/>
        <w:rPr>
          <w:rFonts w:hint="default" w:ascii="Times New Roman" w:hAnsi="Times New Roman" w:cs="Times New Roman"/>
        </w:rPr>
      </w:pPr>
      <w:bookmarkStart w:id="85" w:name="_Toc23266435"/>
      <w:bookmarkStart w:id="86" w:name="_Toc31061"/>
      <w:bookmarkStart w:id="87" w:name="_Toc23264920"/>
      <w:r>
        <w:rPr>
          <w:rFonts w:hint="default" w:ascii="Times New Roman" w:hAnsi="Times New Roman" w:cs="Times New Roman"/>
        </w:rPr>
        <w:t>（一）总体评价结论</w:t>
      </w:r>
      <w:bookmarkEnd w:id="85"/>
      <w:bookmarkEnd w:id="86"/>
      <w:bookmarkEnd w:id="87"/>
    </w:p>
    <w:p w14:paraId="6B4FD85C">
      <w:pPr>
        <w:pStyle w:val="5"/>
        <w:rPr>
          <w:rFonts w:hint="default" w:ascii="Times New Roman" w:hAnsi="Times New Roman" w:cs="Times New Roman"/>
        </w:rPr>
      </w:pPr>
      <w:bookmarkStart w:id="88" w:name="_Toc11148"/>
      <w:bookmarkStart w:id="89" w:name="_Toc23264921"/>
      <w:bookmarkStart w:id="90" w:name="_Toc23266436"/>
      <w:bookmarkStart w:id="91" w:name="_Toc11620"/>
      <w:bookmarkStart w:id="92" w:name="_Toc23267047"/>
      <w:r>
        <w:rPr>
          <w:rFonts w:hint="default" w:ascii="Times New Roman" w:hAnsi="Times New Roman" w:cs="Times New Roman"/>
        </w:rPr>
        <w:t>1.评分结果</w:t>
      </w:r>
      <w:bookmarkEnd w:id="88"/>
      <w:bookmarkEnd w:id="89"/>
      <w:bookmarkEnd w:id="90"/>
      <w:bookmarkEnd w:id="91"/>
      <w:bookmarkEnd w:id="92"/>
    </w:p>
    <w:p w14:paraId="6F7B6FA7">
      <w:pPr>
        <w:pStyle w:val="26"/>
        <w:rPr>
          <w:rFonts w:hint="default" w:ascii="Times New Roman" w:hAnsi="Times New Roman" w:cs="Times New Roman"/>
        </w:rPr>
      </w:pPr>
      <w:r>
        <w:rPr>
          <w:rFonts w:hint="default" w:ascii="Times New Roman" w:hAnsi="Times New Roman" w:cs="Times New Roman"/>
        </w:rPr>
        <w:t>运用由评价组</w:t>
      </w:r>
      <w:r>
        <w:rPr>
          <w:rFonts w:hint="default" w:ascii="Times New Roman" w:hAnsi="Times New Roman" w:cs="Times New Roman"/>
          <w:lang w:val="en-US" w:eastAsia="zh-CN"/>
        </w:rPr>
        <w:t>设计</w:t>
      </w:r>
      <w:r>
        <w:rPr>
          <w:rFonts w:hint="default" w:ascii="Times New Roman" w:hAnsi="Times New Roman" w:cs="Times New Roman"/>
        </w:rPr>
        <w:t>的指标体系及评分标准，通过数据采集、访谈、问卷</w:t>
      </w:r>
      <w:r>
        <w:rPr>
          <w:rFonts w:hint="default" w:ascii="Times New Roman" w:hAnsi="Times New Roman" w:cs="Times New Roman"/>
          <w:lang w:val="en-US" w:eastAsia="zh-CN"/>
        </w:rPr>
        <w:t>调研</w:t>
      </w:r>
      <w:r>
        <w:rPr>
          <w:rFonts w:hint="default" w:ascii="Times New Roman" w:hAnsi="Times New Roman" w:cs="Times New Roman"/>
        </w:rPr>
        <w:t>等形式对</w:t>
      </w:r>
      <w:r>
        <w:rPr>
          <w:rFonts w:hint="default" w:ascii="Times New Roman" w:hAnsi="Times New Roman" w:cs="Times New Roman"/>
          <w:lang w:val="en-US" w:eastAsia="zh-CN"/>
        </w:rPr>
        <w:t>滑县</w:t>
      </w:r>
      <w:r>
        <w:rPr>
          <w:rFonts w:hint="default" w:ascii="Times New Roman" w:hAnsi="Times New Roman" w:cs="Times New Roman"/>
          <w:lang w:eastAsia="zh-C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eastAsia" w:ascii="Times New Roman" w:hAnsi="Times New Roman" w:cs="Times New Roman"/>
          <w:lang w:val="en-US" w:eastAsia="zh-CN"/>
        </w:rPr>
        <w:t>财政衔接推进乡村振兴补助资金</w:t>
      </w:r>
      <w:r>
        <w:rPr>
          <w:rFonts w:hint="default" w:ascii="Times New Roman" w:hAnsi="Times New Roman" w:cs="Times New Roman"/>
        </w:rPr>
        <w:t>绩效评价项目进行客观评价，最终评价得分为</w:t>
      </w:r>
      <w:r>
        <w:rPr>
          <w:rFonts w:hint="eastAsia" w:cs="Times New Roman"/>
          <w:highlight w:val="none"/>
          <w:lang w:val="en-US" w:eastAsia="zh-CN"/>
        </w:rPr>
        <w:t>92.65</w:t>
      </w:r>
      <w:r>
        <w:rPr>
          <w:rFonts w:hint="default" w:ascii="Times New Roman" w:hAnsi="Times New Roman" w:cs="Times New Roman"/>
        </w:rPr>
        <w:t>分</w:t>
      </w:r>
      <w:r>
        <w:rPr>
          <w:rFonts w:hint="default" w:ascii="Times New Roman" w:hAnsi="Times New Roman" w:cs="Times New Roman"/>
          <w:lang w:eastAsia="zh-CN"/>
        </w:rPr>
        <w:t>，</w:t>
      </w:r>
      <w:r>
        <w:rPr>
          <w:rFonts w:hint="default" w:ascii="Times New Roman" w:hAnsi="Times New Roman" w:cs="Times New Roman"/>
        </w:rPr>
        <w:t>绩效评价级别为“</w:t>
      </w:r>
      <w:r>
        <w:rPr>
          <w:rFonts w:hint="default" w:ascii="Times New Roman" w:hAnsi="Times New Roman" w:cs="Times New Roman"/>
          <w:highlight w:val="none"/>
          <w:lang w:val="en-US" w:eastAsia="zh-CN"/>
        </w:rPr>
        <w:t>优</w:t>
      </w:r>
      <w:r>
        <w:rPr>
          <w:rFonts w:hint="default" w:ascii="Times New Roman" w:hAnsi="Times New Roman" w:cs="Times New Roman"/>
        </w:rPr>
        <w:t>”。具体得分情况见表3-1：</w:t>
      </w:r>
    </w:p>
    <w:p w14:paraId="415CB0FE">
      <w:pPr>
        <w:pStyle w:val="29"/>
        <w:widowControl w:val="0"/>
        <w:wordWrap/>
        <w:adjustRightInd/>
        <w:snapToGrid/>
        <w:spacing w:before="0" w:after="0" w:line="560" w:lineRule="exact"/>
        <w:ind w:firstLine="561"/>
        <w:textAlignment w:val="auto"/>
        <w:rPr>
          <w:rFonts w:hint="default" w:ascii="Times New Roman" w:hAnsi="Times New Roman" w:cs="Times New Roman"/>
          <w:sz w:val="24"/>
          <w:szCs w:val="24"/>
        </w:rPr>
      </w:pPr>
      <w:r>
        <w:rPr>
          <w:rFonts w:hint="default" w:ascii="Times New Roman" w:hAnsi="Times New Roman" w:cs="Times New Roman"/>
          <w:sz w:val="24"/>
          <w:szCs w:val="24"/>
        </w:rPr>
        <w:t>表3-1</w:t>
      </w:r>
      <w:r>
        <w:rPr>
          <w:rFonts w:hint="default" w:ascii="Times New Roman" w:hAnsi="Times New Roman" w:cs="Times New Roman"/>
          <w:sz w:val="24"/>
          <w:szCs w:val="24"/>
          <w:lang w:val="en-US" w:eastAsia="zh-CN"/>
        </w:rPr>
        <w:t>滑县</w:t>
      </w:r>
      <w:r>
        <w:rPr>
          <w:rFonts w:hint="default" w:ascii="Times New Roman" w:hAnsi="Times New Roman" w:cs="Times New Roman"/>
          <w:sz w:val="24"/>
          <w:szCs w:val="24"/>
          <w:lang w:eastAsia="zh-CN"/>
        </w:rPr>
        <w:t>202</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eastAsia="zh-CN"/>
        </w:rPr>
        <w:t>年</w:t>
      </w:r>
      <w:r>
        <w:rPr>
          <w:rFonts w:hint="eastAsia" w:ascii="Times New Roman" w:hAnsi="Times New Roman" w:cs="Times New Roman"/>
          <w:sz w:val="24"/>
          <w:szCs w:val="24"/>
          <w:lang w:val="en-US" w:eastAsia="zh-CN"/>
        </w:rPr>
        <w:t>统筹整合财政涉农</w:t>
      </w:r>
      <w:r>
        <w:rPr>
          <w:rFonts w:hint="default" w:ascii="Times New Roman" w:hAnsi="Times New Roman" w:cs="Times New Roman"/>
          <w:sz w:val="24"/>
          <w:szCs w:val="24"/>
          <w:lang w:eastAsia="zh-CN"/>
        </w:rPr>
        <w:t>资金</w:t>
      </w:r>
      <w:r>
        <w:rPr>
          <w:rFonts w:hint="default" w:ascii="Times New Roman" w:hAnsi="Times New Roman" w:cs="Times New Roman"/>
          <w:sz w:val="24"/>
          <w:szCs w:val="24"/>
        </w:rPr>
        <w:t>绩效评价项目得分表</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1"/>
        <w:gridCol w:w="1842"/>
        <w:gridCol w:w="1842"/>
        <w:gridCol w:w="2710"/>
      </w:tblGrid>
      <w:tr w14:paraId="2110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5AD07085">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一级指标</w:t>
            </w:r>
          </w:p>
        </w:tc>
        <w:tc>
          <w:tcPr>
            <w:tcW w:w="1842"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014CC45C">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权重分</w:t>
            </w:r>
          </w:p>
        </w:tc>
        <w:tc>
          <w:tcPr>
            <w:tcW w:w="1842"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48B8570F">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得分</w:t>
            </w:r>
          </w:p>
        </w:tc>
        <w:tc>
          <w:tcPr>
            <w:tcW w:w="2710"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3B145102">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得分率</w:t>
            </w:r>
          </w:p>
        </w:tc>
      </w:tr>
      <w:tr w14:paraId="66C9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14:paraId="58BF0F14">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项目决策</w:t>
            </w:r>
          </w:p>
        </w:tc>
        <w:tc>
          <w:tcPr>
            <w:tcW w:w="1842" w:type="dxa"/>
            <w:tcBorders>
              <w:top w:val="single" w:color="000000" w:sz="4" w:space="0"/>
              <w:left w:val="single" w:color="000000" w:sz="4" w:space="0"/>
              <w:bottom w:val="single" w:color="000000" w:sz="4" w:space="0"/>
              <w:right w:val="single" w:color="000000" w:sz="4" w:space="0"/>
            </w:tcBorders>
            <w:vAlign w:val="center"/>
          </w:tcPr>
          <w:p w14:paraId="0E6EB44A">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12</w:t>
            </w:r>
          </w:p>
        </w:tc>
        <w:tc>
          <w:tcPr>
            <w:tcW w:w="1842" w:type="dxa"/>
            <w:tcBorders>
              <w:top w:val="single" w:color="000000" w:sz="4" w:space="0"/>
              <w:left w:val="single" w:color="000000" w:sz="4" w:space="0"/>
              <w:bottom w:val="single" w:color="000000" w:sz="4" w:space="0"/>
              <w:right w:val="single" w:color="000000" w:sz="4" w:space="0"/>
            </w:tcBorders>
            <w:vAlign w:val="center"/>
          </w:tcPr>
          <w:p w14:paraId="434D753A">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11.00</w:t>
            </w:r>
          </w:p>
        </w:tc>
        <w:tc>
          <w:tcPr>
            <w:tcW w:w="2710" w:type="dxa"/>
            <w:tcBorders>
              <w:top w:val="single" w:color="000000" w:sz="4" w:space="0"/>
              <w:left w:val="single" w:color="000000" w:sz="4" w:space="0"/>
              <w:bottom w:val="single" w:color="000000" w:sz="4" w:space="0"/>
              <w:right w:val="single" w:color="000000" w:sz="4" w:space="0"/>
            </w:tcBorders>
            <w:vAlign w:val="center"/>
          </w:tcPr>
          <w:p w14:paraId="35659F4A">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91.67%</w:t>
            </w:r>
          </w:p>
        </w:tc>
      </w:tr>
      <w:tr w14:paraId="5472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14:paraId="365418AF">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项目过程</w:t>
            </w:r>
          </w:p>
        </w:tc>
        <w:tc>
          <w:tcPr>
            <w:tcW w:w="1842" w:type="dxa"/>
            <w:tcBorders>
              <w:top w:val="single" w:color="000000" w:sz="4" w:space="0"/>
              <w:left w:val="single" w:color="000000" w:sz="4" w:space="0"/>
              <w:bottom w:val="single" w:color="000000" w:sz="4" w:space="0"/>
              <w:right w:val="single" w:color="000000" w:sz="4" w:space="0"/>
            </w:tcBorders>
            <w:vAlign w:val="center"/>
          </w:tcPr>
          <w:p w14:paraId="63909068">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28</w:t>
            </w:r>
          </w:p>
        </w:tc>
        <w:tc>
          <w:tcPr>
            <w:tcW w:w="1842" w:type="dxa"/>
            <w:tcBorders>
              <w:top w:val="single" w:color="000000" w:sz="4" w:space="0"/>
              <w:left w:val="single" w:color="000000" w:sz="4" w:space="0"/>
              <w:bottom w:val="single" w:color="000000" w:sz="4" w:space="0"/>
              <w:right w:val="single" w:color="000000" w:sz="4" w:space="0"/>
            </w:tcBorders>
            <w:vAlign w:val="center"/>
          </w:tcPr>
          <w:p w14:paraId="17FD262E">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27.19</w:t>
            </w:r>
          </w:p>
        </w:tc>
        <w:tc>
          <w:tcPr>
            <w:tcW w:w="2710" w:type="dxa"/>
            <w:tcBorders>
              <w:top w:val="single" w:color="000000" w:sz="4" w:space="0"/>
              <w:left w:val="single" w:color="000000" w:sz="4" w:space="0"/>
              <w:bottom w:val="single" w:color="000000" w:sz="4" w:space="0"/>
              <w:right w:val="single" w:color="000000" w:sz="4" w:space="0"/>
            </w:tcBorders>
            <w:vAlign w:val="center"/>
          </w:tcPr>
          <w:p w14:paraId="7B8F7CAB">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97.11</w:t>
            </w:r>
            <w:r>
              <w:rPr>
                <w:rFonts w:hint="default" w:ascii="Times New Roman" w:hAnsi="Times New Roman" w:eastAsia="宋体" w:cs="Times New Roman"/>
                <w:i w:val="0"/>
                <w:iCs w:val="0"/>
                <w:color w:val="000000"/>
                <w:kern w:val="0"/>
                <w:sz w:val="22"/>
                <w:szCs w:val="22"/>
                <w:u w:val="none"/>
                <w:lang w:val="en-US" w:eastAsia="zh-CN"/>
              </w:rPr>
              <w:t>%</w:t>
            </w:r>
          </w:p>
        </w:tc>
      </w:tr>
      <w:tr w14:paraId="152B7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14:paraId="76CC9C2D">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项目产出</w:t>
            </w:r>
          </w:p>
        </w:tc>
        <w:tc>
          <w:tcPr>
            <w:tcW w:w="1842" w:type="dxa"/>
            <w:tcBorders>
              <w:top w:val="single" w:color="000000" w:sz="4" w:space="0"/>
              <w:left w:val="single" w:color="000000" w:sz="4" w:space="0"/>
              <w:bottom w:val="single" w:color="000000" w:sz="4" w:space="0"/>
              <w:right w:val="single" w:color="000000" w:sz="4" w:space="0"/>
            </w:tcBorders>
            <w:vAlign w:val="center"/>
          </w:tcPr>
          <w:p w14:paraId="52C70C72">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307EBD86">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26.50</w:t>
            </w:r>
          </w:p>
        </w:tc>
        <w:tc>
          <w:tcPr>
            <w:tcW w:w="2710" w:type="dxa"/>
            <w:tcBorders>
              <w:top w:val="single" w:color="000000" w:sz="4" w:space="0"/>
              <w:left w:val="single" w:color="000000" w:sz="4" w:space="0"/>
              <w:bottom w:val="single" w:color="000000" w:sz="4" w:space="0"/>
              <w:right w:val="single" w:color="000000" w:sz="4" w:space="0"/>
            </w:tcBorders>
            <w:vAlign w:val="center"/>
          </w:tcPr>
          <w:p w14:paraId="7CEA0511">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88.33</w:t>
            </w:r>
            <w:r>
              <w:rPr>
                <w:rFonts w:hint="default" w:ascii="Times New Roman" w:hAnsi="Times New Roman" w:eastAsia="宋体" w:cs="Times New Roman"/>
                <w:i w:val="0"/>
                <w:iCs w:val="0"/>
                <w:color w:val="000000"/>
                <w:kern w:val="0"/>
                <w:sz w:val="22"/>
                <w:szCs w:val="22"/>
                <w:u w:val="none"/>
                <w:lang w:val="en-US" w:eastAsia="zh-CN"/>
              </w:rPr>
              <w:t>%</w:t>
            </w:r>
          </w:p>
        </w:tc>
      </w:tr>
      <w:tr w14:paraId="117F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14:paraId="72C27356">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项目效益</w:t>
            </w:r>
          </w:p>
        </w:tc>
        <w:tc>
          <w:tcPr>
            <w:tcW w:w="1842" w:type="dxa"/>
            <w:tcBorders>
              <w:top w:val="single" w:color="000000" w:sz="4" w:space="0"/>
              <w:left w:val="single" w:color="000000" w:sz="4" w:space="0"/>
              <w:bottom w:val="single" w:color="000000" w:sz="4" w:space="0"/>
              <w:right w:val="single" w:color="000000" w:sz="4" w:space="0"/>
            </w:tcBorders>
            <w:vAlign w:val="center"/>
          </w:tcPr>
          <w:p w14:paraId="72F2AF07">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30</w:t>
            </w:r>
          </w:p>
        </w:tc>
        <w:tc>
          <w:tcPr>
            <w:tcW w:w="1842" w:type="dxa"/>
            <w:tcBorders>
              <w:top w:val="single" w:color="000000" w:sz="4" w:space="0"/>
              <w:left w:val="single" w:color="000000" w:sz="4" w:space="0"/>
              <w:bottom w:val="single" w:color="000000" w:sz="4" w:space="0"/>
              <w:right w:val="single" w:color="000000" w:sz="4" w:space="0"/>
            </w:tcBorders>
            <w:vAlign w:val="center"/>
          </w:tcPr>
          <w:p w14:paraId="3068AAD6">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rPr>
              <w:t>27.9</w:t>
            </w:r>
            <w:r>
              <w:rPr>
                <w:rFonts w:hint="eastAsia" w:ascii="Times New Roman" w:hAnsi="Times New Roman" w:cs="Times New Roman"/>
                <w:i w:val="0"/>
                <w:iCs w:val="0"/>
                <w:color w:val="000000"/>
                <w:kern w:val="0"/>
                <w:sz w:val="22"/>
                <w:szCs w:val="22"/>
                <w:u w:val="none"/>
                <w:lang w:val="en-US" w:eastAsia="zh-CN"/>
              </w:rPr>
              <w:t>6</w:t>
            </w:r>
          </w:p>
        </w:tc>
        <w:tc>
          <w:tcPr>
            <w:tcW w:w="2710" w:type="dxa"/>
            <w:tcBorders>
              <w:top w:val="single" w:color="000000" w:sz="4" w:space="0"/>
              <w:left w:val="single" w:color="000000" w:sz="4" w:space="0"/>
              <w:bottom w:val="single" w:color="000000" w:sz="4" w:space="0"/>
              <w:right w:val="single" w:color="000000" w:sz="4" w:space="0"/>
            </w:tcBorders>
            <w:vAlign w:val="center"/>
          </w:tcPr>
          <w:p w14:paraId="3B6E0BE6">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93.</w:t>
            </w:r>
            <w:r>
              <w:rPr>
                <w:rFonts w:hint="eastAsia" w:ascii="Times New Roman" w:hAnsi="Times New Roman" w:cs="Times New Roman"/>
                <w:i w:val="0"/>
                <w:iCs w:val="0"/>
                <w:color w:val="000000"/>
                <w:kern w:val="0"/>
                <w:sz w:val="22"/>
                <w:szCs w:val="22"/>
                <w:u w:val="none"/>
                <w:lang w:val="en-US" w:eastAsia="zh-CN"/>
              </w:rPr>
              <w:t>20</w:t>
            </w:r>
            <w:r>
              <w:rPr>
                <w:rFonts w:hint="default" w:ascii="Times New Roman" w:hAnsi="Times New Roman" w:eastAsia="宋体" w:cs="Times New Roman"/>
                <w:i w:val="0"/>
                <w:iCs w:val="0"/>
                <w:color w:val="000000"/>
                <w:kern w:val="0"/>
                <w:sz w:val="22"/>
                <w:szCs w:val="22"/>
                <w:u w:val="none"/>
                <w:lang w:val="en-US" w:eastAsia="zh-CN"/>
              </w:rPr>
              <w:t>%</w:t>
            </w:r>
          </w:p>
        </w:tc>
      </w:tr>
      <w:tr w14:paraId="5A39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14:paraId="718B7FCC">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1842" w:type="dxa"/>
            <w:tcBorders>
              <w:top w:val="single" w:color="000000" w:sz="4" w:space="0"/>
              <w:left w:val="single" w:color="000000" w:sz="4" w:space="0"/>
              <w:bottom w:val="single" w:color="000000" w:sz="4" w:space="0"/>
              <w:right w:val="single" w:color="000000" w:sz="4" w:space="0"/>
            </w:tcBorders>
            <w:vAlign w:val="center"/>
          </w:tcPr>
          <w:p w14:paraId="3C12D186">
            <w:pPr>
              <w:widowControl/>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100</w:t>
            </w:r>
          </w:p>
        </w:tc>
        <w:tc>
          <w:tcPr>
            <w:tcW w:w="1842" w:type="dxa"/>
            <w:tcBorders>
              <w:top w:val="single" w:color="000000" w:sz="4" w:space="0"/>
              <w:left w:val="single" w:color="000000" w:sz="4" w:space="0"/>
              <w:bottom w:val="single" w:color="000000" w:sz="4" w:space="0"/>
              <w:right w:val="single" w:color="000000" w:sz="4" w:space="0"/>
            </w:tcBorders>
            <w:vAlign w:val="center"/>
          </w:tcPr>
          <w:p w14:paraId="42E638BC">
            <w:pPr>
              <w:widowControl/>
              <w:jc w:val="center"/>
              <w:textAlignment w:val="center"/>
              <w:rPr>
                <w:rFonts w:hint="default" w:ascii="Times New Roman" w:hAnsi="Times New Roman" w:eastAsia="宋体" w:cs="Times New Roman"/>
                <w:b/>
                <w:bCs/>
                <w:i w:val="0"/>
                <w:iCs w:val="0"/>
                <w:color w:val="000000"/>
                <w:sz w:val="22"/>
                <w:szCs w:val="22"/>
                <w:u w:val="none"/>
                <w:lang w:val="en-US"/>
              </w:rPr>
            </w:pPr>
            <w:r>
              <w:rPr>
                <w:rFonts w:hint="eastAsia" w:ascii="Times New Roman" w:hAnsi="Times New Roman" w:cs="Times New Roman"/>
                <w:b/>
                <w:bCs/>
                <w:i w:val="0"/>
                <w:iCs w:val="0"/>
                <w:color w:val="000000"/>
                <w:kern w:val="0"/>
                <w:sz w:val="22"/>
                <w:szCs w:val="22"/>
                <w:u w:val="none"/>
                <w:lang w:val="en-US" w:eastAsia="zh-CN"/>
              </w:rPr>
              <w:t>92.65</w:t>
            </w:r>
          </w:p>
        </w:tc>
        <w:tc>
          <w:tcPr>
            <w:tcW w:w="2710" w:type="dxa"/>
            <w:tcBorders>
              <w:top w:val="single" w:color="000000" w:sz="4" w:space="0"/>
              <w:left w:val="single" w:color="000000" w:sz="4" w:space="0"/>
              <w:bottom w:val="single" w:color="000000" w:sz="4" w:space="0"/>
              <w:right w:val="single" w:color="000000" w:sz="4" w:space="0"/>
            </w:tcBorders>
            <w:vAlign w:val="center"/>
          </w:tcPr>
          <w:p w14:paraId="1472F5BB">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92.65</w:t>
            </w:r>
            <w:r>
              <w:rPr>
                <w:rFonts w:hint="default" w:ascii="Times New Roman" w:hAnsi="Times New Roman" w:eastAsia="宋体" w:cs="Times New Roman"/>
                <w:b/>
                <w:bCs/>
                <w:i w:val="0"/>
                <w:iCs w:val="0"/>
                <w:color w:val="000000"/>
                <w:kern w:val="0"/>
                <w:sz w:val="22"/>
                <w:szCs w:val="22"/>
                <w:u w:val="none"/>
                <w:lang w:val="en-US" w:eastAsia="zh-CN"/>
              </w:rPr>
              <w:t>%</w:t>
            </w:r>
          </w:p>
        </w:tc>
      </w:tr>
    </w:tbl>
    <w:p w14:paraId="04E5E49E">
      <w:pPr>
        <w:pStyle w:val="5"/>
        <w:rPr>
          <w:rFonts w:hint="default" w:ascii="Times New Roman" w:hAnsi="Times New Roman" w:cs="Times New Roman"/>
          <w:lang w:val="en-US" w:eastAsia="zh-CN"/>
        </w:rPr>
      </w:pPr>
      <w:bookmarkStart w:id="93" w:name="_Toc23267048"/>
      <w:bookmarkStart w:id="94" w:name="_Toc23266437"/>
      <w:bookmarkStart w:id="95" w:name="_Toc23264922"/>
      <w:bookmarkStart w:id="96" w:name="_Toc13818"/>
      <w:bookmarkStart w:id="97" w:name="_Toc13038"/>
      <w:r>
        <w:rPr>
          <w:rFonts w:hint="default" w:ascii="Times New Roman" w:hAnsi="Times New Roman" w:cs="Times New Roman"/>
        </w:rPr>
        <w:t>2.</w:t>
      </w:r>
      <w:bookmarkEnd w:id="93"/>
      <w:bookmarkEnd w:id="94"/>
      <w:bookmarkEnd w:id="95"/>
      <w:r>
        <w:rPr>
          <w:rFonts w:hint="default" w:ascii="Times New Roman" w:hAnsi="Times New Roman" w:cs="Times New Roman"/>
          <w:lang w:val="en-US" w:eastAsia="zh-CN"/>
        </w:rPr>
        <w:t>总体评价结论</w:t>
      </w:r>
      <w:bookmarkEnd w:id="96"/>
      <w:bookmarkEnd w:id="97"/>
    </w:p>
    <w:p w14:paraId="6DC9DB7E">
      <w:pPr>
        <w:pStyle w:val="26"/>
        <w:rPr>
          <w:rFonts w:hint="default" w:ascii="Times New Roman" w:hAnsi="Times New Roman" w:cs="Times New Roman"/>
          <w:lang w:val="en-US"/>
        </w:rPr>
      </w:pPr>
      <w:r>
        <w:rPr>
          <w:rFonts w:hint="default" w:ascii="Times New Roman" w:hAnsi="Times New Roman" w:cs="Times New Roman"/>
        </w:rPr>
        <w:t>总体来看，</w:t>
      </w:r>
      <w:r>
        <w:rPr>
          <w:rFonts w:hint="default" w:ascii="Times New Roman" w:hAnsi="Times New Roman" w:cs="Times New Roman"/>
          <w:lang w:val="en-US" w:eastAsia="zh-CN"/>
        </w:rPr>
        <w:t>滑县</w:t>
      </w:r>
      <w:r>
        <w:rPr>
          <w:rFonts w:hint="default" w:ascii="Times New Roman" w:hAnsi="Times New Roman" w:cs="Times New Roman"/>
          <w:lang w:eastAsia="zh-CN"/>
        </w:rPr>
        <w:t>202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eastAsia" w:ascii="Times New Roman" w:hAnsi="Times New Roman" w:cs="Times New Roman"/>
          <w:lang w:val="en-US" w:eastAsia="zh-CN"/>
        </w:rPr>
        <w:t>财政衔接推进乡村振兴补助</w:t>
      </w:r>
      <w:r>
        <w:rPr>
          <w:rFonts w:hint="default" w:ascii="Times New Roman" w:hAnsi="Times New Roman" w:cs="Times New Roman"/>
        </w:rPr>
        <w:t>项目</w:t>
      </w:r>
      <w:r>
        <w:rPr>
          <w:rFonts w:hint="default" w:ascii="Times New Roman" w:hAnsi="Times New Roman" w:cs="Times New Roman"/>
          <w:lang w:val="en-US" w:eastAsia="zh-CN"/>
        </w:rPr>
        <w:t>实施取得了一定成效。</w:t>
      </w:r>
      <w:r>
        <w:rPr>
          <w:rFonts w:hint="eastAsia" w:ascii="Times New Roman" w:hAnsi="Times New Roman" w:cs="Times New Roman"/>
          <w:lang w:val="en-US" w:eastAsia="zh-CN"/>
        </w:rPr>
        <w:t>该</w:t>
      </w:r>
      <w:r>
        <w:rPr>
          <w:rFonts w:hint="default" w:ascii="Times New Roman" w:hAnsi="Times New Roman" w:cs="Times New Roman"/>
          <w:b w:val="0"/>
          <w:bCs w:val="0"/>
          <w:lang w:val="en-US" w:eastAsia="zh-CN"/>
        </w:rPr>
        <w:t>项目</w:t>
      </w:r>
      <w:r>
        <w:rPr>
          <w:rFonts w:hint="default" w:ascii="Times New Roman" w:hAnsi="Times New Roman" w:cs="Times New Roman"/>
        </w:rPr>
        <w:t>立项依据充分、立项程序规范、预算编制合理</w:t>
      </w:r>
      <w:r>
        <w:rPr>
          <w:rFonts w:hint="default" w:ascii="Times New Roman" w:hAnsi="Times New Roman" w:cs="Times New Roman"/>
          <w:lang w:eastAsia="zh-CN"/>
        </w:rPr>
        <w:t>，</w:t>
      </w:r>
      <w:r>
        <w:rPr>
          <w:rFonts w:hint="default" w:ascii="Times New Roman" w:hAnsi="Times New Roman" w:cs="Times New Roman"/>
          <w:lang w:val="en-US" w:eastAsia="zh-CN"/>
        </w:rPr>
        <w:t>绩效目标设置总体较为规范</w:t>
      </w:r>
      <w:r>
        <w:rPr>
          <w:rFonts w:hint="default" w:ascii="Times New Roman" w:hAnsi="Times New Roman" w:cs="Times New Roman"/>
        </w:rPr>
        <w:t>。</w:t>
      </w:r>
      <w:r>
        <w:rPr>
          <w:rFonts w:hint="default" w:ascii="Times New Roman" w:hAnsi="Times New Roman" w:cs="Times New Roman"/>
          <w:lang w:val="en-US" w:eastAsia="zh-CN"/>
        </w:rPr>
        <w:t>滑县</w:t>
      </w:r>
      <w:r>
        <w:rPr>
          <w:rFonts w:hint="default" w:ascii="Times New Roman" w:hAnsi="Times New Roman" w:cs="Times New Roman"/>
        </w:rPr>
        <w:t>财政局、</w:t>
      </w:r>
      <w:r>
        <w:rPr>
          <w:rFonts w:hint="default" w:ascii="Times New Roman" w:hAnsi="Times New Roman" w:cs="Times New Roman"/>
          <w:lang w:val="en-US" w:eastAsia="zh-CN"/>
        </w:rPr>
        <w:t>滑县</w:t>
      </w:r>
      <w:r>
        <w:rPr>
          <w:rFonts w:hint="default" w:ascii="Times New Roman" w:hAnsi="Times New Roman" w:cs="Times New Roman"/>
          <w:lang w:eastAsia="zh-CN"/>
        </w:rPr>
        <w:t>乡村振兴局</w:t>
      </w:r>
      <w:r>
        <w:rPr>
          <w:rFonts w:hint="default" w:ascii="Times New Roman" w:hAnsi="Times New Roman" w:cs="Times New Roman"/>
        </w:rPr>
        <w:t>、各乡镇政府等单位职责分工明确</w:t>
      </w:r>
      <w:r>
        <w:rPr>
          <w:rFonts w:hint="default" w:ascii="Times New Roman" w:hAnsi="Times New Roman" w:cs="Times New Roman"/>
          <w:lang w:eastAsia="zh-CN"/>
        </w:rPr>
        <w:t>，</w:t>
      </w:r>
      <w:r>
        <w:rPr>
          <w:rFonts w:hint="default" w:ascii="Times New Roman" w:hAnsi="Times New Roman" w:cs="Times New Roman"/>
          <w:lang w:val="en-US" w:eastAsia="zh-CN"/>
        </w:rPr>
        <w:t>项目管理制度较为健全，制度执行规范、有效</w:t>
      </w:r>
      <w:r>
        <w:rPr>
          <w:rFonts w:hint="default" w:ascii="Times New Roman" w:hAnsi="Times New Roman" w:cs="Times New Roman"/>
        </w:rPr>
        <w:t>。</w:t>
      </w:r>
      <w:r>
        <w:rPr>
          <w:rFonts w:hint="default" w:ascii="Times New Roman" w:hAnsi="Times New Roman" w:cs="Times New Roman"/>
          <w:lang w:val="en-US" w:eastAsia="zh-CN"/>
        </w:rPr>
        <w:t>资金支付进度总体良好；财政衔接推进乡村振兴补助资金用于产业项目比例高于202</w:t>
      </w:r>
      <w:r>
        <w:rPr>
          <w:rFonts w:hint="eastAsia" w:ascii="Times New Roman" w:hAnsi="Times New Roman" w:cs="Times New Roman"/>
          <w:lang w:val="en-US" w:eastAsia="zh-CN"/>
        </w:rPr>
        <w:t>1</w:t>
      </w:r>
      <w:r>
        <w:rPr>
          <w:rFonts w:hint="default" w:ascii="Times New Roman" w:hAnsi="Times New Roman" w:cs="Times New Roman"/>
          <w:lang w:val="en-US" w:eastAsia="zh-CN"/>
        </w:rPr>
        <w:t>年度产业项目资金占比。</w:t>
      </w:r>
      <w:r>
        <w:rPr>
          <w:rFonts w:hint="eastAsia" w:ascii="Times New Roman" w:hAnsi="Times New Roman" w:cs="Times New Roman"/>
          <w:lang w:val="en-US" w:eastAsia="zh-CN"/>
        </w:rPr>
        <w:t>项目建设完成度总体较高。</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年度全县</w:t>
      </w:r>
      <w:r>
        <w:rPr>
          <w:rFonts w:hint="eastAsia" w:ascii="Times New Roman" w:hAnsi="Times New Roman" w:cs="Times New Roman"/>
          <w:lang w:val="en-US" w:eastAsia="zh-CN"/>
        </w:rPr>
        <w:t>统筹整合财政涉农资金</w:t>
      </w:r>
      <w:r>
        <w:rPr>
          <w:rFonts w:hint="default" w:ascii="Times New Roman" w:hAnsi="Times New Roman" w:cs="Times New Roman"/>
          <w:lang w:val="en-US" w:eastAsia="zh-CN"/>
        </w:rPr>
        <w:t>项目及时完工，项目一次验收合格率达100%。</w:t>
      </w:r>
      <w:r>
        <w:rPr>
          <w:rFonts w:hint="default" w:ascii="Times New Roman" w:hAnsi="Times New Roman" w:cs="Times New Roman"/>
          <w:b w:val="0"/>
          <w:bCs w:val="0"/>
          <w:lang w:val="en-US" w:eastAsia="zh-CN"/>
        </w:rPr>
        <w:t>通过项目实施，受扶持乡镇、行政村农民人均可支配收入、带动村集体经济收入均高于202</w:t>
      </w:r>
      <w:r>
        <w:rPr>
          <w:rFonts w:hint="eastAsia" w:ascii="Times New Roman" w:hAnsi="Times New Roman" w:cs="Times New Roman"/>
          <w:b w:val="0"/>
          <w:bCs w:val="0"/>
          <w:lang w:val="en-US" w:eastAsia="zh-CN"/>
        </w:rPr>
        <w:t>1</w:t>
      </w:r>
      <w:r>
        <w:rPr>
          <w:rFonts w:hint="default" w:ascii="Times New Roman" w:hAnsi="Times New Roman" w:cs="Times New Roman"/>
          <w:b w:val="0"/>
          <w:bCs w:val="0"/>
          <w:lang w:val="en-US" w:eastAsia="zh-CN"/>
        </w:rPr>
        <w:t>年，脱贫户和防止返贫监测对象满意度达</w:t>
      </w:r>
      <w:r>
        <w:rPr>
          <w:rFonts w:hint="eastAsia" w:ascii="Times New Roman" w:hAnsi="Times New Roman" w:cs="Times New Roman"/>
          <w:lang w:val="en-US" w:eastAsia="zh-CN"/>
        </w:rPr>
        <w:t>95</w:t>
      </w:r>
      <w:r>
        <w:rPr>
          <w:rFonts w:hint="default" w:ascii="Times New Roman" w:hAnsi="Times New Roman" w:cs="Times New Roman"/>
          <w:b w:val="0"/>
          <w:bCs w:val="0"/>
          <w:lang w:val="en-US" w:eastAsia="zh-CN"/>
        </w:rPr>
        <w:t>%。</w:t>
      </w:r>
      <w:r>
        <w:rPr>
          <w:rFonts w:hint="default" w:ascii="Times New Roman" w:hAnsi="Times New Roman" w:cs="Times New Roman"/>
          <w:lang w:val="en-US" w:eastAsia="zh-CN"/>
        </w:rPr>
        <w:t>但在项目实施过程中仍存在部分</w:t>
      </w:r>
      <w:r>
        <w:rPr>
          <w:rFonts w:hint="eastAsia" w:cs="Times New Roman"/>
          <w:lang w:val="en-US" w:eastAsia="zh-CN"/>
        </w:rPr>
        <w:t>项目资产确权手续相对较慢</w:t>
      </w:r>
      <w:r>
        <w:rPr>
          <w:rFonts w:hint="default" w:ascii="Times New Roman" w:hAnsi="Times New Roman" w:cs="Times New Roman"/>
          <w:lang w:val="en-US" w:eastAsia="zh-CN"/>
        </w:rPr>
        <w:t>，有待进一步优化、改进。</w:t>
      </w:r>
    </w:p>
    <w:p w14:paraId="116CC34E">
      <w:pPr>
        <w:pStyle w:val="27"/>
        <w:ind w:firstLine="562"/>
        <w:rPr>
          <w:rFonts w:hint="default" w:ascii="Times New Roman" w:hAnsi="Times New Roman" w:cs="Times New Roman"/>
        </w:rPr>
      </w:pPr>
      <w:bookmarkStart w:id="98" w:name="_Toc23264923"/>
      <w:bookmarkStart w:id="99" w:name="_Toc23266438"/>
      <w:bookmarkStart w:id="100" w:name="_Toc11778"/>
      <w:r>
        <w:rPr>
          <w:rFonts w:hint="default" w:ascii="Times New Roman" w:hAnsi="Times New Roman" w:cs="Times New Roman"/>
        </w:rPr>
        <w:t>（二）指标分析</w:t>
      </w:r>
      <w:bookmarkEnd w:id="98"/>
      <w:bookmarkEnd w:id="99"/>
      <w:bookmarkEnd w:id="100"/>
    </w:p>
    <w:p w14:paraId="63AAECBC">
      <w:pPr>
        <w:pStyle w:val="5"/>
        <w:rPr>
          <w:rFonts w:hint="default" w:ascii="Times New Roman" w:hAnsi="Times New Roman" w:cs="Times New Roman"/>
        </w:rPr>
      </w:pPr>
      <w:bookmarkStart w:id="101" w:name="_Toc23266439"/>
      <w:bookmarkStart w:id="102" w:name="_Toc23264924"/>
      <w:bookmarkStart w:id="103" w:name="_Toc23267050"/>
      <w:bookmarkStart w:id="104" w:name="_Toc28549"/>
      <w:bookmarkStart w:id="105" w:name="_Toc12190"/>
      <w:r>
        <w:rPr>
          <w:rFonts w:hint="default" w:ascii="Times New Roman" w:hAnsi="Times New Roman" w:cs="Times New Roman"/>
        </w:rPr>
        <w:t>1.项目决策</w:t>
      </w:r>
      <w:bookmarkEnd w:id="101"/>
      <w:bookmarkEnd w:id="102"/>
      <w:bookmarkEnd w:id="103"/>
      <w:bookmarkEnd w:id="104"/>
      <w:bookmarkEnd w:id="105"/>
    </w:p>
    <w:p w14:paraId="19EA3E11">
      <w:pPr>
        <w:pStyle w:val="26"/>
        <w:rPr>
          <w:rFonts w:hint="default" w:ascii="Times New Roman" w:hAnsi="Times New Roman" w:cs="Times New Roman"/>
        </w:rPr>
      </w:pPr>
      <w:r>
        <w:rPr>
          <w:rFonts w:hint="default" w:ascii="Times New Roman" w:hAnsi="Times New Roman" w:cs="Times New Roman"/>
        </w:rPr>
        <w:t>项目决策指标包含</w:t>
      </w:r>
      <w:r>
        <w:rPr>
          <w:rFonts w:hint="default" w:ascii="Times New Roman" w:hAnsi="Times New Roman" w:cs="Times New Roman"/>
          <w:lang w:val="en-US" w:eastAsia="zh-CN"/>
        </w:rPr>
        <w:t>3</w:t>
      </w:r>
      <w:r>
        <w:rPr>
          <w:rFonts w:hint="default" w:ascii="Times New Roman" w:hAnsi="Times New Roman" w:cs="Times New Roman"/>
        </w:rPr>
        <w:t>个二级指标</w:t>
      </w:r>
      <w:r>
        <w:rPr>
          <w:rFonts w:hint="eastAsia" w:ascii="Times New Roman" w:hAnsi="Times New Roman" w:cs="Times New Roman"/>
          <w:lang w:eastAsia="zh-CN"/>
        </w:rPr>
        <w:t>，</w:t>
      </w:r>
      <w:r>
        <w:rPr>
          <w:rFonts w:hint="default" w:ascii="Times New Roman" w:hAnsi="Times New Roman" w:cs="Times New Roman"/>
          <w:lang w:val="en-US" w:eastAsia="zh-CN"/>
        </w:rPr>
        <w:t>6</w:t>
      </w:r>
      <w:r>
        <w:rPr>
          <w:rFonts w:hint="default" w:ascii="Times New Roman" w:hAnsi="Times New Roman" w:cs="Times New Roman"/>
        </w:rPr>
        <w:t>个三级指标，权重为</w:t>
      </w:r>
      <w:r>
        <w:rPr>
          <w:rFonts w:hint="default" w:ascii="Times New Roman" w:hAnsi="Times New Roman" w:cs="Times New Roman"/>
          <w:lang w:val="en-US" w:eastAsia="zh-CN"/>
        </w:rPr>
        <w:t>12</w:t>
      </w:r>
      <w:r>
        <w:rPr>
          <w:rFonts w:hint="default" w:ascii="Times New Roman" w:hAnsi="Times New Roman" w:cs="Times New Roman"/>
        </w:rPr>
        <w:t>分，该项得分</w:t>
      </w:r>
      <w:r>
        <w:rPr>
          <w:rFonts w:hint="eastAsia" w:ascii="Times New Roman" w:hAnsi="Times New Roman" w:cs="Times New Roman"/>
          <w:lang w:val="en-US" w:eastAsia="zh-CN"/>
        </w:rPr>
        <w:t>11</w:t>
      </w:r>
      <w:r>
        <w:rPr>
          <w:rFonts w:hint="default" w:ascii="Times New Roman" w:hAnsi="Times New Roman" w:cs="Times New Roman"/>
        </w:rPr>
        <w:t>分，得分率</w:t>
      </w:r>
      <w:r>
        <w:rPr>
          <w:rFonts w:hint="eastAsia" w:ascii="Times New Roman" w:hAnsi="Times New Roman" w:cs="Times New Roman"/>
          <w:lang w:val="en-US" w:eastAsia="zh-CN"/>
        </w:rPr>
        <w:t>91.67</w:t>
      </w:r>
      <w:r>
        <w:rPr>
          <w:rFonts w:hint="default" w:ascii="Times New Roman" w:hAnsi="Times New Roman" w:cs="Times New Roman"/>
        </w:rPr>
        <w:t>%。项各指标得分情况如表3-2：</w:t>
      </w:r>
    </w:p>
    <w:p w14:paraId="3C2DBC86">
      <w:pPr>
        <w:pStyle w:val="29"/>
        <w:widowControl w:val="0"/>
        <w:wordWrap/>
        <w:adjustRightInd/>
        <w:snapToGrid/>
        <w:spacing w:before="0" w:after="0" w:line="560" w:lineRule="exact"/>
        <w:ind w:firstLine="561"/>
        <w:textAlignment w:val="auto"/>
        <w:rPr>
          <w:rFonts w:hint="default" w:ascii="Times New Roman" w:hAnsi="Times New Roman" w:cs="Times New Roman"/>
          <w:sz w:val="24"/>
          <w:szCs w:val="24"/>
        </w:rPr>
      </w:pPr>
      <w:r>
        <w:rPr>
          <w:rFonts w:hint="default" w:ascii="Times New Roman" w:hAnsi="Times New Roman" w:cs="Times New Roman"/>
          <w:sz w:val="24"/>
          <w:szCs w:val="24"/>
        </w:rPr>
        <w:t>表3-2 项目决策指标得分情况</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2934"/>
        <w:gridCol w:w="1027"/>
        <w:gridCol w:w="1402"/>
        <w:gridCol w:w="1458"/>
      </w:tblGrid>
      <w:tr w14:paraId="5A58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70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CEB975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293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AEF5A5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102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43AA7D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1402"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A5F31E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45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AF2E32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14:paraId="5012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vMerge w:val="restart"/>
            <w:tcBorders>
              <w:top w:val="single" w:color="000000" w:sz="4" w:space="0"/>
              <w:left w:val="single" w:color="000000" w:sz="4" w:space="0"/>
              <w:bottom w:val="single" w:color="000000" w:sz="4" w:space="0"/>
              <w:right w:val="single" w:color="000000" w:sz="4" w:space="0"/>
            </w:tcBorders>
            <w:vAlign w:val="center"/>
          </w:tcPr>
          <w:p w14:paraId="48B1F63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A1项目立项</w:t>
            </w:r>
          </w:p>
        </w:tc>
        <w:tc>
          <w:tcPr>
            <w:tcW w:w="2934" w:type="dxa"/>
            <w:tcBorders>
              <w:top w:val="single" w:color="000000" w:sz="4" w:space="0"/>
              <w:left w:val="single" w:color="000000" w:sz="4" w:space="0"/>
              <w:bottom w:val="single" w:color="000000" w:sz="4" w:space="0"/>
              <w:right w:val="single" w:color="000000" w:sz="4" w:space="0"/>
            </w:tcBorders>
            <w:vAlign w:val="center"/>
          </w:tcPr>
          <w:p w14:paraId="5AE10D0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A11立项依据充分性</w:t>
            </w:r>
          </w:p>
        </w:tc>
        <w:tc>
          <w:tcPr>
            <w:tcW w:w="1027" w:type="dxa"/>
            <w:tcBorders>
              <w:top w:val="single" w:color="000000" w:sz="4" w:space="0"/>
              <w:left w:val="single" w:color="000000" w:sz="4" w:space="0"/>
              <w:bottom w:val="single" w:color="000000" w:sz="4" w:space="0"/>
              <w:right w:val="single" w:color="000000" w:sz="4" w:space="0"/>
            </w:tcBorders>
            <w:vAlign w:val="center"/>
          </w:tcPr>
          <w:p w14:paraId="0C41908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w:t>
            </w:r>
          </w:p>
        </w:tc>
        <w:tc>
          <w:tcPr>
            <w:tcW w:w="1402" w:type="dxa"/>
            <w:tcBorders>
              <w:top w:val="single" w:color="000000" w:sz="4" w:space="0"/>
              <w:left w:val="single" w:color="000000" w:sz="4" w:space="0"/>
              <w:bottom w:val="single" w:color="000000" w:sz="4" w:space="0"/>
              <w:right w:val="single" w:color="000000" w:sz="4" w:space="0"/>
            </w:tcBorders>
            <w:vAlign w:val="center"/>
          </w:tcPr>
          <w:p w14:paraId="7A6BC59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640EB7A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5FDD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27B3AE26">
            <w:pPr>
              <w:jc w:val="center"/>
              <w:rPr>
                <w:rFonts w:hint="default" w:ascii="Times New Roman" w:hAnsi="Times New Roman" w:eastAsia="宋体" w:cs="Times New Roman"/>
                <w:i w:val="0"/>
                <w:iCs w:val="0"/>
                <w:color w:val="000000"/>
                <w:sz w:val="21"/>
                <w:szCs w:val="21"/>
                <w:u w:val="none"/>
              </w:rPr>
            </w:pPr>
          </w:p>
        </w:tc>
        <w:tc>
          <w:tcPr>
            <w:tcW w:w="2934" w:type="dxa"/>
            <w:tcBorders>
              <w:top w:val="single" w:color="000000" w:sz="4" w:space="0"/>
              <w:left w:val="single" w:color="000000" w:sz="4" w:space="0"/>
              <w:bottom w:val="single" w:color="000000" w:sz="4" w:space="0"/>
              <w:right w:val="single" w:color="000000" w:sz="4" w:space="0"/>
            </w:tcBorders>
            <w:vAlign w:val="center"/>
          </w:tcPr>
          <w:p w14:paraId="6561C6D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A12立项程序规范性</w:t>
            </w:r>
          </w:p>
        </w:tc>
        <w:tc>
          <w:tcPr>
            <w:tcW w:w="1027" w:type="dxa"/>
            <w:tcBorders>
              <w:top w:val="single" w:color="000000" w:sz="4" w:space="0"/>
              <w:left w:val="single" w:color="000000" w:sz="4" w:space="0"/>
              <w:bottom w:val="single" w:color="000000" w:sz="4" w:space="0"/>
              <w:right w:val="single" w:color="000000" w:sz="4" w:space="0"/>
            </w:tcBorders>
            <w:vAlign w:val="center"/>
          </w:tcPr>
          <w:p w14:paraId="1115BF3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14:paraId="2C623A1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2940214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4A3D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vMerge w:val="restart"/>
            <w:tcBorders>
              <w:top w:val="single" w:color="000000" w:sz="4" w:space="0"/>
              <w:left w:val="single" w:color="000000" w:sz="4" w:space="0"/>
              <w:bottom w:val="single" w:color="000000" w:sz="4" w:space="0"/>
              <w:right w:val="single" w:color="000000" w:sz="4" w:space="0"/>
            </w:tcBorders>
            <w:vAlign w:val="center"/>
          </w:tcPr>
          <w:p w14:paraId="37576A4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A2绩效目标</w:t>
            </w:r>
          </w:p>
        </w:tc>
        <w:tc>
          <w:tcPr>
            <w:tcW w:w="2934" w:type="dxa"/>
            <w:tcBorders>
              <w:top w:val="single" w:color="000000" w:sz="4" w:space="0"/>
              <w:left w:val="single" w:color="000000" w:sz="4" w:space="0"/>
              <w:bottom w:val="single" w:color="000000" w:sz="4" w:space="0"/>
              <w:right w:val="single" w:color="000000" w:sz="4" w:space="0"/>
            </w:tcBorders>
            <w:vAlign w:val="center"/>
          </w:tcPr>
          <w:p w14:paraId="60062DD3">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A21绩效目标合理性</w:t>
            </w:r>
          </w:p>
        </w:tc>
        <w:tc>
          <w:tcPr>
            <w:tcW w:w="1027" w:type="dxa"/>
            <w:tcBorders>
              <w:top w:val="single" w:color="000000" w:sz="4" w:space="0"/>
              <w:left w:val="single" w:color="000000" w:sz="4" w:space="0"/>
              <w:bottom w:val="single" w:color="000000" w:sz="4" w:space="0"/>
              <w:right w:val="single" w:color="000000" w:sz="4" w:space="0"/>
            </w:tcBorders>
            <w:vAlign w:val="center"/>
          </w:tcPr>
          <w:p w14:paraId="659BAAF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14:paraId="451C346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18E888F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5D94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58A4F6F7">
            <w:pPr>
              <w:jc w:val="center"/>
              <w:rPr>
                <w:rFonts w:hint="default" w:ascii="Times New Roman" w:hAnsi="Times New Roman" w:eastAsia="宋体" w:cs="Times New Roman"/>
                <w:i w:val="0"/>
                <w:iCs w:val="0"/>
                <w:color w:val="000000"/>
                <w:sz w:val="21"/>
                <w:szCs w:val="21"/>
                <w:u w:val="none"/>
              </w:rPr>
            </w:pPr>
          </w:p>
        </w:tc>
        <w:tc>
          <w:tcPr>
            <w:tcW w:w="2934" w:type="dxa"/>
            <w:tcBorders>
              <w:top w:val="single" w:color="000000" w:sz="4" w:space="0"/>
              <w:left w:val="single" w:color="000000" w:sz="4" w:space="0"/>
              <w:bottom w:val="single" w:color="000000" w:sz="4" w:space="0"/>
              <w:right w:val="single" w:color="000000" w:sz="4" w:space="0"/>
            </w:tcBorders>
            <w:vAlign w:val="center"/>
          </w:tcPr>
          <w:p w14:paraId="6575B7C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A22绩效目标明确性</w:t>
            </w:r>
          </w:p>
        </w:tc>
        <w:tc>
          <w:tcPr>
            <w:tcW w:w="1027" w:type="dxa"/>
            <w:tcBorders>
              <w:top w:val="single" w:color="000000" w:sz="4" w:space="0"/>
              <w:left w:val="single" w:color="000000" w:sz="4" w:space="0"/>
              <w:bottom w:val="single" w:color="000000" w:sz="4" w:space="0"/>
              <w:right w:val="single" w:color="000000" w:sz="4" w:space="0"/>
            </w:tcBorders>
            <w:vAlign w:val="center"/>
          </w:tcPr>
          <w:p w14:paraId="1DAFD40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402" w:type="dxa"/>
            <w:tcBorders>
              <w:top w:val="single" w:color="000000" w:sz="4" w:space="0"/>
              <w:left w:val="single" w:color="000000" w:sz="4" w:space="0"/>
              <w:bottom w:val="single" w:color="000000" w:sz="4" w:space="0"/>
              <w:right w:val="single" w:color="000000" w:sz="4" w:space="0"/>
            </w:tcBorders>
            <w:vAlign w:val="center"/>
          </w:tcPr>
          <w:p w14:paraId="11ECA48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663B05B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699E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21DDD1DD">
            <w:pPr>
              <w:jc w:val="center"/>
              <w:rPr>
                <w:rFonts w:hint="default" w:ascii="Times New Roman" w:hAnsi="Times New Roman" w:eastAsia="宋体" w:cs="Times New Roman"/>
                <w:i w:val="0"/>
                <w:iCs w:val="0"/>
                <w:color w:val="000000"/>
                <w:sz w:val="21"/>
                <w:szCs w:val="21"/>
                <w:u w:val="none"/>
              </w:rPr>
            </w:pPr>
          </w:p>
        </w:tc>
        <w:tc>
          <w:tcPr>
            <w:tcW w:w="2934" w:type="dxa"/>
            <w:tcBorders>
              <w:top w:val="single" w:color="000000" w:sz="4" w:space="0"/>
              <w:left w:val="single" w:color="000000" w:sz="4" w:space="0"/>
              <w:bottom w:val="single" w:color="000000" w:sz="4" w:space="0"/>
              <w:right w:val="single" w:color="000000" w:sz="4" w:space="0"/>
            </w:tcBorders>
            <w:vAlign w:val="center"/>
          </w:tcPr>
          <w:p w14:paraId="1759872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A23绩效监控及自评完成率</w:t>
            </w:r>
          </w:p>
        </w:tc>
        <w:tc>
          <w:tcPr>
            <w:tcW w:w="1027" w:type="dxa"/>
            <w:tcBorders>
              <w:top w:val="single" w:color="000000" w:sz="4" w:space="0"/>
              <w:left w:val="single" w:color="000000" w:sz="4" w:space="0"/>
              <w:bottom w:val="single" w:color="000000" w:sz="4" w:space="0"/>
              <w:right w:val="single" w:color="000000" w:sz="4" w:space="0"/>
            </w:tcBorders>
            <w:vAlign w:val="center"/>
          </w:tcPr>
          <w:p w14:paraId="3CE4B76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14:paraId="4337417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46E539D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50.00%</w:t>
            </w:r>
          </w:p>
        </w:tc>
      </w:tr>
      <w:tr w14:paraId="70F2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4" w:type="dxa"/>
            <w:tcBorders>
              <w:top w:val="single" w:color="000000" w:sz="4" w:space="0"/>
              <w:left w:val="single" w:color="000000" w:sz="4" w:space="0"/>
              <w:bottom w:val="single" w:color="000000" w:sz="4" w:space="0"/>
              <w:right w:val="single" w:color="000000" w:sz="4" w:space="0"/>
            </w:tcBorders>
            <w:vAlign w:val="center"/>
          </w:tcPr>
          <w:p w14:paraId="33F6639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A3资金安排</w:t>
            </w:r>
          </w:p>
        </w:tc>
        <w:tc>
          <w:tcPr>
            <w:tcW w:w="2934" w:type="dxa"/>
            <w:tcBorders>
              <w:top w:val="single" w:color="000000" w:sz="4" w:space="0"/>
              <w:left w:val="single" w:color="000000" w:sz="4" w:space="0"/>
              <w:bottom w:val="single" w:color="000000" w:sz="4" w:space="0"/>
              <w:right w:val="single" w:color="000000" w:sz="4" w:space="0"/>
            </w:tcBorders>
            <w:vAlign w:val="center"/>
          </w:tcPr>
          <w:p w14:paraId="000C7424">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A31预算编制合理性</w:t>
            </w:r>
          </w:p>
        </w:tc>
        <w:tc>
          <w:tcPr>
            <w:tcW w:w="1027" w:type="dxa"/>
            <w:tcBorders>
              <w:top w:val="single" w:color="000000" w:sz="4" w:space="0"/>
              <w:left w:val="single" w:color="000000" w:sz="4" w:space="0"/>
              <w:bottom w:val="single" w:color="000000" w:sz="4" w:space="0"/>
              <w:right w:val="single" w:color="000000" w:sz="4" w:space="0"/>
            </w:tcBorders>
            <w:vAlign w:val="center"/>
          </w:tcPr>
          <w:p w14:paraId="1B5696E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14:paraId="2C98C68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458" w:type="dxa"/>
            <w:tcBorders>
              <w:top w:val="single" w:color="000000" w:sz="4" w:space="0"/>
              <w:left w:val="single" w:color="000000" w:sz="4" w:space="0"/>
              <w:bottom w:val="single" w:color="000000" w:sz="4" w:space="0"/>
              <w:right w:val="single" w:color="000000" w:sz="4" w:space="0"/>
            </w:tcBorders>
            <w:vAlign w:val="center"/>
          </w:tcPr>
          <w:p w14:paraId="12DF8DD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61BF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4638" w:type="dxa"/>
            <w:gridSpan w:val="2"/>
            <w:tcBorders>
              <w:top w:val="single" w:color="000000" w:sz="4" w:space="0"/>
              <w:left w:val="single" w:color="000000" w:sz="4" w:space="0"/>
              <w:bottom w:val="single" w:color="000000" w:sz="4" w:space="0"/>
              <w:right w:val="single" w:color="000000" w:sz="4" w:space="0"/>
            </w:tcBorders>
            <w:vAlign w:val="center"/>
          </w:tcPr>
          <w:p w14:paraId="5D91A7FD">
            <w:pPr>
              <w:jc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1027" w:type="dxa"/>
            <w:tcBorders>
              <w:top w:val="single" w:color="000000" w:sz="4" w:space="0"/>
              <w:left w:val="single" w:color="000000" w:sz="4" w:space="0"/>
              <w:bottom w:val="single" w:color="000000" w:sz="4" w:space="0"/>
              <w:right w:val="single" w:color="000000" w:sz="4" w:space="0"/>
            </w:tcBorders>
            <w:vAlign w:val="center"/>
          </w:tcPr>
          <w:p w14:paraId="7AE826F4">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12</w:t>
            </w:r>
          </w:p>
        </w:tc>
        <w:tc>
          <w:tcPr>
            <w:tcW w:w="1402" w:type="dxa"/>
            <w:tcBorders>
              <w:top w:val="single" w:color="000000" w:sz="4" w:space="0"/>
              <w:left w:val="single" w:color="000000" w:sz="4" w:space="0"/>
              <w:bottom w:val="single" w:color="000000" w:sz="4" w:space="0"/>
              <w:right w:val="single" w:color="000000" w:sz="4" w:space="0"/>
            </w:tcBorders>
            <w:vAlign w:val="center"/>
          </w:tcPr>
          <w:p w14:paraId="7B34CAD0">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11</w:t>
            </w:r>
          </w:p>
        </w:tc>
        <w:tc>
          <w:tcPr>
            <w:tcW w:w="1458" w:type="dxa"/>
            <w:tcBorders>
              <w:top w:val="single" w:color="000000" w:sz="4" w:space="0"/>
              <w:left w:val="single" w:color="000000" w:sz="4" w:space="0"/>
              <w:bottom w:val="single" w:color="000000" w:sz="4" w:space="0"/>
              <w:right w:val="single" w:color="000000" w:sz="4" w:space="0"/>
            </w:tcBorders>
            <w:vAlign w:val="center"/>
          </w:tcPr>
          <w:p w14:paraId="282000B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91.67%</w:t>
            </w:r>
          </w:p>
        </w:tc>
      </w:tr>
    </w:tbl>
    <w:p w14:paraId="1379792A">
      <w:pPr>
        <w:pStyle w:val="26"/>
        <w:rPr>
          <w:rFonts w:hint="eastAsia" w:ascii="Times New Roman" w:hAnsi="Times New Roman" w:cs="Times New Roman"/>
          <w:lang w:val="en-US" w:eastAsia="zh-CN"/>
        </w:rPr>
      </w:pPr>
      <w:r>
        <w:rPr>
          <w:rFonts w:hint="default" w:ascii="Times New Roman" w:hAnsi="Times New Roman" w:cs="Times New Roman"/>
          <w:b/>
          <w:bCs/>
          <w:lang w:val="en-US" w:eastAsia="zh-CN"/>
        </w:rPr>
        <w:t>A11立项依据充分性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①项目立项符合中共中央、国务院发布了《关于实现巩固拓展脱贫攻坚成果同乡村振兴有效衔接的意见》的政策要求；②项目立项符合中共河南省委、河南省人民政府发布《关于全面推进乡村振兴加快农业农村现代化的实施意见》关于实现巩固拓展脱贫攻坚成果同乡村振兴有效衔接等内容；③项目立项与本地区乡村振兴局部门职责范围相符，属于部门履职所需；④项目属于公共财政支持范围，符合中央、地方事权支出责任划分原则。综上，该指标得满分。</w:t>
      </w:r>
    </w:p>
    <w:p w14:paraId="15C04653">
      <w:pPr>
        <w:pStyle w:val="26"/>
        <w:rPr>
          <w:rFonts w:hint="eastAsia" w:ascii="Times New Roman" w:hAnsi="Times New Roman" w:cs="Times New Roman"/>
          <w:lang w:val="en-US" w:eastAsia="zh-CN"/>
        </w:rPr>
      </w:pPr>
      <w:r>
        <w:rPr>
          <w:rFonts w:hint="default" w:ascii="Times New Roman" w:hAnsi="Times New Roman" w:cs="Times New Roman"/>
          <w:b/>
          <w:bCs/>
          <w:lang w:val="en-US" w:eastAsia="zh-CN"/>
        </w:rPr>
        <w:t>A12立项程序规范性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①项目立项符合国家政策要求，按照规定的程序申请设立；②审批文件、材料符合相关要求；③事前已经过必要的可行性研究、专家论证、风险评估、集体决策等。综上，该指标得满分。</w:t>
      </w:r>
    </w:p>
    <w:p w14:paraId="79155AD1">
      <w:pPr>
        <w:pStyle w:val="26"/>
        <w:rPr>
          <w:rFonts w:hint="eastAsia" w:ascii="Times New Roman" w:hAnsi="Times New Roman" w:cs="Times New Roman"/>
          <w:lang w:val="en-US" w:eastAsia="zh-CN"/>
        </w:rPr>
      </w:pPr>
      <w:r>
        <w:rPr>
          <w:rFonts w:hint="default" w:ascii="Times New Roman" w:hAnsi="Times New Roman" w:cs="Times New Roman"/>
          <w:b/>
          <w:bCs/>
          <w:lang w:val="en-US" w:eastAsia="zh-CN"/>
        </w:rPr>
        <w:t>A21绩效目标合理性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依据所抽取项目提供的绩效目标申报表：①各项目均设立有绩效目标；②项目绩效目标与实际工作内容具有相关性；③项目预期产出和效果符合正常的业绩水平。综上，该指标得满分权重分。</w:t>
      </w:r>
    </w:p>
    <w:p w14:paraId="3A2DFC95">
      <w:pPr>
        <w:pStyle w:val="26"/>
        <w:rPr>
          <w:rFonts w:hint="eastAsia" w:ascii="Times New Roman" w:hAnsi="Times New Roman" w:cs="Times New Roman"/>
          <w:lang w:val="en-US" w:eastAsia="zh-CN"/>
        </w:rPr>
      </w:pPr>
      <w:r>
        <w:rPr>
          <w:rFonts w:hint="default" w:ascii="Times New Roman" w:hAnsi="Times New Roman" w:cs="Times New Roman"/>
          <w:b/>
          <w:bCs/>
          <w:lang w:val="en-US" w:eastAsia="zh-CN"/>
        </w:rPr>
        <w:t>A22绩效目标明确性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依据所抽取项目提供的绩效目标申报表：①各项目能够将项目绩效目标细化分解为具体的绩效指标；②通过清晰、可衡量的指标值予以体现；③与项目目标任务数或计划数相对应。综上，该指标得满分权重分。</w:t>
      </w:r>
    </w:p>
    <w:p w14:paraId="17CA58E4">
      <w:pPr>
        <w:pStyle w:val="26"/>
        <w:rPr>
          <w:rFonts w:hint="default" w:ascii="Times New Roman" w:hAnsi="Times New Roman" w:cs="Times New Roman"/>
          <w:lang w:val="en-US" w:eastAsia="zh-CN"/>
        </w:rPr>
      </w:pPr>
      <w:r>
        <w:rPr>
          <w:rFonts w:hint="default" w:ascii="Times New Roman" w:hAnsi="Times New Roman" w:cs="Times New Roman"/>
          <w:b/>
          <w:bCs/>
          <w:lang w:val="en-US" w:eastAsia="zh-CN"/>
        </w:rPr>
        <w:t>A23绩效监控及自评完成率</w:t>
      </w:r>
      <w:r>
        <w:rPr>
          <w:rFonts w:hint="eastAsia" w:ascii="Times New Roman" w:hAnsi="Times New Roman" w:cs="Times New Roman"/>
          <w:b/>
          <w:bCs/>
          <w:lang w:val="en-US" w:eastAsia="zh-CN"/>
        </w:rPr>
        <w:t>：</w:t>
      </w:r>
      <w:r>
        <w:rPr>
          <w:rFonts w:hint="eastAsia" w:ascii="Times New Roman" w:hAnsi="Times New Roman" w:cs="Times New Roman"/>
          <w:lang w:val="en-US" w:eastAsia="zh-CN"/>
        </w:rPr>
        <w:t>依据所抽取项目提供的绩效运行监控和自评材料：①各项目能够在在执行过程中开展绩效运行监控，并形成绩效运行监控表与监控报告；②部分项目虽完工，但因未进行验收，尚未形成自评表与自评报告，不得分。综上，该指标得50%权重分。</w:t>
      </w:r>
    </w:p>
    <w:p w14:paraId="0209B38E">
      <w:pPr>
        <w:pStyle w:val="5"/>
        <w:rPr>
          <w:rFonts w:hint="default" w:ascii="Times New Roman" w:hAnsi="Times New Roman" w:eastAsia="仿宋" w:cs="Times New Roman"/>
          <w:lang w:val="en-US" w:eastAsia="zh-CN"/>
        </w:rPr>
      </w:pPr>
      <w:bookmarkStart w:id="106" w:name="_Toc23266440"/>
      <w:bookmarkStart w:id="107" w:name="_Toc23267051"/>
      <w:bookmarkStart w:id="108" w:name="_Toc23264925"/>
      <w:bookmarkStart w:id="109" w:name="_Toc28835"/>
      <w:bookmarkStart w:id="110" w:name="_Toc86"/>
      <w:r>
        <w:rPr>
          <w:rFonts w:hint="default" w:ascii="Times New Roman" w:hAnsi="Times New Roman" w:cs="Times New Roman"/>
          <w:lang w:val="en-US" w:eastAsia="zh-CN"/>
        </w:rPr>
        <w:t>2.</w:t>
      </w:r>
      <w:r>
        <w:rPr>
          <w:rFonts w:hint="default" w:ascii="Times New Roman" w:hAnsi="Times New Roman" w:cs="Times New Roman"/>
        </w:rPr>
        <w:t>项目</w:t>
      </w:r>
      <w:bookmarkEnd w:id="106"/>
      <w:bookmarkEnd w:id="107"/>
      <w:bookmarkEnd w:id="108"/>
      <w:bookmarkEnd w:id="109"/>
      <w:bookmarkEnd w:id="110"/>
      <w:r>
        <w:rPr>
          <w:rFonts w:hint="default" w:ascii="Times New Roman" w:hAnsi="Times New Roman" w:cs="Times New Roman"/>
          <w:lang w:val="en-US" w:eastAsia="zh-CN"/>
        </w:rPr>
        <w:t>过程</w:t>
      </w:r>
    </w:p>
    <w:p w14:paraId="5C2ECF67">
      <w:pPr>
        <w:pStyle w:val="26"/>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val="en-US" w:eastAsia="zh-CN"/>
        </w:rPr>
        <w:t>过程</w:t>
      </w:r>
      <w:r>
        <w:rPr>
          <w:rFonts w:hint="default" w:ascii="Times New Roman" w:hAnsi="Times New Roman" w:cs="Times New Roman"/>
        </w:rPr>
        <w:t>指标包含</w:t>
      </w:r>
      <w:r>
        <w:rPr>
          <w:rFonts w:hint="default" w:ascii="Times New Roman" w:hAnsi="Times New Roman" w:cs="Times New Roman"/>
          <w:lang w:val="en-US" w:eastAsia="zh-CN"/>
        </w:rPr>
        <w:t>2</w:t>
      </w:r>
      <w:r>
        <w:rPr>
          <w:rFonts w:hint="default" w:ascii="Times New Roman" w:hAnsi="Times New Roman" w:cs="Times New Roman"/>
        </w:rPr>
        <w:t>个二级指标</w:t>
      </w:r>
      <w:r>
        <w:rPr>
          <w:rFonts w:hint="eastAsia" w:ascii="Times New Roman" w:hAnsi="Times New Roman" w:cs="Times New Roman"/>
          <w:lang w:eastAsia="zh-CN"/>
        </w:rPr>
        <w:t>，</w:t>
      </w:r>
      <w:r>
        <w:rPr>
          <w:rFonts w:hint="default" w:ascii="Times New Roman" w:hAnsi="Times New Roman" w:cs="Times New Roman"/>
          <w:lang w:val="en-US" w:eastAsia="zh-CN"/>
        </w:rPr>
        <w:t>11</w:t>
      </w:r>
      <w:r>
        <w:rPr>
          <w:rFonts w:hint="default" w:ascii="Times New Roman" w:hAnsi="Times New Roman" w:cs="Times New Roman"/>
        </w:rPr>
        <w:t>个三级指标，权重为</w:t>
      </w:r>
      <w:r>
        <w:rPr>
          <w:rFonts w:hint="default" w:ascii="Times New Roman" w:hAnsi="Times New Roman" w:cs="Times New Roman"/>
          <w:lang w:val="en-US" w:eastAsia="zh-CN"/>
        </w:rPr>
        <w:t>28</w:t>
      </w:r>
      <w:r>
        <w:rPr>
          <w:rFonts w:hint="default" w:ascii="Times New Roman" w:hAnsi="Times New Roman" w:cs="Times New Roman"/>
        </w:rPr>
        <w:t>分，该项得分</w:t>
      </w:r>
      <w:r>
        <w:rPr>
          <w:rFonts w:hint="eastAsia" w:cs="Times New Roman"/>
          <w:lang w:val="en-US" w:eastAsia="zh-CN"/>
        </w:rPr>
        <w:t>27.19</w:t>
      </w:r>
      <w:r>
        <w:rPr>
          <w:rFonts w:hint="default" w:ascii="Times New Roman" w:hAnsi="Times New Roman" w:cs="Times New Roman"/>
        </w:rPr>
        <w:t>分，得分率</w:t>
      </w:r>
      <w:r>
        <w:rPr>
          <w:rFonts w:hint="eastAsia" w:cs="Times New Roman"/>
          <w:lang w:val="en-US" w:eastAsia="zh-CN"/>
        </w:rPr>
        <w:t>97.11</w:t>
      </w:r>
      <w:r>
        <w:rPr>
          <w:rFonts w:hint="default" w:ascii="Times New Roman" w:hAnsi="Times New Roman" w:cs="Times New Roman"/>
        </w:rPr>
        <w:t>%。项各指标得分情况如表3-</w:t>
      </w:r>
      <w:r>
        <w:rPr>
          <w:rFonts w:hint="default" w:ascii="Times New Roman" w:hAnsi="Times New Roman" w:cs="Times New Roman"/>
          <w:lang w:val="en-US" w:eastAsia="zh-CN"/>
        </w:rPr>
        <w:t>3</w:t>
      </w:r>
      <w:r>
        <w:rPr>
          <w:rFonts w:hint="default" w:ascii="Times New Roman" w:hAnsi="Times New Roman" w:cs="Times New Roman"/>
        </w:rPr>
        <w:t>：</w:t>
      </w:r>
    </w:p>
    <w:p w14:paraId="3F64D452">
      <w:pPr>
        <w:pStyle w:val="29"/>
        <w:widowControl w:val="0"/>
        <w:wordWrap/>
        <w:adjustRightInd/>
        <w:snapToGrid/>
        <w:spacing w:before="0" w:after="0" w:line="560" w:lineRule="exact"/>
        <w:ind w:firstLine="561"/>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表3-3 项目过程指标情况表</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3"/>
        <w:gridCol w:w="4004"/>
        <w:gridCol w:w="851"/>
        <w:gridCol w:w="1139"/>
        <w:gridCol w:w="1148"/>
      </w:tblGrid>
      <w:tr w14:paraId="5864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E57BAC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400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C6EFB7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AD215EB">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113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6C6217D">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14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3D9B94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14:paraId="3F00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restart"/>
            <w:tcBorders>
              <w:top w:val="single" w:color="000000" w:sz="4" w:space="0"/>
              <w:left w:val="single" w:color="000000" w:sz="4" w:space="0"/>
              <w:bottom w:val="single" w:color="000000" w:sz="4" w:space="0"/>
              <w:right w:val="single" w:color="000000" w:sz="4" w:space="0"/>
            </w:tcBorders>
            <w:vAlign w:val="center"/>
          </w:tcPr>
          <w:p w14:paraId="35717EF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B1组织实施</w:t>
            </w:r>
          </w:p>
        </w:tc>
        <w:tc>
          <w:tcPr>
            <w:tcW w:w="4004" w:type="dxa"/>
            <w:tcBorders>
              <w:top w:val="single" w:color="000000" w:sz="4" w:space="0"/>
              <w:left w:val="single" w:color="000000" w:sz="4" w:space="0"/>
              <w:bottom w:val="single" w:color="000000" w:sz="4" w:space="0"/>
              <w:right w:val="single" w:color="000000" w:sz="4" w:space="0"/>
            </w:tcBorders>
            <w:vAlign w:val="center"/>
          </w:tcPr>
          <w:p w14:paraId="3EB9F1A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B11项目库建设及管理规范性</w:t>
            </w:r>
          </w:p>
        </w:tc>
        <w:tc>
          <w:tcPr>
            <w:tcW w:w="851" w:type="dxa"/>
            <w:tcBorders>
              <w:top w:val="single" w:color="000000" w:sz="4" w:space="0"/>
              <w:left w:val="single" w:color="000000" w:sz="4" w:space="0"/>
              <w:bottom w:val="single" w:color="000000" w:sz="4" w:space="0"/>
              <w:right w:val="single" w:color="000000" w:sz="4" w:space="0"/>
            </w:tcBorders>
            <w:vAlign w:val="center"/>
          </w:tcPr>
          <w:p w14:paraId="426B323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14:paraId="0A31FA1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2.88 </w:t>
            </w:r>
          </w:p>
        </w:tc>
        <w:tc>
          <w:tcPr>
            <w:tcW w:w="1148" w:type="dxa"/>
            <w:tcBorders>
              <w:top w:val="single" w:color="000000" w:sz="4" w:space="0"/>
              <w:left w:val="single" w:color="000000" w:sz="4" w:space="0"/>
              <w:bottom w:val="single" w:color="000000" w:sz="4" w:space="0"/>
              <w:right w:val="single" w:color="000000" w:sz="4" w:space="0"/>
            </w:tcBorders>
            <w:vAlign w:val="center"/>
          </w:tcPr>
          <w:p w14:paraId="0B0BF98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96.00%</w:t>
            </w:r>
          </w:p>
        </w:tc>
      </w:tr>
      <w:tr w14:paraId="4EE1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000000" w:sz="4" w:space="0"/>
              <w:left w:val="single" w:color="000000" w:sz="4" w:space="0"/>
              <w:bottom w:val="single" w:color="000000" w:sz="4" w:space="0"/>
              <w:right w:val="single" w:color="000000" w:sz="4" w:space="0"/>
            </w:tcBorders>
            <w:vAlign w:val="center"/>
          </w:tcPr>
          <w:p w14:paraId="5E6E1639">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14:paraId="7BF4A54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B12项目管理制度健全性</w:t>
            </w:r>
          </w:p>
        </w:tc>
        <w:tc>
          <w:tcPr>
            <w:tcW w:w="851" w:type="dxa"/>
            <w:tcBorders>
              <w:top w:val="single" w:color="000000" w:sz="4" w:space="0"/>
              <w:left w:val="single" w:color="000000" w:sz="4" w:space="0"/>
              <w:bottom w:val="single" w:color="000000" w:sz="4" w:space="0"/>
              <w:right w:val="single" w:color="000000" w:sz="4" w:space="0"/>
            </w:tcBorders>
            <w:vAlign w:val="center"/>
          </w:tcPr>
          <w:p w14:paraId="432752E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14:paraId="3A8AA0B2">
            <w:pPr>
              <w:widowControl/>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rPr>
              <w:t>3.00</w:t>
            </w:r>
          </w:p>
        </w:tc>
        <w:tc>
          <w:tcPr>
            <w:tcW w:w="1148" w:type="dxa"/>
            <w:tcBorders>
              <w:top w:val="single" w:color="000000" w:sz="4" w:space="0"/>
              <w:left w:val="single" w:color="000000" w:sz="4" w:space="0"/>
              <w:bottom w:val="single" w:color="000000" w:sz="4" w:space="0"/>
              <w:right w:val="single" w:color="000000" w:sz="4" w:space="0"/>
            </w:tcBorders>
            <w:vAlign w:val="center"/>
          </w:tcPr>
          <w:p w14:paraId="40FB07F7">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100</w:t>
            </w:r>
            <w:r>
              <w:rPr>
                <w:rFonts w:hint="default" w:ascii="Times New Roman" w:hAnsi="Times New Roman" w:eastAsia="宋体" w:cs="Times New Roman"/>
                <w:i w:val="0"/>
                <w:iCs w:val="0"/>
                <w:color w:val="000000"/>
                <w:kern w:val="0"/>
                <w:sz w:val="21"/>
                <w:szCs w:val="21"/>
                <w:u w:val="none"/>
                <w:lang w:val="en-US" w:eastAsia="zh-CN"/>
              </w:rPr>
              <w:t>.00%</w:t>
            </w:r>
          </w:p>
        </w:tc>
      </w:tr>
      <w:tr w14:paraId="3097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000000" w:sz="4" w:space="0"/>
              <w:left w:val="single" w:color="000000" w:sz="4" w:space="0"/>
              <w:bottom w:val="single" w:color="000000" w:sz="4" w:space="0"/>
              <w:right w:val="single" w:color="000000" w:sz="4" w:space="0"/>
            </w:tcBorders>
            <w:vAlign w:val="center"/>
          </w:tcPr>
          <w:p w14:paraId="6F02E831">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14:paraId="1995B723">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B13政府采购规范性</w:t>
            </w:r>
          </w:p>
        </w:tc>
        <w:tc>
          <w:tcPr>
            <w:tcW w:w="851" w:type="dxa"/>
            <w:tcBorders>
              <w:top w:val="single" w:color="000000" w:sz="4" w:space="0"/>
              <w:left w:val="single" w:color="000000" w:sz="4" w:space="0"/>
              <w:bottom w:val="single" w:color="000000" w:sz="4" w:space="0"/>
              <w:right w:val="single" w:color="000000" w:sz="4" w:space="0"/>
            </w:tcBorders>
            <w:vAlign w:val="center"/>
          </w:tcPr>
          <w:p w14:paraId="3143C40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0A6C2DC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148" w:type="dxa"/>
            <w:tcBorders>
              <w:top w:val="single" w:color="000000" w:sz="4" w:space="0"/>
              <w:left w:val="single" w:color="000000" w:sz="4" w:space="0"/>
              <w:bottom w:val="single" w:color="000000" w:sz="4" w:space="0"/>
              <w:right w:val="single" w:color="000000" w:sz="4" w:space="0"/>
            </w:tcBorders>
            <w:vAlign w:val="center"/>
          </w:tcPr>
          <w:p w14:paraId="37DF735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0601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000000" w:sz="4" w:space="0"/>
              <w:left w:val="single" w:color="000000" w:sz="4" w:space="0"/>
              <w:bottom w:val="single" w:color="000000" w:sz="4" w:space="0"/>
              <w:right w:val="single" w:color="000000" w:sz="4" w:space="0"/>
            </w:tcBorders>
            <w:vAlign w:val="center"/>
          </w:tcPr>
          <w:p w14:paraId="4C71B350">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14:paraId="29471F6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B14项目执行有效性</w:t>
            </w:r>
          </w:p>
        </w:tc>
        <w:tc>
          <w:tcPr>
            <w:tcW w:w="851" w:type="dxa"/>
            <w:tcBorders>
              <w:top w:val="single" w:color="000000" w:sz="4" w:space="0"/>
              <w:left w:val="single" w:color="000000" w:sz="4" w:space="0"/>
              <w:bottom w:val="single" w:color="000000" w:sz="4" w:space="0"/>
              <w:right w:val="single" w:color="000000" w:sz="4" w:space="0"/>
            </w:tcBorders>
            <w:vAlign w:val="center"/>
          </w:tcPr>
          <w:p w14:paraId="6CB995A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14:paraId="0061C34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2.40 </w:t>
            </w:r>
          </w:p>
        </w:tc>
        <w:tc>
          <w:tcPr>
            <w:tcW w:w="1148" w:type="dxa"/>
            <w:tcBorders>
              <w:top w:val="single" w:color="000000" w:sz="4" w:space="0"/>
              <w:left w:val="single" w:color="000000" w:sz="4" w:space="0"/>
              <w:bottom w:val="single" w:color="000000" w:sz="4" w:space="0"/>
              <w:right w:val="single" w:color="000000" w:sz="4" w:space="0"/>
            </w:tcBorders>
            <w:vAlign w:val="center"/>
          </w:tcPr>
          <w:p w14:paraId="216859F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80.00%</w:t>
            </w:r>
          </w:p>
        </w:tc>
      </w:tr>
      <w:tr w14:paraId="7F18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000000" w:sz="4" w:space="0"/>
              <w:left w:val="single" w:color="000000" w:sz="4" w:space="0"/>
              <w:bottom w:val="single" w:color="auto" w:sz="4" w:space="0"/>
              <w:right w:val="single" w:color="000000" w:sz="4" w:space="0"/>
            </w:tcBorders>
            <w:vAlign w:val="center"/>
          </w:tcPr>
          <w:p w14:paraId="52E9A185">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000000" w:sz="4" w:space="0"/>
              <w:left w:val="single" w:color="000000" w:sz="4" w:space="0"/>
              <w:bottom w:val="single" w:color="auto" w:sz="4" w:space="0"/>
              <w:right w:val="single" w:color="000000" w:sz="4" w:space="0"/>
            </w:tcBorders>
            <w:vAlign w:val="center"/>
          </w:tcPr>
          <w:p w14:paraId="57B1622E">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B15信息公开和公告公示制度执行有效性</w:t>
            </w:r>
          </w:p>
        </w:tc>
        <w:tc>
          <w:tcPr>
            <w:tcW w:w="851" w:type="dxa"/>
            <w:tcBorders>
              <w:top w:val="single" w:color="000000" w:sz="4" w:space="0"/>
              <w:left w:val="single" w:color="000000" w:sz="4" w:space="0"/>
              <w:bottom w:val="single" w:color="000000" w:sz="4" w:space="0"/>
              <w:right w:val="single" w:color="000000" w:sz="4" w:space="0"/>
            </w:tcBorders>
            <w:vAlign w:val="center"/>
          </w:tcPr>
          <w:p w14:paraId="488D755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57654AE4">
            <w:pPr>
              <w:widowControl/>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rPr>
              <w:t>2.00</w:t>
            </w:r>
          </w:p>
        </w:tc>
        <w:tc>
          <w:tcPr>
            <w:tcW w:w="1148" w:type="dxa"/>
            <w:tcBorders>
              <w:top w:val="single" w:color="000000" w:sz="4" w:space="0"/>
              <w:left w:val="single" w:color="000000" w:sz="4" w:space="0"/>
              <w:bottom w:val="single" w:color="000000" w:sz="4" w:space="0"/>
              <w:right w:val="single" w:color="000000" w:sz="4" w:space="0"/>
            </w:tcBorders>
            <w:vAlign w:val="center"/>
          </w:tcPr>
          <w:p w14:paraId="61FFF716">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100</w:t>
            </w:r>
            <w:r>
              <w:rPr>
                <w:rFonts w:hint="default" w:ascii="Times New Roman" w:hAnsi="Times New Roman" w:eastAsia="宋体" w:cs="Times New Roman"/>
                <w:i w:val="0"/>
                <w:iCs w:val="0"/>
                <w:color w:val="000000"/>
                <w:kern w:val="0"/>
                <w:sz w:val="21"/>
                <w:szCs w:val="21"/>
                <w:u w:val="none"/>
                <w:lang w:val="en-US" w:eastAsia="zh-CN"/>
              </w:rPr>
              <w:t>.00%</w:t>
            </w:r>
          </w:p>
        </w:tc>
      </w:tr>
      <w:tr w14:paraId="3D55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1E3185A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B2资金管理</w:t>
            </w:r>
          </w:p>
        </w:tc>
        <w:tc>
          <w:tcPr>
            <w:tcW w:w="4004" w:type="dxa"/>
            <w:tcBorders>
              <w:top w:val="single" w:color="auto" w:sz="4" w:space="0"/>
              <w:left w:val="single" w:color="auto" w:sz="4" w:space="0"/>
              <w:bottom w:val="single" w:color="auto" w:sz="4" w:space="0"/>
              <w:right w:val="single" w:color="auto" w:sz="4" w:space="0"/>
            </w:tcBorders>
            <w:vAlign w:val="center"/>
          </w:tcPr>
          <w:p w14:paraId="7E4D53BF">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B21资金到位率</w:t>
            </w:r>
          </w:p>
        </w:tc>
        <w:tc>
          <w:tcPr>
            <w:tcW w:w="851" w:type="dxa"/>
            <w:tcBorders>
              <w:top w:val="single" w:color="000000" w:sz="4" w:space="0"/>
              <w:left w:val="single" w:color="auto" w:sz="4" w:space="0"/>
              <w:bottom w:val="single" w:color="000000" w:sz="4" w:space="0"/>
              <w:right w:val="single" w:color="000000" w:sz="4" w:space="0"/>
            </w:tcBorders>
            <w:vAlign w:val="center"/>
          </w:tcPr>
          <w:p w14:paraId="20ADECD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1B61202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1.99 </w:t>
            </w:r>
          </w:p>
        </w:tc>
        <w:tc>
          <w:tcPr>
            <w:tcW w:w="1148" w:type="dxa"/>
            <w:tcBorders>
              <w:top w:val="single" w:color="000000" w:sz="4" w:space="0"/>
              <w:left w:val="single" w:color="000000" w:sz="4" w:space="0"/>
              <w:bottom w:val="single" w:color="000000" w:sz="4" w:space="0"/>
              <w:right w:val="single" w:color="000000" w:sz="4" w:space="0"/>
            </w:tcBorders>
            <w:vAlign w:val="center"/>
          </w:tcPr>
          <w:p w14:paraId="62E5391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99.32%</w:t>
            </w:r>
          </w:p>
        </w:tc>
      </w:tr>
      <w:tr w14:paraId="16DC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6EB6F0A6">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14:paraId="3A9C987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B22资金用于产业比例</w:t>
            </w:r>
          </w:p>
        </w:tc>
        <w:tc>
          <w:tcPr>
            <w:tcW w:w="851" w:type="dxa"/>
            <w:tcBorders>
              <w:top w:val="single" w:color="000000" w:sz="4" w:space="0"/>
              <w:left w:val="single" w:color="auto" w:sz="4" w:space="0"/>
              <w:bottom w:val="single" w:color="000000" w:sz="4" w:space="0"/>
              <w:right w:val="single" w:color="000000" w:sz="4" w:space="0"/>
            </w:tcBorders>
            <w:vAlign w:val="center"/>
          </w:tcPr>
          <w:p w14:paraId="4BF29DF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4C84D60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148" w:type="dxa"/>
            <w:tcBorders>
              <w:top w:val="single" w:color="000000" w:sz="4" w:space="0"/>
              <w:left w:val="single" w:color="000000" w:sz="4" w:space="0"/>
              <w:bottom w:val="single" w:color="000000" w:sz="4" w:space="0"/>
              <w:right w:val="single" w:color="000000" w:sz="4" w:space="0"/>
            </w:tcBorders>
            <w:vAlign w:val="center"/>
          </w:tcPr>
          <w:p w14:paraId="0F75954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3B42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0F7F7362">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14:paraId="68E81136">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B23预算执行率</w:t>
            </w:r>
          </w:p>
        </w:tc>
        <w:tc>
          <w:tcPr>
            <w:tcW w:w="851" w:type="dxa"/>
            <w:tcBorders>
              <w:top w:val="single" w:color="000000" w:sz="4" w:space="0"/>
              <w:left w:val="single" w:color="auto" w:sz="4" w:space="0"/>
              <w:bottom w:val="single" w:color="000000" w:sz="4" w:space="0"/>
              <w:right w:val="single" w:color="000000" w:sz="4" w:space="0"/>
            </w:tcBorders>
            <w:vAlign w:val="center"/>
          </w:tcPr>
          <w:p w14:paraId="4DC63DE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1139" w:type="dxa"/>
            <w:tcBorders>
              <w:top w:val="single" w:color="000000" w:sz="4" w:space="0"/>
              <w:left w:val="single" w:color="000000" w:sz="4" w:space="0"/>
              <w:bottom w:val="single" w:color="000000" w:sz="4" w:space="0"/>
              <w:right w:val="single" w:color="000000" w:sz="4" w:space="0"/>
            </w:tcBorders>
            <w:vAlign w:val="center"/>
          </w:tcPr>
          <w:p w14:paraId="28F333B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3.82 </w:t>
            </w:r>
          </w:p>
        </w:tc>
        <w:tc>
          <w:tcPr>
            <w:tcW w:w="1148" w:type="dxa"/>
            <w:tcBorders>
              <w:top w:val="single" w:color="000000" w:sz="4" w:space="0"/>
              <w:left w:val="single" w:color="000000" w:sz="4" w:space="0"/>
              <w:bottom w:val="single" w:color="000000" w:sz="4" w:space="0"/>
              <w:right w:val="single" w:color="000000" w:sz="4" w:space="0"/>
            </w:tcBorders>
            <w:vAlign w:val="center"/>
          </w:tcPr>
          <w:p w14:paraId="3BCDA5B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95.58%</w:t>
            </w:r>
          </w:p>
        </w:tc>
      </w:tr>
      <w:tr w14:paraId="61F1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0BD4954A">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14:paraId="6419EFBD">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B24财务管理制度健全性</w:t>
            </w:r>
          </w:p>
        </w:tc>
        <w:tc>
          <w:tcPr>
            <w:tcW w:w="851" w:type="dxa"/>
            <w:tcBorders>
              <w:top w:val="single" w:color="000000" w:sz="4" w:space="0"/>
              <w:left w:val="single" w:color="auto" w:sz="4" w:space="0"/>
              <w:bottom w:val="single" w:color="000000" w:sz="4" w:space="0"/>
              <w:right w:val="single" w:color="000000" w:sz="4" w:space="0"/>
            </w:tcBorders>
            <w:vAlign w:val="center"/>
          </w:tcPr>
          <w:p w14:paraId="02AC91E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05E2B882">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2.00 </w:t>
            </w:r>
          </w:p>
        </w:tc>
        <w:tc>
          <w:tcPr>
            <w:tcW w:w="1148" w:type="dxa"/>
            <w:tcBorders>
              <w:top w:val="single" w:color="000000" w:sz="4" w:space="0"/>
              <w:left w:val="single" w:color="000000" w:sz="4" w:space="0"/>
              <w:bottom w:val="single" w:color="000000" w:sz="4" w:space="0"/>
              <w:right w:val="single" w:color="000000" w:sz="4" w:space="0"/>
            </w:tcBorders>
            <w:vAlign w:val="center"/>
          </w:tcPr>
          <w:p w14:paraId="352A12C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3DA60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7354F0F2">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14:paraId="02D655B2">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B25资金使用合规性</w:t>
            </w:r>
          </w:p>
        </w:tc>
        <w:tc>
          <w:tcPr>
            <w:tcW w:w="851" w:type="dxa"/>
            <w:tcBorders>
              <w:top w:val="single" w:color="000000" w:sz="4" w:space="0"/>
              <w:left w:val="single" w:color="auto" w:sz="4" w:space="0"/>
              <w:bottom w:val="single" w:color="000000" w:sz="4" w:space="0"/>
              <w:right w:val="single" w:color="000000" w:sz="4" w:space="0"/>
            </w:tcBorders>
            <w:vAlign w:val="center"/>
          </w:tcPr>
          <w:p w14:paraId="01614C0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14:paraId="1EDC684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3.00 </w:t>
            </w:r>
          </w:p>
        </w:tc>
        <w:tc>
          <w:tcPr>
            <w:tcW w:w="1148" w:type="dxa"/>
            <w:tcBorders>
              <w:top w:val="single" w:color="000000" w:sz="4" w:space="0"/>
              <w:left w:val="single" w:color="000000" w:sz="4" w:space="0"/>
              <w:bottom w:val="single" w:color="000000" w:sz="4" w:space="0"/>
              <w:right w:val="single" w:color="000000" w:sz="4" w:space="0"/>
            </w:tcBorders>
            <w:vAlign w:val="center"/>
          </w:tcPr>
          <w:p w14:paraId="3DC3623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7973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2FA306A6">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14:paraId="57ADDC3B">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B26监督管理有效性</w:t>
            </w:r>
          </w:p>
        </w:tc>
        <w:tc>
          <w:tcPr>
            <w:tcW w:w="851" w:type="dxa"/>
            <w:tcBorders>
              <w:top w:val="single" w:color="000000" w:sz="4" w:space="0"/>
              <w:left w:val="single" w:color="auto" w:sz="4" w:space="0"/>
              <w:bottom w:val="single" w:color="000000" w:sz="4" w:space="0"/>
              <w:right w:val="single" w:color="000000" w:sz="4" w:space="0"/>
            </w:tcBorders>
            <w:vAlign w:val="center"/>
          </w:tcPr>
          <w:p w14:paraId="6CD21F5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14:paraId="5053918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1.50 </w:t>
            </w:r>
          </w:p>
        </w:tc>
        <w:tc>
          <w:tcPr>
            <w:tcW w:w="1148" w:type="dxa"/>
            <w:tcBorders>
              <w:top w:val="single" w:color="000000" w:sz="4" w:space="0"/>
              <w:left w:val="single" w:color="000000" w:sz="4" w:space="0"/>
              <w:bottom w:val="single" w:color="000000" w:sz="4" w:space="0"/>
              <w:right w:val="single" w:color="000000" w:sz="4" w:space="0"/>
            </w:tcBorders>
            <w:vAlign w:val="center"/>
          </w:tcPr>
          <w:p w14:paraId="77ACD8F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75.00%</w:t>
            </w:r>
          </w:p>
        </w:tc>
      </w:tr>
      <w:tr w14:paraId="1332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5387" w:type="dxa"/>
            <w:gridSpan w:val="2"/>
            <w:tcBorders>
              <w:top w:val="single" w:color="auto" w:sz="4" w:space="0"/>
              <w:left w:val="single" w:color="auto" w:sz="4" w:space="0"/>
              <w:bottom w:val="single" w:color="auto" w:sz="4" w:space="0"/>
              <w:right w:val="single" w:color="auto" w:sz="4" w:space="0"/>
            </w:tcBorders>
            <w:vAlign w:val="center"/>
          </w:tcPr>
          <w:p w14:paraId="2254301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851" w:type="dxa"/>
            <w:tcBorders>
              <w:top w:val="single" w:color="000000" w:sz="4" w:space="0"/>
              <w:left w:val="single" w:color="auto" w:sz="4" w:space="0"/>
              <w:bottom w:val="single" w:color="000000" w:sz="4" w:space="0"/>
              <w:right w:val="single" w:color="000000" w:sz="4" w:space="0"/>
            </w:tcBorders>
            <w:vAlign w:val="center"/>
          </w:tcPr>
          <w:p w14:paraId="1660308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28</w:t>
            </w:r>
          </w:p>
        </w:tc>
        <w:tc>
          <w:tcPr>
            <w:tcW w:w="1139" w:type="dxa"/>
            <w:tcBorders>
              <w:top w:val="single" w:color="000000" w:sz="4" w:space="0"/>
              <w:left w:val="single" w:color="000000" w:sz="4" w:space="0"/>
              <w:bottom w:val="single" w:color="000000" w:sz="4" w:space="0"/>
              <w:right w:val="single" w:color="000000" w:sz="4" w:space="0"/>
            </w:tcBorders>
            <w:vAlign w:val="center"/>
          </w:tcPr>
          <w:p w14:paraId="44DC7B67">
            <w:pPr>
              <w:widowControl/>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cs="Times New Roman"/>
                <w:b/>
                <w:bCs/>
                <w:i w:val="0"/>
                <w:iCs w:val="0"/>
                <w:color w:val="000000"/>
                <w:kern w:val="0"/>
                <w:sz w:val="21"/>
                <w:szCs w:val="21"/>
                <w:u w:val="none"/>
                <w:lang w:val="en-US" w:eastAsia="zh-CN"/>
              </w:rPr>
              <w:t>27.19</w:t>
            </w:r>
          </w:p>
        </w:tc>
        <w:tc>
          <w:tcPr>
            <w:tcW w:w="1148" w:type="dxa"/>
            <w:tcBorders>
              <w:top w:val="single" w:color="000000" w:sz="4" w:space="0"/>
              <w:left w:val="single" w:color="000000" w:sz="4" w:space="0"/>
              <w:bottom w:val="single" w:color="000000" w:sz="4" w:space="0"/>
              <w:right w:val="single" w:color="000000" w:sz="4" w:space="0"/>
            </w:tcBorders>
            <w:vAlign w:val="center"/>
          </w:tcPr>
          <w:p w14:paraId="2D62D5B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97.11</w:t>
            </w:r>
            <w:r>
              <w:rPr>
                <w:rFonts w:hint="default" w:ascii="Times New Roman" w:hAnsi="Times New Roman" w:eastAsia="宋体" w:cs="Times New Roman"/>
                <w:b/>
                <w:bCs/>
                <w:i w:val="0"/>
                <w:iCs w:val="0"/>
                <w:color w:val="000000"/>
                <w:kern w:val="0"/>
                <w:sz w:val="21"/>
                <w:szCs w:val="21"/>
                <w:u w:val="none"/>
                <w:lang w:val="en-US" w:eastAsia="zh-CN"/>
              </w:rPr>
              <w:t>%</w:t>
            </w:r>
          </w:p>
        </w:tc>
      </w:tr>
    </w:tbl>
    <w:p w14:paraId="42B55739">
      <w:pPr>
        <w:pStyle w:val="29"/>
        <w:widowControl w:val="0"/>
        <w:wordWrap/>
        <w:adjustRightInd/>
        <w:snapToGrid/>
        <w:spacing w:before="0" w:after="0" w:line="560" w:lineRule="exact"/>
        <w:ind w:firstLine="561"/>
        <w:jc w:val="both"/>
        <w:textAlignment w:val="auto"/>
        <w:rPr>
          <w:rFonts w:hint="eastAsia" w:ascii="Times New Roman" w:hAnsi="Times New Roman" w:eastAsia="仿宋_GB2312" w:cs="Times New Roman"/>
          <w:b w:val="0"/>
          <w:kern w:val="2"/>
          <w:sz w:val="32"/>
          <w:szCs w:val="32"/>
          <w:highlight w:val="yellow"/>
          <w:lang w:val="en-US" w:eastAsia="zh-CN" w:bidi="ar-SA"/>
        </w:rPr>
      </w:pPr>
      <w:r>
        <w:rPr>
          <w:rFonts w:hint="default" w:ascii="Times New Roman" w:hAnsi="Times New Roman" w:eastAsia="仿宋_GB2312" w:cs="Times New Roman"/>
          <w:b/>
          <w:bCs/>
          <w:kern w:val="2"/>
          <w:sz w:val="32"/>
          <w:szCs w:val="32"/>
          <w:lang w:val="en-US" w:eastAsia="zh-CN" w:bidi="ar-SA"/>
        </w:rPr>
        <w:t>B11项目库建设及管理规范性</w:t>
      </w:r>
      <w:r>
        <w:rPr>
          <w:rFonts w:hint="eastAsia"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b w:val="0"/>
          <w:kern w:val="2"/>
          <w:sz w:val="32"/>
          <w:szCs w:val="32"/>
          <w:lang w:val="en-US" w:eastAsia="zh-CN" w:bidi="ar-SA"/>
        </w:rPr>
        <w:t>依据获取的滑县2022年度巩固拓展脱贫攻坚成果和乡村振兴项目库统计表，①滑县建立有项目库；②项目入库程序规范。</w:t>
      </w:r>
      <w:r>
        <w:rPr>
          <w:rFonts w:hint="eastAsia" w:ascii="Times New Roman" w:hAnsi="Times New Roman" w:eastAsia="仿宋_GB2312" w:cs="Times New Roman"/>
          <w:b w:val="0"/>
          <w:kern w:val="2"/>
          <w:sz w:val="32"/>
          <w:szCs w:val="32"/>
          <w:highlight w:val="none"/>
          <w:lang w:val="en-US" w:eastAsia="zh-CN" w:bidi="ar-SA"/>
        </w:rPr>
        <w:t>经过</w:t>
      </w:r>
      <w:r>
        <w:rPr>
          <w:rFonts w:hint="eastAsia" w:cs="Times New Roman"/>
          <w:b w:val="0"/>
          <w:kern w:val="2"/>
          <w:sz w:val="32"/>
          <w:szCs w:val="32"/>
          <w:highlight w:val="none"/>
          <w:lang w:val="en-US" w:eastAsia="zh-CN" w:bidi="ar-SA"/>
        </w:rPr>
        <w:t>村级申报、乡镇审核、县级行业主管部门论证等民主决策程序</w:t>
      </w:r>
      <w:r>
        <w:rPr>
          <w:rFonts w:hint="eastAsia" w:ascii="Times New Roman" w:hAnsi="Times New Roman" w:eastAsia="仿宋_GB2312" w:cs="Times New Roman"/>
          <w:b w:val="0"/>
          <w:kern w:val="2"/>
          <w:sz w:val="32"/>
          <w:szCs w:val="32"/>
          <w:highlight w:val="none"/>
          <w:lang w:val="en-US" w:eastAsia="zh-CN" w:bidi="ar-SA"/>
        </w:rPr>
        <w:t>。</w:t>
      </w:r>
      <w:r>
        <w:rPr>
          <w:rFonts w:hint="eastAsia" w:ascii="Times New Roman" w:hAnsi="Times New Roman" w:eastAsia="仿宋_GB2312" w:cs="Times New Roman"/>
          <w:b w:val="0"/>
          <w:kern w:val="2"/>
          <w:sz w:val="32"/>
          <w:szCs w:val="32"/>
          <w:lang w:val="en-US" w:eastAsia="zh-CN" w:bidi="ar-SA"/>
        </w:rPr>
        <w:t>入库项目经过充分论证、择优遴选、突出支持重点；③入库项目前期条件成熟，具备实施条件；④入库项目内容完整。应包括项目名称、项目类型、建设性质、实施地点、时间进度、责任单位、建设任务、资金规模和筹资方式、受益对象、绩效目标、群众参与和帮扶机制。但部分入库项目利益链接机制描述不完善，</w:t>
      </w:r>
      <w:r>
        <w:rPr>
          <w:rFonts w:hint="eastAsia" w:ascii="Times New Roman" w:hAnsi="Times New Roman" w:eastAsia="仿宋_GB2312" w:cs="Times New Roman"/>
          <w:b w:val="0"/>
          <w:kern w:val="2"/>
          <w:sz w:val="32"/>
          <w:szCs w:val="32"/>
          <w:highlight w:val="none"/>
          <w:lang w:val="en-US" w:eastAsia="zh-CN" w:bidi="ar-SA"/>
        </w:rPr>
        <w:t>例如，2022年滑县“雨露计划”职业教育助学补助、县雨露计划短期技能培训补助2个项目帮扶机制仅提到“带动就业、解决增收问题”，未明确带动的就业人数，以及预计增收情况，无法考核，扣除20%权重分，该项得16%权重分。⑤入库项目范围合理，不存在负面清单项目。该指标得96%权重分。</w:t>
      </w:r>
    </w:p>
    <w:p w14:paraId="5EDF6AD3">
      <w:pPr>
        <w:pStyle w:val="26"/>
        <w:rPr>
          <w:rFonts w:hint="eastAsia"/>
          <w:highlight w:val="none"/>
          <w:lang w:val="en-US" w:eastAsia="zh-CN"/>
        </w:rPr>
      </w:pPr>
      <w:r>
        <w:rPr>
          <w:rFonts w:hint="default" w:ascii="Times New Roman" w:hAnsi="Times New Roman" w:eastAsia="仿宋_GB2312" w:cs="Times New Roman"/>
          <w:b/>
          <w:bCs/>
          <w:kern w:val="2"/>
          <w:sz w:val="32"/>
          <w:szCs w:val="32"/>
          <w:lang w:val="en-US" w:eastAsia="zh-CN" w:bidi="ar-SA"/>
        </w:rPr>
        <w:t>B12项目管理制度健全性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依据滑县乡村振兴局提供的相关材料：①县级层面已制定相应的业务管理制度；②包括《滑县2022年巩固拓展脱贫攻坚成果和乡村振兴项目规划》、《滑县巩固拓展脱贫攻坚成果和乡村振兴项目库建设的实施意见》</w:t>
      </w:r>
      <w:r>
        <w:rPr>
          <w:rFonts w:hint="eastAsia"/>
          <w:highlight w:val="none"/>
          <w:lang w:val="en-US" w:eastAsia="zh-CN"/>
        </w:rPr>
        <w:t>；③④滑县乡村振兴局，县财政局制定有项目资产管理与收益分配管理办法。综上，该指标得满分权重分。</w:t>
      </w:r>
    </w:p>
    <w:p w14:paraId="5E277211">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B13政府采购规范性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根据提供的相关材料，①各项采购活动按照政府采购相关限额标准采用合适采购方式；②合同内容全面，对实施期限、实施内容、双方职责等内容进行了明确规定；③合同签订过程中审批程序、签订形式规范，及时完成合同的签订，严格依据合同条例执行合同管理。综上，该指标得满分权重分。</w:t>
      </w:r>
    </w:p>
    <w:p w14:paraId="03B60F02">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B14项目执行有效性</w:t>
      </w:r>
      <w:r>
        <w:rPr>
          <w:rFonts w:hint="eastAsia" w:ascii="Times New Roman" w:hAnsi="Times New Roman" w:eastAsia="仿宋_GB2312" w:cs="Times New Roman"/>
          <w:b/>
          <w:bCs/>
          <w:kern w:val="2"/>
          <w:sz w:val="32"/>
          <w:szCs w:val="32"/>
          <w:lang w:val="en-US" w:eastAsia="zh-CN" w:bidi="ar-SA"/>
        </w:rPr>
        <w:t>：</w:t>
      </w:r>
      <w:r>
        <w:rPr>
          <w:rFonts w:hint="eastAsia"/>
          <w:highlight w:val="none"/>
          <w:lang w:val="en-US" w:eastAsia="zh-CN"/>
        </w:rPr>
        <w:t>①项目实施能够遵守相关法律法规和项目管理规定；②</w:t>
      </w:r>
      <w:r>
        <w:rPr>
          <w:rFonts w:hint="eastAsia"/>
          <w:lang w:val="en-US" w:eastAsia="zh-CN"/>
        </w:rPr>
        <w:t>项目调整及变更手续齐全；③项目合同书、施工日志、监理报告、验收报告、报账材料等资料齐全并及时归档；④项目实施的人员条件、场地设备、信息支撑等落实到位；⑤产业发展类项目具备二次收益分配方案，能够经民主程序，对分配结果公开公示。综上，该指标得满分权重分。</w:t>
      </w:r>
    </w:p>
    <w:p w14:paraId="1CCC3FDB">
      <w:pPr>
        <w:pStyle w:val="26"/>
        <w:rPr>
          <w:rFonts w:hint="default"/>
          <w:highlight w:val="yellow"/>
          <w:lang w:val="en-US" w:eastAsia="zh-CN"/>
        </w:rPr>
      </w:pPr>
      <w:r>
        <w:rPr>
          <w:rFonts w:hint="default" w:ascii="Times New Roman" w:hAnsi="Times New Roman" w:eastAsia="仿宋_GB2312" w:cs="Times New Roman"/>
          <w:b/>
          <w:bCs/>
          <w:kern w:val="2"/>
          <w:sz w:val="32"/>
          <w:szCs w:val="32"/>
          <w:lang w:val="en-US" w:eastAsia="zh-CN" w:bidi="ar-SA"/>
        </w:rPr>
        <w:t>B15信息公开和公告公示制度执行有效性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通过公开渠道获取信息：①县级层面制定与信息公开和公告公示制度，并能对中央、省、市、县级衔接推进乡村振兴补助资金分配结果、项目库、年度资金项目计划安排情况等进行公示；②乡村信息公开和公告公示制度建设规范：能用固定公告公示专栏（公告公示牌）进行公告公示且无明显新粘贴情况，得满分权重分。</w:t>
      </w:r>
    </w:p>
    <w:p w14:paraId="7A8ECA5E">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B21资金到位率</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①2022年度，县本级预算安排衔接资金5,350万元，高于2021年衔接资金规模5,346.21万元，得50%权重分。②2020年度，滑县共安排统筹整合财政涉农资金20,108.81万元，除项目管理费、市派第一书记工作经费外，用于项目资金19,834.56万元，占比98.64%，得49.32%权重分。综上，该指标得99.32%权重分。</w:t>
      </w:r>
    </w:p>
    <w:p w14:paraId="61B6831D">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B22资金用于产业比例</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2021年滑县共涉及中央财政衔接资金8,578万元，用于产业发展资金规模5981.75万元，占比69.73%；2022年度共安排中央财政衔接资金8,620万元，其中用于产业发展资金规模7,916.47万元，占比91.84%。2021年、2022年度中央财政衔接资金用于产业发展比例分别达到50%、55%，且2022年中央财政衔接资金用于产业发展比例高于2021年。综上，该指标得满分权重分。</w:t>
      </w:r>
    </w:p>
    <w:p w14:paraId="77F52785">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B23预算执行率</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依据项目单位提供的相关材料，抽取的16个项目年初预算安排资金6,961.4万元，全年实际到位资金6,958.76万元，已支付金额6,650.88万元，预算执行率为95.58%。综上，该指标得95.58%权重分。</w:t>
      </w:r>
    </w:p>
    <w:p w14:paraId="0DC230BA">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B24财务管理制度健全性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①省级层面已制定财政衔接推进乡村振兴补助资金管理办法；②项目资金管理办法内容完整，符合相关财务会计制度的规定。综上，该指标得满分权重分。</w:t>
      </w:r>
    </w:p>
    <w:p w14:paraId="7CF266A0">
      <w:pPr>
        <w:pStyle w:val="26"/>
        <w:rPr>
          <w:rFonts w:hint="eastAsia"/>
          <w:lang w:val="en-US" w:eastAsia="zh-CN"/>
        </w:rPr>
      </w:pPr>
      <w:r>
        <w:rPr>
          <w:rFonts w:hint="default" w:ascii="Times New Roman" w:hAnsi="Times New Roman" w:eastAsia="仿宋_GB2312" w:cs="Times New Roman"/>
          <w:b/>
          <w:bCs/>
          <w:kern w:val="2"/>
          <w:sz w:val="32"/>
          <w:szCs w:val="32"/>
          <w:lang w:val="en-US" w:eastAsia="zh-CN" w:bidi="ar-SA"/>
        </w:rPr>
        <w:t>B25资金使用合规性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依据各项目提供的资金支出明细，各项目支出①符合国家财经法规和财务管理制度以及有关专项资金管理办法的规定；②资金的拨付有完整的审批程序和手续；③项目开支符合政府采购管理要求；④符合项目预算批复或合同规定的用途，以及按照项目合同规定的支付方式进行支付；⑤不存在截留、挤占、挪用、虚列支出等情况。综上，该指标得满分权重分。</w:t>
      </w:r>
    </w:p>
    <w:p w14:paraId="1BBC0B72">
      <w:pPr>
        <w:pStyle w:val="26"/>
        <w:rPr>
          <w:rFonts w:hint="default"/>
          <w:highlight w:val="none"/>
          <w:lang w:val="en-US" w:eastAsia="zh-CN"/>
        </w:rPr>
      </w:pPr>
      <w:r>
        <w:rPr>
          <w:rFonts w:hint="default" w:ascii="Times New Roman" w:hAnsi="Times New Roman" w:eastAsia="仿宋_GB2312" w:cs="Times New Roman"/>
          <w:b/>
          <w:bCs/>
          <w:kern w:val="2"/>
          <w:sz w:val="32"/>
          <w:szCs w:val="32"/>
          <w:lang w:val="en-US" w:eastAsia="zh-CN" w:bidi="ar-SA"/>
        </w:rPr>
        <w:t>B26监督管理有效性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①县级定期开展项目实施和资金支出进度等跟踪督促情况。②根据获取的《滑县统筹整合财政涉农资金项目监督举报案件受理情况及办理结果公告》，能够对省、市跟踪督促及各类检查发现问题进行整改落实；③对全国12317防止返贫监测和乡村振兴咨询服务平台反馈问题及时处理、整改到位；</w:t>
      </w:r>
      <w:r>
        <w:rPr>
          <w:rFonts w:hint="eastAsia"/>
          <w:highlight w:val="none"/>
          <w:lang w:val="en-US" w:eastAsia="zh-CN"/>
        </w:rPr>
        <w:t>④未获取到投资收益类项目资金安全保障机制等相关材料，扣除25%权重分。综上，该指标得75%权重分。</w:t>
      </w:r>
    </w:p>
    <w:p w14:paraId="092EA5A4">
      <w:pPr>
        <w:pStyle w:val="5"/>
        <w:rPr>
          <w:rFonts w:hint="default" w:ascii="Times New Roman" w:hAnsi="Times New Roman" w:cs="Times New Roman"/>
          <w:lang w:val="en-US" w:eastAsia="zh-CN"/>
        </w:rPr>
      </w:pPr>
      <w:bookmarkStart w:id="111" w:name="_Toc23266441"/>
      <w:bookmarkStart w:id="112" w:name="_Toc5970"/>
      <w:bookmarkStart w:id="113" w:name="_Toc16619"/>
      <w:bookmarkStart w:id="114" w:name="_Toc23264926"/>
      <w:bookmarkStart w:id="115" w:name="_Toc23267052"/>
      <w:r>
        <w:rPr>
          <w:rFonts w:hint="default" w:ascii="Times New Roman" w:hAnsi="Times New Roman" w:cs="Times New Roman"/>
          <w:lang w:val="en-US" w:eastAsia="zh-CN"/>
        </w:rPr>
        <w:t>3.项目产出</w:t>
      </w:r>
      <w:bookmarkEnd w:id="111"/>
      <w:bookmarkEnd w:id="112"/>
      <w:bookmarkEnd w:id="113"/>
      <w:bookmarkEnd w:id="114"/>
      <w:bookmarkEnd w:id="115"/>
    </w:p>
    <w:p w14:paraId="66336D12">
      <w:pPr>
        <w:pStyle w:val="26"/>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val="en-US" w:eastAsia="zh-CN"/>
        </w:rPr>
        <w:t>产出类</w:t>
      </w:r>
      <w:r>
        <w:rPr>
          <w:rFonts w:hint="default" w:ascii="Times New Roman" w:hAnsi="Times New Roman" w:cs="Times New Roman"/>
        </w:rPr>
        <w:t>指标包含</w:t>
      </w:r>
      <w:r>
        <w:rPr>
          <w:rFonts w:hint="eastAsia" w:ascii="Times New Roman" w:hAnsi="Times New Roman" w:cs="Times New Roman"/>
          <w:lang w:val="en-US" w:eastAsia="zh-CN"/>
        </w:rPr>
        <w:t>4</w:t>
      </w:r>
      <w:r>
        <w:rPr>
          <w:rFonts w:hint="default" w:ascii="Times New Roman" w:hAnsi="Times New Roman" w:cs="Times New Roman"/>
        </w:rPr>
        <w:t>个二级指标</w:t>
      </w:r>
      <w:r>
        <w:rPr>
          <w:rFonts w:hint="eastAsia" w:ascii="Times New Roman" w:hAnsi="Times New Roman" w:cs="Times New Roman"/>
          <w:lang w:eastAsia="zh-CN"/>
        </w:rPr>
        <w:t>，</w:t>
      </w:r>
      <w:r>
        <w:rPr>
          <w:rFonts w:hint="eastAsia" w:ascii="Times New Roman" w:hAnsi="Times New Roman" w:cs="Times New Roman"/>
          <w:lang w:val="en-US" w:eastAsia="zh-CN"/>
        </w:rPr>
        <w:t>6</w:t>
      </w:r>
      <w:r>
        <w:rPr>
          <w:rFonts w:hint="default" w:ascii="Times New Roman" w:hAnsi="Times New Roman" w:cs="Times New Roman"/>
        </w:rPr>
        <w:t>个三级指标，权重为</w:t>
      </w:r>
      <w:r>
        <w:rPr>
          <w:rFonts w:hint="eastAsia" w:ascii="Times New Roman" w:hAnsi="Times New Roman" w:cs="Times New Roman"/>
          <w:lang w:val="en-US" w:eastAsia="zh-CN"/>
        </w:rPr>
        <w:t>30</w:t>
      </w:r>
      <w:r>
        <w:rPr>
          <w:rFonts w:hint="default" w:ascii="Times New Roman" w:hAnsi="Times New Roman" w:cs="Times New Roman"/>
        </w:rPr>
        <w:t>分，该项得分</w:t>
      </w:r>
      <w:r>
        <w:rPr>
          <w:rFonts w:hint="eastAsia" w:cs="Times New Roman"/>
          <w:lang w:val="en-US" w:eastAsia="zh-CN"/>
        </w:rPr>
        <w:t>26.50</w:t>
      </w:r>
      <w:r>
        <w:rPr>
          <w:rFonts w:hint="default" w:ascii="Times New Roman" w:hAnsi="Times New Roman" w:cs="Times New Roman"/>
        </w:rPr>
        <w:t>分，得分率</w:t>
      </w:r>
      <w:r>
        <w:rPr>
          <w:rFonts w:hint="eastAsia" w:cs="Times New Roman"/>
          <w:lang w:val="en-US" w:eastAsia="zh-CN"/>
        </w:rPr>
        <w:t>88.33</w:t>
      </w:r>
      <w:r>
        <w:rPr>
          <w:rFonts w:hint="default" w:ascii="Times New Roman" w:hAnsi="Times New Roman" w:cs="Times New Roman"/>
        </w:rPr>
        <w:t>%。项各指标得分情况如表3-</w:t>
      </w:r>
      <w:r>
        <w:rPr>
          <w:rFonts w:hint="default" w:ascii="Times New Roman" w:hAnsi="Times New Roman" w:cs="Times New Roman"/>
          <w:lang w:val="en-US" w:eastAsia="zh-CN"/>
        </w:rPr>
        <w:t>4</w:t>
      </w:r>
      <w:r>
        <w:rPr>
          <w:rFonts w:hint="default" w:ascii="Times New Roman" w:hAnsi="Times New Roman" w:cs="Times New Roman"/>
        </w:rPr>
        <w:t>：</w:t>
      </w:r>
    </w:p>
    <w:p w14:paraId="74EE661B">
      <w:pPr>
        <w:pStyle w:val="29"/>
        <w:widowControl w:val="0"/>
        <w:wordWrap/>
        <w:adjustRightInd/>
        <w:snapToGrid/>
        <w:spacing w:before="0" w:after="0" w:line="560" w:lineRule="exact"/>
        <w:ind w:firstLine="561"/>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表3-4 产出类指标得分情况表</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3278"/>
        <w:gridCol w:w="1310"/>
        <w:gridCol w:w="1059"/>
        <w:gridCol w:w="1178"/>
      </w:tblGrid>
      <w:tr w14:paraId="5D48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F7D7D2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327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112D629">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131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15C89D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105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26E935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17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1F5EF7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14:paraId="2873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14:paraId="79EEDC9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C1产出数量</w:t>
            </w:r>
          </w:p>
        </w:tc>
        <w:tc>
          <w:tcPr>
            <w:tcW w:w="3278" w:type="dxa"/>
            <w:tcBorders>
              <w:top w:val="single" w:color="000000" w:sz="4" w:space="0"/>
              <w:left w:val="single" w:color="000000" w:sz="4" w:space="0"/>
              <w:bottom w:val="single" w:color="000000" w:sz="4" w:space="0"/>
              <w:right w:val="single" w:color="000000" w:sz="4" w:space="0"/>
            </w:tcBorders>
            <w:vAlign w:val="center"/>
          </w:tcPr>
          <w:p w14:paraId="631A2C6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C11项目建设实施完成率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40AE1495">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6</w:t>
            </w:r>
          </w:p>
        </w:tc>
        <w:tc>
          <w:tcPr>
            <w:tcW w:w="1059" w:type="dxa"/>
            <w:tcBorders>
              <w:top w:val="single" w:color="000000" w:sz="4" w:space="0"/>
              <w:left w:val="single" w:color="000000" w:sz="4" w:space="0"/>
              <w:bottom w:val="single" w:color="000000" w:sz="4" w:space="0"/>
              <w:right w:val="single" w:color="000000" w:sz="4" w:space="0"/>
            </w:tcBorders>
            <w:vAlign w:val="center"/>
          </w:tcPr>
          <w:p w14:paraId="55A9B082">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6.00</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78" w:type="dxa"/>
            <w:tcBorders>
              <w:top w:val="single" w:color="000000" w:sz="4" w:space="0"/>
              <w:left w:val="single" w:color="000000" w:sz="4" w:space="0"/>
              <w:bottom w:val="single" w:color="000000" w:sz="4" w:space="0"/>
              <w:right w:val="single" w:color="000000" w:sz="4" w:space="0"/>
            </w:tcBorders>
            <w:vAlign w:val="center"/>
          </w:tcPr>
          <w:p w14:paraId="4C6F19AE">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100.00</w:t>
            </w:r>
            <w:r>
              <w:rPr>
                <w:rFonts w:hint="default" w:ascii="Times New Roman" w:hAnsi="Times New Roman" w:eastAsia="宋体" w:cs="Times New Roman"/>
                <w:i w:val="0"/>
                <w:iCs w:val="0"/>
                <w:color w:val="000000"/>
                <w:kern w:val="0"/>
                <w:sz w:val="21"/>
                <w:szCs w:val="21"/>
                <w:u w:val="none"/>
                <w:lang w:val="en-US" w:eastAsia="zh-CN"/>
              </w:rPr>
              <w:t>%</w:t>
            </w:r>
          </w:p>
        </w:tc>
      </w:tr>
      <w:tr w14:paraId="2209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01B8BAE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C2产出质量</w:t>
            </w:r>
          </w:p>
        </w:tc>
        <w:tc>
          <w:tcPr>
            <w:tcW w:w="3278" w:type="dxa"/>
            <w:tcBorders>
              <w:top w:val="single" w:color="000000" w:sz="4" w:space="0"/>
              <w:left w:val="single" w:color="000000" w:sz="4" w:space="0"/>
              <w:bottom w:val="single" w:color="000000" w:sz="4" w:space="0"/>
              <w:right w:val="single" w:color="000000" w:sz="4" w:space="0"/>
            </w:tcBorders>
            <w:vAlign w:val="center"/>
          </w:tcPr>
          <w:p w14:paraId="57D60FD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C21项目验收合格率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52BF5FD2">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7</w:t>
            </w:r>
          </w:p>
        </w:tc>
        <w:tc>
          <w:tcPr>
            <w:tcW w:w="1059" w:type="dxa"/>
            <w:tcBorders>
              <w:top w:val="single" w:color="000000" w:sz="4" w:space="0"/>
              <w:left w:val="single" w:color="000000" w:sz="4" w:space="0"/>
              <w:bottom w:val="single" w:color="000000" w:sz="4" w:space="0"/>
              <w:right w:val="single" w:color="000000" w:sz="4" w:space="0"/>
            </w:tcBorders>
            <w:vAlign w:val="center"/>
          </w:tcPr>
          <w:p w14:paraId="05EC0EFC">
            <w:pPr>
              <w:widowControl/>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3.50</w:t>
            </w:r>
          </w:p>
        </w:tc>
        <w:tc>
          <w:tcPr>
            <w:tcW w:w="1178" w:type="dxa"/>
            <w:tcBorders>
              <w:top w:val="single" w:color="000000" w:sz="4" w:space="0"/>
              <w:left w:val="single" w:color="000000" w:sz="4" w:space="0"/>
              <w:bottom w:val="single" w:color="000000" w:sz="4" w:space="0"/>
              <w:right w:val="single" w:color="000000" w:sz="4" w:space="0"/>
            </w:tcBorders>
            <w:vAlign w:val="center"/>
          </w:tcPr>
          <w:p w14:paraId="41014DC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50.00%</w:t>
            </w:r>
          </w:p>
        </w:tc>
      </w:tr>
      <w:tr w14:paraId="6B86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870B95B">
            <w:pPr>
              <w:jc w:val="center"/>
              <w:rPr>
                <w:rFonts w:hint="default" w:ascii="Times New Roman" w:hAnsi="Times New Roman" w:eastAsia="宋体" w:cs="Times New Roman"/>
                <w:i w:val="0"/>
                <w:iCs w:val="0"/>
                <w:color w:val="000000"/>
                <w:sz w:val="21"/>
                <w:szCs w:val="21"/>
                <w:u w:val="none"/>
              </w:rPr>
            </w:pPr>
          </w:p>
        </w:tc>
        <w:tc>
          <w:tcPr>
            <w:tcW w:w="3278" w:type="dxa"/>
            <w:tcBorders>
              <w:top w:val="single" w:color="000000" w:sz="4" w:space="0"/>
              <w:left w:val="single" w:color="000000" w:sz="4" w:space="0"/>
              <w:bottom w:val="single" w:color="000000" w:sz="4" w:space="0"/>
              <w:right w:val="single" w:color="000000" w:sz="4" w:space="0"/>
            </w:tcBorders>
            <w:vAlign w:val="center"/>
          </w:tcPr>
          <w:p w14:paraId="0ED5AFE1">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C22工程质量达标率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07E5981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059" w:type="dxa"/>
            <w:tcBorders>
              <w:top w:val="single" w:color="000000" w:sz="4" w:space="0"/>
              <w:left w:val="single" w:color="000000" w:sz="4" w:space="0"/>
              <w:bottom w:val="single" w:color="000000" w:sz="4" w:space="0"/>
              <w:right w:val="single" w:color="000000" w:sz="4" w:space="0"/>
            </w:tcBorders>
            <w:vAlign w:val="center"/>
          </w:tcPr>
          <w:p w14:paraId="3BBD45A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3.00 </w:t>
            </w:r>
          </w:p>
        </w:tc>
        <w:tc>
          <w:tcPr>
            <w:tcW w:w="1178" w:type="dxa"/>
            <w:tcBorders>
              <w:top w:val="single" w:color="000000" w:sz="4" w:space="0"/>
              <w:left w:val="single" w:color="000000" w:sz="4" w:space="0"/>
              <w:bottom w:val="single" w:color="000000" w:sz="4" w:space="0"/>
              <w:right w:val="single" w:color="000000" w:sz="4" w:space="0"/>
            </w:tcBorders>
            <w:vAlign w:val="center"/>
          </w:tcPr>
          <w:p w14:paraId="0846B03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646C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056AF48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C3产出时效</w:t>
            </w:r>
          </w:p>
        </w:tc>
        <w:tc>
          <w:tcPr>
            <w:tcW w:w="3278" w:type="dxa"/>
            <w:tcBorders>
              <w:top w:val="single" w:color="000000" w:sz="4" w:space="0"/>
              <w:left w:val="single" w:color="000000" w:sz="4" w:space="0"/>
              <w:bottom w:val="single" w:color="000000" w:sz="4" w:space="0"/>
              <w:right w:val="single" w:color="000000" w:sz="4" w:space="0"/>
            </w:tcBorders>
            <w:vAlign w:val="center"/>
          </w:tcPr>
          <w:p w14:paraId="21D6C6F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C31项目开工及时率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607264D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1059" w:type="dxa"/>
            <w:tcBorders>
              <w:top w:val="single" w:color="000000" w:sz="4" w:space="0"/>
              <w:left w:val="single" w:color="000000" w:sz="4" w:space="0"/>
              <w:bottom w:val="single" w:color="000000" w:sz="4" w:space="0"/>
              <w:right w:val="single" w:color="000000" w:sz="4" w:space="0"/>
            </w:tcBorders>
            <w:vAlign w:val="center"/>
          </w:tcPr>
          <w:p w14:paraId="3D5C9ED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 </w:t>
            </w:r>
          </w:p>
        </w:tc>
        <w:tc>
          <w:tcPr>
            <w:tcW w:w="1178" w:type="dxa"/>
            <w:tcBorders>
              <w:top w:val="single" w:color="000000" w:sz="4" w:space="0"/>
              <w:left w:val="single" w:color="000000" w:sz="4" w:space="0"/>
              <w:bottom w:val="single" w:color="000000" w:sz="4" w:space="0"/>
              <w:right w:val="single" w:color="000000" w:sz="4" w:space="0"/>
            </w:tcBorders>
            <w:vAlign w:val="center"/>
          </w:tcPr>
          <w:p w14:paraId="2856653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13E6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C96F123">
            <w:pPr>
              <w:jc w:val="center"/>
              <w:rPr>
                <w:rFonts w:hint="default" w:ascii="Times New Roman" w:hAnsi="Times New Roman" w:eastAsia="宋体" w:cs="Times New Roman"/>
                <w:i w:val="0"/>
                <w:iCs w:val="0"/>
                <w:color w:val="000000"/>
                <w:sz w:val="21"/>
                <w:szCs w:val="21"/>
                <w:u w:val="none"/>
              </w:rPr>
            </w:pPr>
          </w:p>
        </w:tc>
        <w:tc>
          <w:tcPr>
            <w:tcW w:w="3278" w:type="dxa"/>
            <w:tcBorders>
              <w:top w:val="single" w:color="000000" w:sz="4" w:space="0"/>
              <w:left w:val="single" w:color="000000" w:sz="4" w:space="0"/>
              <w:bottom w:val="single" w:color="000000" w:sz="4" w:space="0"/>
              <w:right w:val="single" w:color="000000" w:sz="4" w:space="0"/>
            </w:tcBorders>
            <w:vAlign w:val="center"/>
          </w:tcPr>
          <w:p w14:paraId="3438766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C32项目完成及时率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4043D2AD">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1059" w:type="dxa"/>
            <w:tcBorders>
              <w:top w:val="single" w:color="000000" w:sz="4" w:space="0"/>
              <w:left w:val="single" w:color="000000" w:sz="4" w:space="0"/>
              <w:bottom w:val="single" w:color="000000" w:sz="4" w:space="0"/>
              <w:right w:val="single" w:color="000000" w:sz="4" w:space="0"/>
            </w:tcBorders>
            <w:vAlign w:val="center"/>
          </w:tcPr>
          <w:p w14:paraId="53D61688">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 </w:t>
            </w:r>
          </w:p>
        </w:tc>
        <w:tc>
          <w:tcPr>
            <w:tcW w:w="1178" w:type="dxa"/>
            <w:tcBorders>
              <w:top w:val="single" w:color="000000" w:sz="4" w:space="0"/>
              <w:left w:val="single" w:color="000000" w:sz="4" w:space="0"/>
              <w:bottom w:val="single" w:color="000000" w:sz="4" w:space="0"/>
              <w:right w:val="single" w:color="000000" w:sz="4" w:space="0"/>
            </w:tcBorders>
            <w:vAlign w:val="center"/>
          </w:tcPr>
          <w:p w14:paraId="5005A09A">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3B88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14:paraId="2873757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C4产出成本</w:t>
            </w:r>
          </w:p>
        </w:tc>
        <w:tc>
          <w:tcPr>
            <w:tcW w:w="3278" w:type="dxa"/>
            <w:tcBorders>
              <w:top w:val="single" w:color="000000" w:sz="4" w:space="0"/>
              <w:left w:val="single" w:color="000000" w:sz="4" w:space="0"/>
              <w:bottom w:val="single" w:color="000000" w:sz="4" w:space="0"/>
              <w:right w:val="single" w:color="000000" w:sz="4" w:space="0"/>
            </w:tcBorders>
            <w:vAlign w:val="center"/>
          </w:tcPr>
          <w:p w14:paraId="754744B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C41项目成本节约率</w:t>
            </w:r>
          </w:p>
        </w:tc>
        <w:tc>
          <w:tcPr>
            <w:tcW w:w="1310" w:type="dxa"/>
            <w:tcBorders>
              <w:top w:val="single" w:color="000000" w:sz="4" w:space="0"/>
              <w:left w:val="single" w:color="000000" w:sz="4" w:space="0"/>
              <w:bottom w:val="single" w:color="000000" w:sz="4" w:space="0"/>
              <w:right w:val="single" w:color="000000" w:sz="4" w:space="0"/>
            </w:tcBorders>
            <w:vAlign w:val="center"/>
          </w:tcPr>
          <w:p w14:paraId="0F7B2A1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6</w:t>
            </w:r>
          </w:p>
        </w:tc>
        <w:tc>
          <w:tcPr>
            <w:tcW w:w="1059" w:type="dxa"/>
            <w:tcBorders>
              <w:top w:val="single" w:color="000000" w:sz="4" w:space="0"/>
              <w:left w:val="single" w:color="000000" w:sz="4" w:space="0"/>
              <w:bottom w:val="single" w:color="000000" w:sz="4" w:space="0"/>
              <w:right w:val="single" w:color="000000" w:sz="4" w:space="0"/>
            </w:tcBorders>
            <w:vAlign w:val="center"/>
          </w:tcPr>
          <w:p w14:paraId="051FE26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6.00 </w:t>
            </w:r>
          </w:p>
        </w:tc>
        <w:tc>
          <w:tcPr>
            <w:tcW w:w="1178" w:type="dxa"/>
            <w:tcBorders>
              <w:top w:val="single" w:color="000000" w:sz="4" w:space="0"/>
              <w:left w:val="single" w:color="000000" w:sz="4" w:space="0"/>
              <w:bottom w:val="single" w:color="000000" w:sz="4" w:space="0"/>
              <w:right w:val="single" w:color="000000" w:sz="4" w:space="0"/>
            </w:tcBorders>
            <w:vAlign w:val="center"/>
          </w:tcPr>
          <w:p w14:paraId="72CA278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28A0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4978" w:type="dxa"/>
            <w:gridSpan w:val="2"/>
            <w:tcBorders>
              <w:top w:val="single" w:color="000000" w:sz="4" w:space="0"/>
              <w:left w:val="single" w:color="000000" w:sz="4" w:space="0"/>
              <w:bottom w:val="single" w:color="000000" w:sz="4" w:space="0"/>
              <w:right w:val="single" w:color="000000" w:sz="4" w:space="0"/>
            </w:tcBorders>
            <w:vAlign w:val="center"/>
          </w:tcPr>
          <w:p w14:paraId="0A1554F5">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1310" w:type="dxa"/>
            <w:tcBorders>
              <w:top w:val="single" w:color="000000" w:sz="4" w:space="0"/>
              <w:left w:val="single" w:color="000000" w:sz="4" w:space="0"/>
              <w:bottom w:val="single" w:color="000000" w:sz="4" w:space="0"/>
              <w:right w:val="single" w:color="000000" w:sz="4" w:space="0"/>
            </w:tcBorders>
            <w:vAlign w:val="center"/>
          </w:tcPr>
          <w:p w14:paraId="71C2648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30</w:t>
            </w:r>
          </w:p>
        </w:tc>
        <w:tc>
          <w:tcPr>
            <w:tcW w:w="1059" w:type="dxa"/>
            <w:tcBorders>
              <w:top w:val="single" w:color="000000" w:sz="4" w:space="0"/>
              <w:left w:val="single" w:color="000000" w:sz="4" w:space="0"/>
              <w:bottom w:val="single" w:color="000000" w:sz="4" w:space="0"/>
              <w:right w:val="single" w:color="000000" w:sz="4" w:space="0"/>
            </w:tcBorders>
            <w:vAlign w:val="center"/>
          </w:tcPr>
          <w:p w14:paraId="14250293">
            <w:pPr>
              <w:widowControl/>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cs="Times New Roman"/>
                <w:b/>
                <w:bCs/>
                <w:i w:val="0"/>
                <w:iCs w:val="0"/>
                <w:color w:val="000000"/>
                <w:kern w:val="0"/>
                <w:sz w:val="21"/>
                <w:szCs w:val="21"/>
                <w:u w:val="none"/>
                <w:lang w:val="en-US" w:eastAsia="zh-CN"/>
              </w:rPr>
              <w:t>26.50</w:t>
            </w:r>
          </w:p>
        </w:tc>
        <w:tc>
          <w:tcPr>
            <w:tcW w:w="1178" w:type="dxa"/>
            <w:tcBorders>
              <w:top w:val="single" w:color="000000" w:sz="4" w:space="0"/>
              <w:left w:val="single" w:color="000000" w:sz="4" w:space="0"/>
              <w:bottom w:val="single" w:color="000000" w:sz="4" w:space="0"/>
              <w:right w:val="single" w:color="000000" w:sz="4" w:space="0"/>
            </w:tcBorders>
            <w:vAlign w:val="center"/>
          </w:tcPr>
          <w:p w14:paraId="5457CE7C">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88.33</w:t>
            </w:r>
            <w:r>
              <w:rPr>
                <w:rFonts w:hint="default" w:ascii="Times New Roman" w:hAnsi="Times New Roman" w:eastAsia="宋体" w:cs="Times New Roman"/>
                <w:b/>
                <w:bCs/>
                <w:i w:val="0"/>
                <w:iCs w:val="0"/>
                <w:color w:val="000000"/>
                <w:kern w:val="0"/>
                <w:sz w:val="21"/>
                <w:szCs w:val="21"/>
                <w:u w:val="none"/>
                <w:lang w:val="en-US" w:eastAsia="zh-CN"/>
              </w:rPr>
              <w:t>%</w:t>
            </w:r>
          </w:p>
        </w:tc>
      </w:tr>
    </w:tbl>
    <w:p w14:paraId="38AAB6B0">
      <w:pPr>
        <w:pStyle w:val="26"/>
        <w:rPr>
          <w:rFonts w:hint="eastAsia"/>
          <w:highlight w:val="none"/>
          <w:lang w:val="en-US" w:eastAsia="zh-CN"/>
        </w:rPr>
      </w:pPr>
      <w:r>
        <w:rPr>
          <w:rFonts w:hint="default"/>
          <w:b/>
          <w:bCs/>
          <w:lang w:val="en-US" w:eastAsia="zh-CN"/>
        </w:rPr>
        <w:t>C11项目建设实施完成率</w:t>
      </w:r>
      <w:r>
        <w:rPr>
          <w:rFonts w:hint="eastAsia"/>
          <w:b/>
          <w:bCs/>
          <w:lang w:val="en-US" w:eastAsia="zh-CN"/>
        </w:rPr>
        <w:t>：</w:t>
      </w:r>
      <w:r>
        <w:rPr>
          <w:rFonts w:hint="eastAsia"/>
          <w:lang w:val="en-US" w:eastAsia="zh-CN"/>
        </w:rPr>
        <w:t>2022年，滑县统筹整合财政涉农资金实施范围涉及全县各类项目387个，包括农村基础设施类项目（背街小巷硬化奖补、道路硬化、危房改造、以工代赈、高标准农田机井及配套）350个、产业发展类项目（设施农业产业扶持、村集体经济发展扶持）32个、其他类项目（雨露计划、就业创业技能培训、小额</w:t>
      </w:r>
      <w:r>
        <w:rPr>
          <w:rFonts w:hint="eastAsia"/>
          <w:highlight w:val="none"/>
          <w:lang w:val="en-US" w:eastAsia="zh-CN"/>
        </w:rPr>
        <w:t>贷款贴息、项目管理费、市派第一书记工作经费）5个。除项目管理费、市派第一书记工作经费以外，截至评价期结束，385个项目已全部完成建设任务，总体完工率为100%。得满分权重分。</w:t>
      </w:r>
    </w:p>
    <w:p w14:paraId="5059AF61">
      <w:pPr>
        <w:pStyle w:val="26"/>
        <w:rPr>
          <w:rFonts w:hint="eastAsia"/>
          <w:lang w:val="en-US" w:eastAsia="zh-CN"/>
        </w:rPr>
      </w:pPr>
      <w:r>
        <w:rPr>
          <w:rFonts w:hint="default" w:ascii="Times New Roman" w:hAnsi="Times New Roman"/>
          <w:b/>
          <w:bCs/>
          <w:lang w:val="en-US" w:eastAsia="zh-CN"/>
        </w:rPr>
        <w:t>C21项目验收合格率</w:t>
      </w:r>
      <w:r>
        <w:rPr>
          <w:rFonts w:hint="eastAsia" w:ascii="Times New Roman" w:hAnsi="Times New Roman"/>
          <w:b/>
          <w:bCs/>
          <w:lang w:val="en-US" w:eastAsia="zh-CN"/>
        </w:rPr>
        <w:t>：</w:t>
      </w:r>
      <w:r>
        <w:rPr>
          <w:rFonts w:hint="eastAsia"/>
          <w:lang w:val="en-US" w:eastAsia="zh-CN"/>
        </w:rPr>
        <w:t>根据评价组了解情况，部分已完工项目尚未完成验收，得50%权重分。</w:t>
      </w:r>
    </w:p>
    <w:p w14:paraId="6379E872">
      <w:pPr>
        <w:pStyle w:val="26"/>
        <w:rPr>
          <w:rFonts w:hint="eastAsia"/>
          <w:lang w:val="en-US" w:eastAsia="zh-CN"/>
        </w:rPr>
      </w:pPr>
      <w:r>
        <w:rPr>
          <w:rFonts w:hint="default" w:ascii="Times New Roman" w:hAnsi="Times New Roman"/>
          <w:b/>
          <w:bCs/>
          <w:lang w:val="en-US" w:eastAsia="zh-CN"/>
        </w:rPr>
        <w:t>C22工程质量达标率</w:t>
      </w:r>
      <w:r>
        <w:rPr>
          <w:rFonts w:hint="eastAsia" w:ascii="Times New Roman" w:hAnsi="Times New Roman"/>
          <w:b/>
          <w:bCs/>
          <w:lang w:val="en-US" w:eastAsia="zh-CN"/>
        </w:rPr>
        <w:t>：</w:t>
      </w:r>
      <w:r>
        <w:rPr>
          <w:rFonts w:hint="eastAsia"/>
          <w:lang w:val="en-US" w:eastAsia="zh-CN"/>
        </w:rPr>
        <w:t>根据项目单位提供的验收材料，已完工项目工程质量总体达标，得满分权重分。</w:t>
      </w:r>
    </w:p>
    <w:p w14:paraId="68149D0B">
      <w:pPr>
        <w:pStyle w:val="26"/>
        <w:rPr>
          <w:rFonts w:hint="eastAsia"/>
          <w:lang w:val="en-US" w:eastAsia="zh-CN"/>
        </w:rPr>
      </w:pPr>
      <w:r>
        <w:rPr>
          <w:rFonts w:hint="default" w:ascii="Times New Roman" w:hAnsi="Times New Roman"/>
          <w:b/>
          <w:bCs/>
          <w:lang w:val="en-US" w:eastAsia="zh-CN"/>
        </w:rPr>
        <w:t>C31项目开工及时率</w:t>
      </w:r>
      <w:r>
        <w:rPr>
          <w:rFonts w:hint="eastAsia" w:ascii="Times New Roman" w:hAnsi="Times New Roman"/>
          <w:b/>
          <w:bCs/>
          <w:lang w:val="en-US" w:eastAsia="zh-CN"/>
        </w:rPr>
        <w:t>：</w:t>
      </w:r>
      <w:r>
        <w:rPr>
          <w:rFonts w:hint="eastAsia"/>
          <w:lang w:val="en-US" w:eastAsia="zh-CN"/>
        </w:rPr>
        <w:t>本次评价抽取的16个项目均能够按照约定开工时间开工建设，得满分。</w:t>
      </w:r>
    </w:p>
    <w:p w14:paraId="62DE18DD">
      <w:pPr>
        <w:pStyle w:val="26"/>
        <w:rPr>
          <w:rFonts w:hint="eastAsia"/>
          <w:lang w:val="en-US" w:eastAsia="zh-CN"/>
        </w:rPr>
      </w:pPr>
      <w:r>
        <w:rPr>
          <w:rFonts w:hint="default" w:ascii="Times New Roman" w:hAnsi="Times New Roman"/>
          <w:b/>
          <w:bCs/>
          <w:lang w:val="en-US" w:eastAsia="zh-CN"/>
        </w:rPr>
        <w:t>C32项目完成及时率</w:t>
      </w:r>
      <w:r>
        <w:rPr>
          <w:rFonts w:hint="eastAsia" w:ascii="Times New Roman" w:hAnsi="Times New Roman"/>
          <w:b/>
          <w:bCs/>
          <w:lang w:val="en-US" w:eastAsia="zh-CN"/>
        </w:rPr>
        <w:t>：</w:t>
      </w:r>
      <w:r>
        <w:rPr>
          <w:rFonts w:hint="eastAsia"/>
          <w:lang w:val="en-US" w:eastAsia="zh-CN"/>
        </w:rPr>
        <w:t>本次评价抽取的16个项目均能够按照约定完工时间完成项目建设，得满分。</w:t>
      </w:r>
    </w:p>
    <w:p w14:paraId="4D626F03">
      <w:pPr>
        <w:pStyle w:val="26"/>
        <w:rPr>
          <w:rFonts w:hint="default"/>
          <w:lang w:val="en-US" w:eastAsia="zh-CN"/>
        </w:rPr>
      </w:pPr>
      <w:r>
        <w:rPr>
          <w:rFonts w:hint="default" w:ascii="Times New Roman" w:hAnsi="Times New Roman"/>
          <w:b/>
          <w:bCs/>
          <w:lang w:val="en-US" w:eastAsia="zh-CN"/>
        </w:rPr>
        <w:t>C41项目成本节约率</w:t>
      </w:r>
      <w:r>
        <w:rPr>
          <w:rFonts w:hint="eastAsia" w:ascii="Times New Roman" w:hAnsi="Times New Roman"/>
          <w:b/>
          <w:bCs/>
          <w:lang w:val="en-US" w:eastAsia="zh-CN"/>
        </w:rPr>
        <w:t>：</w:t>
      </w:r>
      <w:r>
        <w:rPr>
          <w:rFonts w:hint="eastAsia"/>
          <w:lang w:val="en-US" w:eastAsia="zh-CN"/>
        </w:rPr>
        <w:t>本次评价抽查的项目，未发现项目实际建设成本超预算成本的情况。综上，该指标得满分。</w:t>
      </w:r>
    </w:p>
    <w:p w14:paraId="31F79BA0">
      <w:pPr>
        <w:pStyle w:val="5"/>
        <w:numPr>
          <w:ilvl w:val="0"/>
          <w:numId w:val="0"/>
        </w:numPr>
        <w:ind w:firstLine="643" w:firstLineChars="200"/>
        <w:rPr>
          <w:rFonts w:hint="default" w:ascii="Times New Roman" w:hAnsi="Times New Roman" w:cs="Times New Roman"/>
          <w:lang w:val="en-US" w:eastAsia="zh-CN"/>
        </w:rPr>
      </w:pPr>
      <w:bookmarkStart w:id="116" w:name="_Toc23267053"/>
      <w:bookmarkStart w:id="117" w:name="_Toc14144"/>
      <w:bookmarkStart w:id="118" w:name="_Toc18499"/>
      <w:bookmarkStart w:id="119" w:name="_Toc23264927"/>
      <w:bookmarkStart w:id="120" w:name="_Toc23266442"/>
      <w:r>
        <w:rPr>
          <w:rFonts w:hint="eastAsia" w:cs="Times New Roman"/>
          <w:lang w:val="en-US" w:eastAsia="zh-CN"/>
        </w:rPr>
        <w:t>4</w:t>
      </w:r>
      <w:r>
        <w:rPr>
          <w:rFonts w:hint="default" w:ascii="Times New Roman" w:hAnsi="Times New Roman" w:cs="Times New Roman"/>
          <w:lang w:val="en-US" w:eastAsia="zh-CN"/>
        </w:rPr>
        <w:t>.</w:t>
      </w:r>
      <w:r>
        <w:rPr>
          <w:rFonts w:hint="default" w:ascii="Times New Roman" w:hAnsi="Times New Roman" w:cs="Times New Roman"/>
        </w:rPr>
        <w:t>项目</w:t>
      </w:r>
      <w:bookmarkEnd w:id="116"/>
      <w:bookmarkEnd w:id="117"/>
      <w:bookmarkEnd w:id="118"/>
      <w:bookmarkEnd w:id="119"/>
      <w:bookmarkEnd w:id="120"/>
      <w:r>
        <w:rPr>
          <w:rFonts w:hint="default" w:ascii="Times New Roman" w:hAnsi="Times New Roman" w:cs="Times New Roman"/>
          <w:lang w:val="en-US" w:eastAsia="zh-CN"/>
        </w:rPr>
        <w:t>效益</w:t>
      </w:r>
    </w:p>
    <w:p w14:paraId="5BC095A9">
      <w:pPr>
        <w:pStyle w:val="26"/>
        <w:rPr>
          <w:rFonts w:hint="default" w:ascii="Times New Roman" w:hAnsi="Times New Roman" w:cs="Times New Roman"/>
          <w:lang w:val="en-US" w:eastAsia="zh-CN"/>
        </w:rPr>
      </w:pPr>
      <w:r>
        <w:rPr>
          <w:rFonts w:hint="default" w:ascii="Times New Roman" w:hAnsi="Times New Roman" w:cs="Times New Roman"/>
          <w:lang w:val="en-US" w:eastAsia="zh-CN"/>
        </w:rPr>
        <w:t>项目效益类指标共包含4个二级指标</w:t>
      </w:r>
      <w:r>
        <w:rPr>
          <w:rFonts w:hint="eastAsia" w:ascii="Times New Roman" w:hAnsi="Times New Roman" w:cs="Times New Roman"/>
          <w:lang w:val="en-US" w:eastAsia="zh-CN"/>
        </w:rPr>
        <w:t>，8</w:t>
      </w:r>
      <w:r>
        <w:rPr>
          <w:rFonts w:hint="default" w:ascii="Times New Roman" w:hAnsi="Times New Roman" w:cs="Times New Roman"/>
          <w:lang w:val="en-US" w:eastAsia="zh-CN"/>
        </w:rPr>
        <w:t>个三级指标，权重分</w:t>
      </w:r>
      <w:r>
        <w:rPr>
          <w:rFonts w:hint="eastAsia" w:ascii="Times New Roman" w:hAnsi="Times New Roman" w:cs="Times New Roman"/>
          <w:lang w:val="en-US" w:eastAsia="zh-CN"/>
        </w:rPr>
        <w:t>30</w:t>
      </w:r>
      <w:r>
        <w:rPr>
          <w:rFonts w:hint="default" w:ascii="Times New Roman" w:hAnsi="Times New Roman" w:cs="Times New Roman"/>
          <w:lang w:val="en-US" w:eastAsia="zh-CN"/>
        </w:rPr>
        <w:t>分，得分</w:t>
      </w:r>
      <w:r>
        <w:rPr>
          <w:rFonts w:hint="eastAsia" w:ascii="Times New Roman" w:hAnsi="Times New Roman" w:cs="Times New Roman"/>
          <w:lang w:val="en-US" w:eastAsia="zh-CN"/>
        </w:rPr>
        <w:t>27.9</w:t>
      </w:r>
      <w:r>
        <w:rPr>
          <w:rFonts w:hint="eastAsia" w:cs="Times New Roman"/>
          <w:lang w:val="en-US" w:eastAsia="zh-CN"/>
        </w:rPr>
        <w:t>6</w:t>
      </w:r>
      <w:r>
        <w:rPr>
          <w:rFonts w:hint="default" w:ascii="Times New Roman" w:hAnsi="Times New Roman" w:cs="Times New Roman"/>
          <w:lang w:val="en-US" w:eastAsia="zh-CN"/>
        </w:rPr>
        <w:t>分，得分率</w:t>
      </w:r>
      <w:r>
        <w:rPr>
          <w:rFonts w:hint="eastAsia" w:ascii="Times New Roman" w:hAnsi="Times New Roman" w:cs="Times New Roman"/>
          <w:lang w:val="en-US" w:eastAsia="zh-CN"/>
        </w:rPr>
        <w:t>93.</w:t>
      </w:r>
      <w:r>
        <w:rPr>
          <w:rFonts w:hint="eastAsia" w:cs="Times New Roman"/>
          <w:lang w:val="en-US" w:eastAsia="zh-CN"/>
        </w:rPr>
        <w:t>20</w:t>
      </w:r>
      <w:r>
        <w:rPr>
          <w:rFonts w:hint="default" w:ascii="Times New Roman" w:hAnsi="Times New Roman" w:cs="Times New Roman"/>
          <w:lang w:val="en-US" w:eastAsia="zh-CN"/>
        </w:rPr>
        <w:t>%。各指标得分情况如表3-5所示：</w:t>
      </w:r>
    </w:p>
    <w:p w14:paraId="525C2734">
      <w:pPr>
        <w:pStyle w:val="25"/>
        <w:widowControl w:val="0"/>
        <w:wordWrap/>
        <w:autoSpaceDE w:val="0"/>
        <w:autoSpaceDN w:val="0"/>
        <w:adjustRightInd w:val="0"/>
        <w:snapToGrid/>
        <w:spacing w:line="560" w:lineRule="exact"/>
        <w:jc w:val="center"/>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表3-5 效益类指标得分情况表</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3839"/>
        <w:gridCol w:w="860"/>
        <w:gridCol w:w="998"/>
        <w:gridCol w:w="1128"/>
      </w:tblGrid>
      <w:tr w14:paraId="0A4E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F0F224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383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D9066AE">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86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3687F78">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99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971D246">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128"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15C0A8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14:paraId="3068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3B1D94C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D1经济效益</w:t>
            </w:r>
          </w:p>
        </w:tc>
        <w:tc>
          <w:tcPr>
            <w:tcW w:w="3839" w:type="dxa"/>
            <w:tcBorders>
              <w:top w:val="single" w:color="000000" w:sz="4" w:space="0"/>
              <w:left w:val="single" w:color="000000" w:sz="4" w:space="0"/>
              <w:bottom w:val="single" w:color="000000" w:sz="4" w:space="0"/>
              <w:right w:val="single" w:color="000000" w:sz="4" w:space="0"/>
            </w:tcBorders>
            <w:vAlign w:val="center"/>
          </w:tcPr>
          <w:p w14:paraId="500BE7B1">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D11农村居民人均可支配收入增长率</w:t>
            </w:r>
          </w:p>
        </w:tc>
        <w:tc>
          <w:tcPr>
            <w:tcW w:w="860" w:type="dxa"/>
            <w:tcBorders>
              <w:top w:val="single" w:color="000000" w:sz="4" w:space="0"/>
              <w:left w:val="single" w:color="000000" w:sz="4" w:space="0"/>
              <w:bottom w:val="single" w:color="000000" w:sz="4" w:space="0"/>
              <w:right w:val="single" w:color="000000" w:sz="4" w:space="0"/>
            </w:tcBorders>
            <w:vAlign w:val="center"/>
          </w:tcPr>
          <w:p w14:paraId="393DA776">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424E1C2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789E66D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1014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1268357B">
            <w:pPr>
              <w:jc w:val="center"/>
              <w:rPr>
                <w:rFonts w:hint="default" w:ascii="Times New Roman" w:hAnsi="Times New Roman" w:eastAsia="宋体" w:cs="Times New Roman"/>
                <w:i w:val="0"/>
                <w:iCs w:val="0"/>
                <w:color w:val="000000"/>
                <w:sz w:val="21"/>
                <w:szCs w:val="21"/>
                <w:u w:val="none"/>
              </w:rPr>
            </w:pPr>
          </w:p>
        </w:tc>
        <w:tc>
          <w:tcPr>
            <w:tcW w:w="3839" w:type="dxa"/>
            <w:tcBorders>
              <w:top w:val="single" w:color="000000" w:sz="4" w:space="0"/>
              <w:left w:val="single" w:color="000000" w:sz="4" w:space="0"/>
              <w:bottom w:val="single" w:color="000000" w:sz="4" w:space="0"/>
              <w:right w:val="single" w:color="000000" w:sz="4" w:space="0"/>
            </w:tcBorders>
            <w:vAlign w:val="center"/>
          </w:tcPr>
          <w:p w14:paraId="4371131A">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D12带动增加村集体经济年收入</w:t>
            </w:r>
          </w:p>
        </w:tc>
        <w:tc>
          <w:tcPr>
            <w:tcW w:w="860" w:type="dxa"/>
            <w:tcBorders>
              <w:top w:val="single" w:color="000000" w:sz="4" w:space="0"/>
              <w:left w:val="single" w:color="000000" w:sz="4" w:space="0"/>
              <w:bottom w:val="single" w:color="000000" w:sz="4" w:space="0"/>
              <w:right w:val="single" w:color="000000" w:sz="4" w:space="0"/>
            </w:tcBorders>
            <w:vAlign w:val="center"/>
          </w:tcPr>
          <w:p w14:paraId="348DD7DF">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3971B74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45075AB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0364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14:paraId="614D29E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D2社会效益</w:t>
            </w:r>
          </w:p>
        </w:tc>
        <w:tc>
          <w:tcPr>
            <w:tcW w:w="3839" w:type="dxa"/>
            <w:tcBorders>
              <w:top w:val="single" w:color="000000" w:sz="4" w:space="0"/>
              <w:left w:val="single" w:color="000000" w:sz="4" w:space="0"/>
              <w:bottom w:val="single" w:color="000000" w:sz="4" w:space="0"/>
              <w:right w:val="single" w:color="000000" w:sz="4" w:space="0"/>
            </w:tcBorders>
            <w:vAlign w:val="center"/>
          </w:tcPr>
          <w:p w14:paraId="65A4ABA0">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D21惠及困难群众数量</w:t>
            </w:r>
          </w:p>
        </w:tc>
        <w:tc>
          <w:tcPr>
            <w:tcW w:w="860" w:type="dxa"/>
            <w:tcBorders>
              <w:top w:val="single" w:color="000000" w:sz="4" w:space="0"/>
              <w:left w:val="single" w:color="000000" w:sz="4" w:space="0"/>
              <w:bottom w:val="single" w:color="000000" w:sz="4" w:space="0"/>
              <w:right w:val="single" w:color="000000" w:sz="4" w:space="0"/>
            </w:tcBorders>
            <w:vAlign w:val="center"/>
          </w:tcPr>
          <w:p w14:paraId="6C41881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998" w:type="dxa"/>
            <w:tcBorders>
              <w:top w:val="single" w:color="000000" w:sz="4" w:space="0"/>
              <w:left w:val="single" w:color="000000" w:sz="4" w:space="0"/>
              <w:bottom w:val="single" w:color="000000" w:sz="4" w:space="0"/>
              <w:right w:val="single" w:color="000000" w:sz="4" w:space="0"/>
            </w:tcBorders>
            <w:vAlign w:val="center"/>
          </w:tcPr>
          <w:p w14:paraId="314DC1B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77442B0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4233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69C4BE5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D3可持续影响</w:t>
            </w:r>
          </w:p>
        </w:tc>
        <w:tc>
          <w:tcPr>
            <w:tcW w:w="3839" w:type="dxa"/>
            <w:tcBorders>
              <w:top w:val="single" w:color="000000" w:sz="4" w:space="0"/>
              <w:left w:val="single" w:color="000000" w:sz="4" w:space="0"/>
              <w:bottom w:val="single" w:color="000000" w:sz="4" w:space="0"/>
              <w:right w:val="single" w:color="000000" w:sz="4" w:space="0"/>
            </w:tcBorders>
            <w:vAlign w:val="center"/>
          </w:tcPr>
          <w:p w14:paraId="5AFC1BE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D31联农带农机制有效性</w:t>
            </w:r>
          </w:p>
        </w:tc>
        <w:tc>
          <w:tcPr>
            <w:tcW w:w="860" w:type="dxa"/>
            <w:tcBorders>
              <w:top w:val="single" w:color="000000" w:sz="4" w:space="0"/>
              <w:left w:val="single" w:color="000000" w:sz="4" w:space="0"/>
              <w:bottom w:val="single" w:color="000000" w:sz="4" w:space="0"/>
              <w:right w:val="single" w:color="000000" w:sz="4" w:space="0"/>
            </w:tcBorders>
            <w:vAlign w:val="center"/>
          </w:tcPr>
          <w:p w14:paraId="2F1FCACC">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4DABFE9A">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4</w:t>
            </w:r>
            <w:r>
              <w:rPr>
                <w:rFonts w:hint="default" w:ascii="Times New Roman" w:hAnsi="Times New Roman" w:eastAsia="宋体" w:cs="Times New Roman"/>
                <w:i w:val="0"/>
                <w:iCs w:val="0"/>
                <w:color w:val="000000"/>
                <w:kern w:val="0"/>
                <w:sz w:val="21"/>
                <w:szCs w:val="21"/>
                <w:u w:val="none"/>
                <w:lang w:val="en-US" w:eastAsia="zh-CN"/>
              </w:rPr>
              <w:t xml:space="preserve">.00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54F4FA27">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4A29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4312C23F">
            <w:pPr>
              <w:jc w:val="center"/>
              <w:rPr>
                <w:rFonts w:hint="default" w:ascii="Times New Roman" w:hAnsi="Times New Roman" w:eastAsia="宋体" w:cs="Times New Roman"/>
                <w:i w:val="0"/>
                <w:iCs w:val="0"/>
                <w:color w:val="000000"/>
                <w:sz w:val="21"/>
                <w:szCs w:val="21"/>
                <w:u w:val="none"/>
              </w:rPr>
            </w:pPr>
          </w:p>
        </w:tc>
        <w:tc>
          <w:tcPr>
            <w:tcW w:w="3839" w:type="dxa"/>
            <w:tcBorders>
              <w:top w:val="single" w:color="000000" w:sz="4" w:space="0"/>
              <w:left w:val="single" w:color="000000" w:sz="4" w:space="0"/>
              <w:bottom w:val="single" w:color="000000" w:sz="4" w:space="0"/>
              <w:right w:val="single" w:color="000000" w:sz="4" w:space="0"/>
            </w:tcBorders>
            <w:vAlign w:val="center"/>
          </w:tcPr>
          <w:p w14:paraId="36122727">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D32资产管理有效性</w:t>
            </w:r>
          </w:p>
        </w:tc>
        <w:tc>
          <w:tcPr>
            <w:tcW w:w="860" w:type="dxa"/>
            <w:tcBorders>
              <w:top w:val="single" w:color="000000" w:sz="4" w:space="0"/>
              <w:left w:val="single" w:color="000000" w:sz="4" w:space="0"/>
              <w:bottom w:val="single" w:color="000000" w:sz="4" w:space="0"/>
              <w:right w:val="single" w:color="000000" w:sz="4" w:space="0"/>
            </w:tcBorders>
            <w:vAlign w:val="center"/>
          </w:tcPr>
          <w:p w14:paraId="62127855">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998" w:type="dxa"/>
            <w:tcBorders>
              <w:top w:val="single" w:color="000000" w:sz="4" w:space="0"/>
              <w:left w:val="single" w:color="000000" w:sz="4" w:space="0"/>
              <w:bottom w:val="single" w:color="000000" w:sz="4" w:space="0"/>
              <w:right w:val="single" w:color="000000" w:sz="4" w:space="0"/>
            </w:tcBorders>
            <w:vAlign w:val="center"/>
          </w:tcPr>
          <w:p w14:paraId="58139E0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2.25 </w:t>
            </w:r>
          </w:p>
        </w:tc>
        <w:tc>
          <w:tcPr>
            <w:tcW w:w="1128" w:type="dxa"/>
            <w:tcBorders>
              <w:top w:val="single" w:color="000000" w:sz="4" w:space="0"/>
              <w:left w:val="single" w:color="000000" w:sz="4" w:space="0"/>
              <w:bottom w:val="single" w:color="000000" w:sz="4" w:space="0"/>
              <w:right w:val="single" w:color="000000" w:sz="4" w:space="0"/>
            </w:tcBorders>
            <w:vAlign w:val="center"/>
          </w:tcPr>
          <w:p w14:paraId="5F117103">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87.50</w:t>
            </w:r>
            <w:r>
              <w:rPr>
                <w:rFonts w:hint="default" w:ascii="Times New Roman" w:hAnsi="Times New Roman" w:eastAsia="宋体" w:cs="Times New Roman"/>
                <w:i w:val="0"/>
                <w:iCs w:val="0"/>
                <w:color w:val="000000"/>
                <w:kern w:val="0"/>
                <w:sz w:val="21"/>
                <w:szCs w:val="21"/>
                <w:u w:val="none"/>
                <w:lang w:val="en-US" w:eastAsia="zh-CN"/>
              </w:rPr>
              <w:t>%</w:t>
            </w:r>
          </w:p>
        </w:tc>
      </w:tr>
      <w:tr w14:paraId="4EC1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2928040A">
            <w:pPr>
              <w:jc w:val="center"/>
              <w:rPr>
                <w:rFonts w:hint="default" w:ascii="Times New Roman" w:hAnsi="Times New Roman" w:eastAsia="宋体" w:cs="Times New Roman"/>
                <w:i w:val="0"/>
                <w:iCs w:val="0"/>
                <w:color w:val="000000"/>
                <w:sz w:val="21"/>
                <w:szCs w:val="21"/>
                <w:u w:val="none"/>
              </w:rPr>
            </w:pPr>
          </w:p>
        </w:tc>
        <w:tc>
          <w:tcPr>
            <w:tcW w:w="3839" w:type="dxa"/>
            <w:tcBorders>
              <w:top w:val="single" w:color="000000" w:sz="4" w:space="0"/>
              <w:left w:val="single" w:color="000000" w:sz="4" w:space="0"/>
              <w:bottom w:val="single" w:color="000000" w:sz="4" w:space="0"/>
              <w:right w:val="single" w:color="000000" w:sz="4" w:space="0"/>
            </w:tcBorders>
            <w:vAlign w:val="center"/>
          </w:tcPr>
          <w:p w14:paraId="1867B9D8">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w:t>
            </w:r>
            <w:r>
              <w:rPr>
                <w:rFonts w:hint="eastAsia" w:ascii="Times New Roman" w:hAnsi="Times New Roman" w:eastAsia="宋体" w:cs="Times New Roman"/>
                <w:i w:val="0"/>
                <w:iCs w:val="0"/>
                <w:color w:val="000000"/>
                <w:kern w:val="0"/>
                <w:sz w:val="21"/>
                <w:szCs w:val="21"/>
                <w:u w:val="none"/>
                <w:lang w:val="en-US" w:eastAsia="zh-CN"/>
              </w:rPr>
              <w:t>3</w:t>
            </w:r>
            <w:r>
              <w:rPr>
                <w:rFonts w:hint="default" w:ascii="Times New Roman" w:hAnsi="Times New Roman" w:eastAsia="宋体" w:cs="Times New Roman"/>
                <w:i w:val="0"/>
                <w:iCs w:val="0"/>
                <w:color w:val="000000"/>
                <w:kern w:val="0"/>
                <w:sz w:val="21"/>
                <w:szCs w:val="21"/>
                <w:u w:val="none"/>
                <w:lang w:val="en-US" w:eastAsia="zh-CN"/>
              </w:rPr>
              <w:t>项目管护机制健全性</w:t>
            </w:r>
          </w:p>
        </w:tc>
        <w:tc>
          <w:tcPr>
            <w:tcW w:w="860" w:type="dxa"/>
            <w:tcBorders>
              <w:top w:val="single" w:color="000000" w:sz="4" w:space="0"/>
              <w:left w:val="single" w:color="000000" w:sz="4" w:space="0"/>
              <w:bottom w:val="single" w:color="000000" w:sz="4" w:space="0"/>
              <w:right w:val="single" w:color="000000" w:sz="4" w:space="0"/>
            </w:tcBorders>
            <w:vAlign w:val="center"/>
          </w:tcPr>
          <w:p w14:paraId="07F457B9">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vAlign w:val="center"/>
          </w:tcPr>
          <w:p w14:paraId="594BEB20">
            <w:pPr>
              <w:widowControl/>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rPr>
              <w:t>3.33</w:t>
            </w:r>
          </w:p>
        </w:tc>
        <w:tc>
          <w:tcPr>
            <w:tcW w:w="1128" w:type="dxa"/>
            <w:tcBorders>
              <w:top w:val="single" w:color="000000" w:sz="4" w:space="0"/>
              <w:left w:val="single" w:color="000000" w:sz="4" w:space="0"/>
              <w:bottom w:val="single" w:color="000000" w:sz="4" w:space="0"/>
              <w:right w:val="single" w:color="000000" w:sz="4" w:space="0"/>
            </w:tcBorders>
            <w:vAlign w:val="center"/>
          </w:tcPr>
          <w:p w14:paraId="2F4FA873">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66.67%</w:t>
            </w:r>
          </w:p>
        </w:tc>
      </w:tr>
      <w:tr w14:paraId="7345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47CD3125">
            <w:pPr>
              <w:jc w:val="center"/>
              <w:rPr>
                <w:rFonts w:hint="default" w:ascii="Times New Roman" w:hAnsi="Times New Roman" w:eastAsia="宋体" w:cs="Times New Roman"/>
                <w:i w:val="0"/>
                <w:iCs w:val="0"/>
                <w:color w:val="000000"/>
                <w:sz w:val="21"/>
                <w:szCs w:val="21"/>
                <w:u w:val="none"/>
              </w:rPr>
            </w:pPr>
          </w:p>
        </w:tc>
        <w:tc>
          <w:tcPr>
            <w:tcW w:w="3839" w:type="dxa"/>
            <w:tcBorders>
              <w:top w:val="single" w:color="000000" w:sz="4" w:space="0"/>
              <w:left w:val="single" w:color="000000" w:sz="4" w:space="0"/>
              <w:bottom w:val="single" w:color="000000" w:sz="4" w:space="0"/>
              <w:right w:val="single" w:color="000000" w:sz="4" w:space="0"/>
            </w:tcBorders>
            <w:vAlign w:val="center"/>
          </w:tcPr>
          <w:p w14:paraId="4796B125">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D3</w:t>
            </w:r>
            <w:r>
              <w:rPr>
                <w:rFonts w:hint="eastAsia" w:ascii="Times New Roman" w:hAnsi="Times New Roman" w:eastAsia="宋体" w:cs="Times New Roman"/>
                <w:i w:val="0"/>
                <w:iCs w:val="0"/>
                <w:color w:val="000000"/>
                <w:kern w:val="0"/>
                <w:sz w:val="21"/>
                <w:szCs w:val="21"/>
                <w:u w:val="none"/>
                <w:lang w:val="en-US" w:eastAsia="zh-CN"/>
              </w:rPr>
              <w:t>4</w:t>
            </w:r>
            <w:r>
              <w:rPr>
                <w:rFonts w:hint="default" w:ascii="Times New Roman" w:hAnsi="Times New Roman" w:eastAsia="宋体" w:cs="Times New Roman"/>
                <w:i w:val="0"/>
                <w:iCs w:val="0"/>
                <w:color w:val="000000"/>
                <w:kern w:val="0"/>
                <w:sz w:val="21"/>
                <w:szCs w:val="21"/>
                <w:u w:val="none"/>
                <w:lang w:val="en-US" w:eastAsia="zh-CN"/>
              </w:rPr>
              <w:t>往年项目持续发挥作用情况</w:t>
            </w:r>
          </w:p>
        </w:tc>
        <w:tc>
          <w:tcPr>
            <w:tcW w:w="860" w:type="dxa"/>
            <w:tcBorders>
              <w:top w:val="single" w:color="000000" w:sz="4" w:space="0"/>
              <w:left w:val="single" w:color="000000" w:sz="4" w:space="0"/>
              <w:bottom w:val="single" w:color="000000" w:sz="4" w:space="0"/>
              <w:right w:val="single" w:color="000000" w:sz="4" w:space="0"/>
            </w:tcBorders>
            <w:vAlign w:val="center"/>
          </w:tcPr>
          <w:p w14:paraId="3FDA9F50">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998" w:type="dxa"/>
            <w:tcBorders>
              <w:top w:val="single" w:color="000000" w:sz="4" w:space="0"/>
              <w:left w:val="single" w:color="000000" w:sz="4" w:space="0"/>
              <w:bottom w:val="single" w:color="000000" w:sz="4" w:space="0"/>
              <w:right w:val="single" w:color="000000" w:sz="4" w:space="0"/>
            </w:tcBorders>
            <w:vAlign w:val="center"/>
          </w:tcPr>
          <w:p w14:paraId="70042049">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3.00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6E609784">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222D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14:paraId="4896853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D4服务对象满意度</w:t>
            </w:r>
          </w:p>
        </w:tc>
        <w:tc>
          <w:tcPr>
            <w:tcW w:w="3839" w:type="dxa"/>
            <w:tcBorders>
              <w:top w:val="single" w:color="000000" w:sz="4" w:space="0"/>
              <w:left w:val="single" w:color="000000" w:sz="4" w:space="0"/>
              <w:bottom w:val="single" w:color="000000" w:sz="4" w:space="0"/>
              <w:right w:val="single" w:color="000000" w:sz="4" w:space="0"/>
            </w:tcBorders>
            <w:vAlign w:val="center"/>
          </w:tcPr>
          <w:p w14:paraId="0F31A916">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D41脱贫户和防止返贫监测对象满意度 </w:t>
            </w:r>
          </w:p>
        </w:tc>
        <w:tc>
          <w:tcPr>
            <w:tcW w:w="860" w:type="dxa"/>
            <w:tcBorders>
              <w:top w:val="single" w:color="000000" w:sz="4" w:space="0"/>
              <w:left w:val="single" w:color="000000" w:sz="4" w:space="0"/>
              <w:bottom w:val="single" w:color="000000" w:sz="4" w:space="0"/>
              <w:right w:val="single" w:color="000000" w:sz="4" w:space="0"/>
            </w:tcBorders>
            <w:vAlign w:val="center"/>
          </w:tcPr>
          <w:p w14:paraId="7AE340CE">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50508C2C">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4.00 </w:t>
            </w:r>
          </w:p>
        </w:tc>
        <w:tc>
          <w:tcPr>
            <w:tcW w:w="1128" w:type="dxa"/>
            <w:tcBorders>
              <w:top w:val="single" w:color="000000" w:sz="4" w:space="0"/>
              <w:left w:val="single" w:color="000000" w:sz="4" w:space="0"/>
              <w:bottom w:val="single" w:color="000000" w:sz="4" w:space="0"/>
              <w:right w:val="single" w:color="000000" w:sz="4" w:space="0"/>
            </w:tcBorders>
            <w:vAlign w:val="center"/>
          </w:tcPr>
          <w:p w14:paraId="41E4D67B">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14:paraId="153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5539" w:type="dxa"/>
            <w:gridSpan w:val="2"/>
            <w:tcBorders>
              <w:top w:val="single" w:color="000000" w:sz="4" w:space="0"/>
              <w:left w:val="single" w:color="000000" w:sz="4" w:space="0"/>
              <w:bottom w:val="single" w:color="000000" w:sz="4" w:space="0"/>
              <w:right w:val="single" w:color="000000" w:sz="4" w:space="0"/>
            </w:tcBorders>
            <w:vAlign w:val="center"/>
          </w:tcPr>
          <w:p w14:paraId="76AF9D43">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860" w:type="dxa"/>
            <w:tcBorders>
              <w:top w:val="single" w:color="000000" w:sz="4" w:space="0"/>
              <w:left w:val="single" w:color="000000" w:sz="4" w:space="0"/>
              <w:bottom w:val="single" w:color="000000" w:sz="4" w:space="0"/>
              <w:right w:val="single" w:color="000000" w:sz="4" w:space="0"/>
            </w:tcBorders>
            <w:vAlign w:val="center"/>
          </w:tcPr>
          <w:p w14:paraId="773ED76F">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30</w:t>
            </w:r>
          </w:p>
        </w:tc>
        <w:tc>
          <w:tcPr>
            <w:tcW w:w="998" w:type="dxa"/>
            <w:tcBorders>
              <w:top w:val="single" w:color="000000" w:sz="4" w:space="0"/>
              <w:left w:val="single" w:color="000000" w:sz="4" w:space="0"/>
              <w:bottom w:val="single" w:color="000000" w:sz="4" w:space="0"/>
              <w:right w:val="single" w:color="000000" w:sz="4" w:space="0"/>
            </w:tcBorders>
            <w:vAlign w:val="center"/>
          </w:tcPr>
          <w:p w14:paraId="2045E3CA">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27.9</w:t>
            </w:r>
            <w:r>
              <w:rPr>
                <w:rFonts w:hint="eastAsia" w:ascii="Times New Roman" w:hAnsi="Times New Roman" w:cs="Times New Roman"/>
                <w:b/>
                <w:bCs/>
                <w:i w:val="0"/>
                <w:iCs w:val="0"/>
                <w:color w:val="000000"/>
                <w:kern w:val="0"/>
                <w:sz w:val="21"/>
                <w:szCs w:val="21"/>
                <w:u w:val="none"/>
                <w:lang w:val="en-US" w:eastAsia="zh-CN"/>
              </w:rPr>
              <w:t>6</w:t>
            </w:r>
            <w:r>
              <w:rPr>
                <w:rFonts w:hint="default" w:ascii="Times New Roman" w:hAnsi="Times New Roman" w:eastAsia="宋体" w:cs="Times New Roman"/>
                <w:b/>
                <w:bCs/>
                <w:i w:val="0"/>
                <w:iCs w:val="0"/>
                <w:color w:val="000000"/>
                <w:kern w:val="0"/>
                <w:sz w:val="21"/>
                <w:szCs w:val="21"/>
                <w:u w:val="none"/>
                <w:lang w:val="en-US" w:eastAsia="zh-CN"/>
              </w:rPr>
              <w:t xml:space="preserve"> </w:t>
            </w:r>
          </w:p>
        </w:tc>
        <w:tc>
          <w:tcPr>
            <w:tcW w:w="1128" w:type="dxa"/>
            <w:tcBorders>
              <w:top w:val="single" w:color="000000" w:sz="4" w:space="0"/>
              <w:left w:val="single" w:color="000000" w:sz="4" w:space="0"/>
              <w:bottom w:val="single" w:color="000000" w:sz="4" w:space="0"/>
              <w:right w:val="single" w:color="000000" w:sz="4" w:space="0"/>
            </w:tcBorders>
            <w:vAlign w:val="center"/>
          </w:tcPr>
          <w:p w14:paraId="6526DFA7">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93.</w:t>
            </w:r>
            <w:r>
              <w:rPr>
                <w:rFonts w:hint="eastAsia" w:ascii="Times New Roman" w:hAnsi="Times New Roman" w:cs="Times New Roman"/>
                <w:b/>
                <w:bCs/>
                <w:i w:val="0"/>
                <w:iCs w:val="0"/>
                <w:color w:val="000000"/>
                <w:kern w:val="0"/>
                <w:sz w:val="21"/>
                <w:szCs w:val="21"/>
                <w:u w:val="none"/>
                <w:lang w:val="en-US" w:eastAsia="zh-CN"/>
              </w:rPr>
              <w:t>20</w:t>
            </w:r>
            <w:r>
              <w:rPr>
                <w:rFonts w:hint="default" w:ascii="Times New Roman" w:hAnsi="Times New Roman" w:eastAsia="宋体" w:cs="Times New Roman"/>
                <w:b/>
                <w:bCs/>
                <w:i w:val="0"/>
                <w:iCs w:val="0"/>
                <w:color w:val="000000"/>
                <w:kern w:val="0"/>
                <w:sz w:val="21"/>
                <w:szCs w:val="21"/>
                <w:u w:val="none"/>
                <w:lang w:val="en-US" w:eastAsia="zh-CN"/>
              </w:rPr>
              <w:t>%</w:t>
            </w:r>
          </w:p>
        </w:tc>
      </w:tr>
    </w:tbl>
    <w:p w14:paraId="2DD667E5">
      <w:pPr>
        <w:pStyle w:val="26"/>
        <w:rPr>
          <w:rFonts w:hint="eastAsia"/>
          <w:lang w:val="en-US" w:eastAsia="zh-CN"/>
        </w:rPr>
      </w:pPr>
      <w:r>
        <w:rPr>
          <w:rFonts w:hint="default"/>
          <w:b/>
          <w:bCs/>
          <w:lang w:val="en-US" w:eastAsia="zh-CN"/>
        </w:rPr>
        <w:t>D11农村居民人均可支配收入增长率</w:t>
      </w:r>
      <w:r>
        <w:rPr>
          <w:rFonts w:hint="eastAsia"/>
          <w:b/>
          <w:bCs/>
          <w:lang w:val="en-US" w:eastAsia="zh-CN"/>
        </w:rPr>
        <w:t>：</w:t>
      </w:r>
      <w:r>
        <w:rPr>
          <w:rFonts w:hint="eastAsia"/>
          <w:lang w:val="en-US" w:eastAsia="zh-CN"/>
        </w:rPr>
        <w:t>依据县乡村振兴局提供的相关数据，2022年度农村居民人均可支配收入高于2021年，得满分。</w:t>
      </w:r>
    </w:p>
    <w:p w14:paraId="7A557694">
      <w:pPr>
        <w:pStyle w:val="26"/>
        <w:rPr>
          <w:rFonts w:hint="eastAsia"/>
          <w:lang w:val="en-US" w:eastAsia="zh-CN"/>
        </w:rPr>
      </w:pPr>
      <w:r>
        <w:rPr>
          <w:rFonts w:hint="default" w:ascii="Times New Roman" w:hAnsi="Times New Roman"/>
          <w:b/>
          <w:bCs/>
          <w:lang w:val="en-US" w:eastAsia="zh-CN"/>
        </w:rPr>
        <w:t>D12带动增加村集体经济年收入</w:t>
      </w:r>
      <w:r>
        <w:rPr>
          <w:rFonts w:hint="eastAsia" w:ascii="Times New Roman" w:hAnsi="Times New Roman"/>
          <w:b/>
          <w:bCs/>
          <w:lang w:val="en-US" w:eastAsia="zh-CN"/>
        </w:rPr>
        <w:t>：</w:t>
      </w:r>
      <w:r>
        <w:rPr>
          <w:rFonts w:hint="eastAsia"/>
          <w:lang w:val="en-US" w:eastAsia="zh-CN"/>
        </w:rPr>
        <w:t>依据县乡村振兴局提供的相关数据，2022年度通过项目实施带动村集体经济收入高于2021年，得满分。</w:t>
      </w:r>
    </w:p>
    <w:p w14:paraId="763183E5">
      <w:pPr>
        <w:pStyle w:val="26"/>
        <w:rPr>
          <w:rFonts w:hint="eastAsia"/>
          <w:lang w:val="en-US" w:eastAsia="zh-CN"/>
        </w:rPr>
      </w:pPr>
      <w:r>
        <w:rPr>
          <w:rFonts w:hint="default"/>
          <w:b/>
          <w:bCs/>
          <w:lang w:val="en-US" w:eastAsia="zh-CN"/>
        </w:rPr>
        <w:t>D21惠及困难群众数量</w:t>
      </w:r>
      <w:r>
        <w:rPr>
          <w:rFonts w:hint="eastAsia"/>
          <w:b/>
          <w:bCs/>
          <w:lang w:val="en-US" w:eastAsia="zh-CN"/>
        </w:rPr>
        <w:t>：</w:t>
      </w:r>
      <w:r>
        <w:rPr>
          <w:rFonts w:hint="eastAsia"/>
          <w:lang w:val="en-US" w:eastAsia="zh-CN"/>
        </w:rPr>
        <w:t>依据各项目提供的绩效目标申报表与自评表，惠及困难群众数量达到实施方案预期目标。综上，该指标得满分权重分。</w:t>
      </w:r>
    </w:p>
    <w:p w14:paraId="3BB79623">
      <w:pPr>
        <w:pStyle w:val="26"/>
        <w:rPr>
          <w:rFonts w:hint="eastAsia"/>
          <w:lang w:val="en-US" w:eastAsia="zh-CN"/>
        </w:rPr>
      </w:pPr>
      <w:r>
        <w:rPr>
          <w:rFonts w:hint="default" w:ascii="Times New Roman" w:hAnsi="Times New Roman"/>
          <w:b/>
          <w:bCs/>
          <w:lang w:val="en-US" w:eastAsia="zh-CN"/>
        </w:rPr>
        <w:t>D31联农带农机制有效性</w:t>
      </w:r>
      <w:r>
        <w:rPr>
          <w:rFonts w:hint="eastAsia" w:ascii="Times New Roman" w:hAnsi="Times New Roman"/>
          <w:b/>
          <w:bCs/>
          <w:lang w:val="en-US" w:eastAsia="zh-CN"/>
        </w:rPr>
        <w:t>：</w:t>
      </w:r>
      <w:r>
        <w:rPr>
          <w:rFonts w:hint="eastAsia"/>
          <w:lang w:val="en-US" w:eastAsia="zh-CN"/>
        </w:rPr>
        <w:t>依据项目提供的实施方案：①产业类项目建立有联农带农机制。至少包括2种及以上的带动模式；②脱贫户就业协议、工资发放流水、承租单位租金上缴证明等联农带农、产业带贫佐证材料齐全。综上，该指标得满分权重分。</w:t>
      </w:r>
    </w:p>
    <w:p w14:paraId="4952CFE1">
      <w:pPr>
        <w:pStyle w:val="26"/>
        <w:rPr>
          <w:rFonts w:hint="eastAsia"/>
          <w:lang w:val="en-US" w:eastAsia="zh-CN"/>
        </w:rPr>
      </w:pPr>
      <w:r>
        <w:rPr>
          <w:rFonts w:hint="default" w:ascii="Times New Roman" w:hAnsi="Times New Roman"/>
          <w:b/>
          <w:bCs/>
          <w:lang w:val="en-US" w:eastAsia="zh-CN"/>
        </w:rPr>
        <w:t>D32资产管理有效性</w:t>
      </w:r>
      <w:r>
        <w:rPr>
          <w:rFonts w:hint="eastAsia" w:ascii="Times New Roman" w:hAnsi="Times New Roman"/>
          <w:b/>
          <w:bCs/>
          <w:lang w:val="en-US" w:eastAsia="zh-CN"/>
        </w:rPr>
        <w:t>：</w:t>
      </w:r>
      <w:r>
        <w:rPr>
          <w:rFonts w:hint="eastAsia"/>
          <w:lang w:val="en-US" w:eastAsia="zh-CN"/>
        </w:rPr>
        <w:t>①村级层面制定有项目资产管理制度；②村级层面制定有资产收益分配方案，且履行相应审批程序并及时公开；</w:t>
      </w:r>
      <w:r>
        <w:rPr>
          <w:rFonts w:hint="eastAsia"/>
          <w:highlight w:val="none"/>
          <w:lang w:val="en-US" w:eastAsia="zh-CN"/>
        </w:rPr>
        <w:t>③已完工项目正在进行资产确权手续，得12.5%权重分；</w:t>
      </w:r>
      <w:r>
        <w:rPr>
          <w:rFonts w:hint="eastAsia"/>
          <w:lang w:val="en-US" w:eastAsia="zh-CN"/>
        </w:rPr>
        <w:t>④抽取的项目确权至村集体经济组织的扶贫项目资产类型、金额等账面数据，与县级项目资产管理台账数据相符。综上，该指标得87.50%权重分。</w:t>
      </w:r>
    </w:p>
    <w:p w14:paraId="1CBD05EC">
      <w:pPr>
        <w:pStyle w:val="26"/>
        <w:rPr>
          <w:rFonts w:hint="eastAsia"/>
          <w:lang w:val="en-US" w:eastAsia="zh-CN"/>
        </w:rPr>
      </w:pPr>
      <w:r>
        <w:rPr>
          <w:rFonts w:hint="default" w:ascii="Times New Roman" w:hAnsi="Times New Roman"/>
          <w:b/>
          <w:bCs/>
          <w:lang w:val="en-US" w:eastAsia="zh-CN"/>
        </w:rPr>
        <w:t>D3</w:t>
      </w:r>
      <w:r>
        <w:rPr>
          <w:rFonts w:hint="eastAsia" w:ascii="Times New Roman" w:hAnsi="Times New Roman"/>
          <w:b/>
          <w:bCs/>
          <w:lang w:val="en-US" w:eastAsia="zh-CN"/>
        </w:rPr>
        <w:t>3</w:t>
      </w:r>
      <w:r>
        <w:rPr>
          <w:rFonts w:hint="default" w:ascii="Times New Roman" w:hAnsi="Times New Roman"/>
          <w:b/>
          <w:bCs/>
          <w:lang w:val="en-US" w:eastAsia="zh-CN"/>
        </w:rPr>
        <w:t>项目管护机制健全性</w:t>
      </w:r>
      <w:r>
        <w:rPr>
          <w:rFonts w:hint="eastAsia" w:ascii="Times New Roman" w:hAnsi="Times New Roman"/>
          <w:b/>
          <w:bCs/>
          <w:lang w:val="en-US" w:eastAsia="zh-CN"/>
        </w:rPr>
        <w:t>：</w:t>
      </w:r>
      <w:r>
        <w:rPr>
          <w:rFonts w:hint="eastAsia"/>
          <w:highlight w:val="none"/>
          <w:lang w:val="en-US" w:eastAsia="zh-CN"/>
        </w:rPr>
        <w:t>①评价组未获取经营性资产运营方案，不得分；</w:t>
      </w:r>
      <w:r>
        <w:rPr>
          <w:rFonts w:hint="eastAsia"/>
          <w:lang w:val="en-US" w:eastAsia="zh-CN"/>
        </w:rPr>
        <w:t>②公益性资产具备管护制度，能够落实管护责任人和管护经费，得1/3权重分；③根据管护制度严格落实管护任务，管护质量较高，未出现管护不到位情况。综上，该指标得2/3权重分。</w:t>
      </w:r>
    </w:p>
    <w:p w14:paraId="76EE86DF">
      <w:pPr>
        <w:pStyle w:val="26"/>
        <w:rPr>
          <w:rFonts w:hint="eastAsia"/>
          <w:lang w:val="en-US" w:eastAsia="zh-CN"/>
        </w:rPr>
      </w:pPr>
      <w:r>
        <w:rPr>
          <w:rFonts w:hint="default" w:ascii="Times New Roman" w:hAnsi="Times New Roman"/>
          <w:b/>
          <w:bCs/>
          <w:lang w:val="en-US" w:eastAsia="zh-CN"/>
        </w:rPr>
        <w:t>D3</w:t>
      </w:r>
      <w:r>
        <w:rPr>
          <w:rFonts w:hint="eastAsia" w:ascii="Times New Roman" w:hAnsi="Times New Roman"/>
          <w:b/>
          <w:bCs/>
          <w:lang w:val="en-US" w:eastAsia="zh-CN"/>
        </w:rPr>
        <w:t>4</w:t>
      </w:r>
      <w:r>
        <w:rPr>
          <w:rFonts w:hint="default" w:ascii="Times New Roman" w:hAnsi="Times New Roman"/>
          <w:b/>
          <w:bCs/>
          <w:lang w:val="en-US" w:eastAsia="zh-CN"/>
        </w:rPr>
        <w:t>往年项目持续发挥作用情况</w:t>
      </w:r>
      <w:r>
        <w:rPr>
          <w:rFonts w:hint="eastAsia" w:ascii="Times New Roman" w:hAnsi="Times New Roman"/>
          <w:b/>
          <w:bCs/>
          <w:lang w:val="en-US" w:eastAsia="zh-CN"/>
        </w:rPr>
        <w:t>：</w:t>
      </w:r>
      <w:r>
        <w:rPr>
          <w:rFonts w:hint="eastAsia"/>
          <w:lang w:val="en-US" w:eastAsia="zh-CN"/>
        </w:rPr>
        <w:t>通过实地核查，往年项目能够正常运行，持续发挥作用。综上，该指标得满分权重分。</w:t>
      </w:r>
    </w:p>
    <w:p w14:paraId="2038041C">
      <w:pPr>
        <w:pStyle w:val="26"/>
        <w:rPr>
          <w:rFonts w:hint="default"/>
          <w:lang w:val="en-US" w:eastAsia="zh-CN"/>
        </w:rPr>
      </w:pPr>
      <w:r>
        <w:rPr>
          <w:rFonts w:hint="default" w:ascii="Times New Roman" w:hAnsi="Times New Roman"/>
          <w:b/>
          <w:bCs/>
          <w:lang w:val="en-US" w:eastAsia="zh-CN"/>
        </w:rPr>
        <w:t>D41脱贫户和防止返贫监测对象满意度</w:t>
      </w:r>
      <w:r>
        <w:rPr>
          <w:rFonts w:hint="eastAsia" w:ascii="Times New Roman" w:hAnsi="Times New Roman"/>
          <w:b/>
          <w:bCs/>
          <w:lang w:val="en-US" w:eastAsia="zh-CN"/>
        </w:rPr>
        <w:t>：</w:t>
      </w:r>
      <w:r>
        <w:rPr>
          <w:rFonts w:hint="eastAsia"/>
          <w:lang w:val="en-US" w:eastAsia="zh-CN"/>
        </w:rPr>
        <w:t>通过对对脱贫户和防止返贫监测对象进行问卷调查，群众综合满意度达95%。综上，该指标得满分权重分。</w:t>
      </w:r>
    </w:p>
    <w:p w14:paraId="1A82754E">
      <w:pPr>
        <w:pStyle w:val="3"/>
        <w:ind w:firstLine="640"/>
        <w:rPr>
          <w:rFonts w:hint="default" w:ascii="Times New Roman" w:hAnsi="Times New Roman" w:cs="Times New Roman"/>
          <w:b w:val="0"/>
          <w:szCs w:val="32"/>
          <w:highlight w:val="yellow"/>
        </w:rPr>
      </w:pPr>
      <w:bookmarkStart w:id="121" w:name="_Toc20768"/>
      <w:bookmarkStart w:id="122" w:name="_Toc23264928"/>
      <w:bookmarkStart w:id="123" w:name="_Toc23266443"/>
      <w:r>
        <w:rPr>
          <w:rFonts w:hint="default" w:ascii="Times New Roman" w:hAnsi="Times New Roman" w:cs="Times New Roman"/>
          <w:b w:val="0"/>
          <w:szCs w:val="32"/>
          <w:highlight w:val="none"/>
        </w:rPr>
        <w:t>四、主要成绩和经验做法</w:t>
      </w:r>
      <w:bookmarkEnd w:id="121"/>
      <w:bookmarkEnd w:id="122"/>
      <w:bookmarkEnd w:id="123"/>
    </w:p>
    <w:p w14:paraId="513A3E0E">
      <w:pPr>
        <w:pStyle w:val="26"/>
        <w:rPr>
          <w:rFonts w:hint="default" w:ascii="Times New Roman" w:hAnsi="Times New Roman" w:cs="Times New Roman"/>
          <w:lang w:val="en-US" w:eastAsia="zh-CN"/>
        </w:rPr>
      </w:pPr>
      <w:bookmarkStart w:id="124" w:name="_Toc23264930"/>
      <w:bookmarkStart w:id="125" w:name="_Toc23266445"/>
      <w:r>
        <w:rPr>
          <w:rFonts w:hint="eastAsia" w:ascii="楷体" w:hAnsi="楷体" w:eastAsia="楷体" w:cs="楷体"/>
          <w:b/>
          <w:bCs/>
          <w:lang w:val="en-US" w:eastAsia="zh-CN"/>
        </w:rPr>
        <w:t>一是健全组织保障机制，夯实脱贫攻坚责任。</w:t>
      </w:r>
      <w:r>
        <w:rPr>
          <w:rFonts w:hint="default" w:ascii="Times New Roman" w:hAnsi="Times New Roman" w:cs="Times New Roman"/>
        </w:rPr>
        <w:t>坚定不移把脱贫攻坚作为头等大事和第一民生工程，严格落实一把手负责制，及时成立脱贫攻坚指挥部，建立工作例会、战令交办、专班推进、督导问责等制度，确保工作落地见效。</w:t>
      </w:r>
      <w:r>
        <w:rPr>
          <w:rFonts w:hint="default" w:ascii="Times New Roman" w:hAnsi="Times New Roman" w:cs="Times New Roman"/>
          <w:lang w:val="en-US" w:eastAsia="zh-CN"/>
        </w:rPr>
        <w:t>严格落实“四不摘”要求，保持现有帮扶政策、资金支持、帮扶力量总体稳定。</w:t>
      </w:r>
      <w:r>
        <w:rPr>
          <w:rFonts w:hint="default" w:ascii="Times New Roman" w:hAnsi="Times New Roman" w:cs="Times New Roman"/>
        </w:rPr>
        <w:t>将脱贫攻坚工作作为乡镇</w:t>
      </w:r>
      <w:r>
        <w:rPr>
          <w:rFonts w:hint="eastAsia" w:ascii="Times New Roman" w:hAnsi="Times New Roman" w:cs="Times New Roman"/>
          <w:lang w:eastAsia="zh-CN"/>
        </w:rPr>
        <w:t>（</w:t>
      </w:r>
      <w:r>
        <w:rPr>
          <w:rFonts w:hint="default" w:ascii="Times New Roman" w:hAnsi="Times New Roman" w:cs="Times New Roman"/>
        </w:rPr>
        <w:t>街道</w:t>
      </w:r>
      <w:r>
        <w:rPr>
          <w:rFonts w:hint="eastAsia" w:ascii="Times New Roman" w:hAnsi="Times New Roman" w:cs="Times New Roman"/>
          <w:lang w:eastAsia="zh-CN"/>
        </w:rPr>
        <w:t>）</w:t>
      </w:r>
      <w:r>
        <w:rPr>
          <w:rFonts w:hint="default" w:ascii="Times New Roman" w:hAnsi="Times New Roman" w:cs="Times New Roman"/>
        </w:rPr>
        <w:t>和县直单位考核的主要指标，细化考核方案，严格考核制度，注重考核结果运用，并积极引导社会各界开展帮扶工作，凝聚起强大攻坚合力。</w:t>
      </w:r>
    </w:p>
    <w:p w14:paraId="4A295230">
      <w:pPr>
        <w:pStyle w:val="26"/>
        <w:rPr>
          <w:rFonts w:hint="default" w:ascii="Times New Roman" w:hAnsi="Times New Roman" w:cs="Times New Roman"/>
          <w:lang w:val="en-US" w:eastAsia="zh-CN"/>
        </w:rPr>
      </w:pPr>
      <w:r>
        <w:rPr>
          <w:rFonts w:hint="eastAsia" w:ascii="楷体" w:hAnsi="楷体" w:eastAsia="楷体" w:cs="楷体"/>
          <w:b/>
          <w:bCs/>
          <w:lang w:val="en-US" w:eastAsia="zh-CN"/>
        </w:rPr>
        <w:t>二是坚持权责匹配分级负责，实施过程分工明确责任落实。</w:t>
      </w:r>
      <w:r>
        <w:rPr>
          <w:rFonts w:hint="default" w:ascii="Times New Roman" w:hAnsi="Times New Roman" w:cs="Times New Roman"/>
          <w:lang w:val="en-US" w:eastAsia="zh-CN"/>
        </w:rPr>
        <w:t>按照《河南省财政厅 河南省审计厅 河南省扶贫开发办公室关于印发〈关于加强扶贫资金监管的意见〉的通知》</w:t>
      </w:r>
      <w:r>
        <w:rPr>
          <w:rFonts w:hint="eastAsia" w:ascii="Times New Roman" w:hAnsi="Times New Roman" w:cs="Times New Roman"/>
          <w:lang w:val="en-US" w:eastAsia="zh-CN"/>
        </w:rPr>
        <w:t>（</w:t>
      </w:r>
      <w:r>
        <w:rPr>
          <w:rFonts w:hint="default" w:ascii="Times New Roman" w:hAnsi="Times New Roman" w:cs="Times New Roman"/>
          <w:lang w:val="en-US" w:eastAsia="zh-CN"/>
        </w:rPr>
        <w:t>豫财农〔2017〕65号</w:t>
      </w:r>
      <w:r>
        <w:rPr>
          <w:rFonts w:hint="eastAsia" w:ascii="Times New Roman" w:hAnsi="Times New Roman" w:cs="Times New Roman"/>
          <w:lang w:val="en-US" w:eastAsia="zh-CN"/>
        </w:rPr>
        <w:t>）要求</w:t>
      </w:r>
      <w:r>
        <w:rPr>
          <w:rFonts w:hint="default" w:ascii="Times New Roman" w:hAnsi="Times New Roman" w:cs="Times New Roman"/>
          <w:lang w:val="en-US" w:eastAsia="zh-CN"/>
        </w:rPr>
        <w:t>，各职能部门立足自身职能，各司其职、各负其责。业务主管部门结合工作实际制定项目实施方案，明确项目建设标准、原材料质量要求、项目建设时间安排、项目资金监管办法、项目建成后移交、监管、维护等相关要求，将组织指导贯穿于项目建设的始终，并依据上级要求，结合项目实施方案，对建设进度进行督导；财政部门负责预算安排，审核资金分配建议方案和下达资金，指导项目管理部门加强资金监管和绩效管理；项目主管部门应会同财政部门对项目实施单位的财务决算进行审核，对未通过验收的项目，需要求项目实施单位限时整改直至通过验收；配合部门全力配合好项目审批、手续办理、招投标、政府采购、实施建设、验收等各环节，确保项目顺利实施和效益发挥；项目主体责任单位对规划项目负有属地管理责任，对项目申报、入库、招标、采购、实施、验收、资金拨付全流程负有主体和监管责任；项目实施单位应严格执行行业规范和建设标准，遵照政府采购和招投标有关规定，对项目及时组织验收和竣工决算，并按规定及时提供报账资料，坚决杜绝虚报、套取、骗取、挪用项目资金的行为。</w:t>
      </w:r>
    </w:p>
    <w:p w14:paraId="7F921D17">
      <w:pPr>
        <w:pStyle w:val="26"/>
        <w:rPr>
          <w:rFonts w:hint="default" w:ascii="Times New Roman" w:hAnsi="Times New Roman" w:cs="Times New Roman"/>
        </w:rPr>
      </w:pPr>
      <w:r>
        <w:rPr>
          <w:rFonts w:hint="eastAsia" w:ascii="楷体" w:hAnsi="楷体" w:eastAsia="楷体" w:cs="楷体"/>
          <w:b/>
          <w:bCs/>
          <w:lang w:val="en-US" w:eastAsia="zh-CN"/>
        </w:rPr>
        <w:t>三是资金投入保障有力，</w:t>
      </w:r>
      <w:r>
        <w:rPr>
          <w:rFonts w:hint="eastAsia" w:ascii="楷体" w:hAnsi="楷体" w:eastAsia="楷体" w:cs="楷体"/>
          <w:b/>
          <w:bCs/>
        </w:rPr>
        <w:t>拓宽增收致富门路</w:t>
      </w:r>
      <w:r>
        <w:rPr>
          <w:rFonts w:hint="eastAsia" w:ascii="楷体" w:hAnsi="楷体" w:eastAsia="楷体" w:cs="楷体"/>
          <w:b/>
          <w:bCs/>
          <w:lang w:eastAsia="zh-CN"/>
        </w:rPr>
        <w:t>。</w:t>
      </w:r>
      <w:r>
        <w:rPr>
          <w:rFonts w:hint="default" w:ascii="Times New Roman" w:hAnsi="Times New Roman" w:cs="Times New Roman"/>
          <w:lang w:val="en-US" w:eastAsia="zh-CN"/>
        </w:rPr>
        <w:t>一方面，县本级预算安排资金有所增加。</w:t>
      </w:r>
      <w:r>
        <w:rPr>
          <w:rFonts w:hint="eastAsia" w:ascii="Times New Roman" w:hAnsi="Times New Roman" w:cs="Times New Roman"/>
          <w:lang w:val="en-US" w:eastAsia="zh-CN"/>
        </w:rPr>
        <w:t>2022年度，县本级预算安排衔接资金5,350万元，高于2021年衔接资金规模5,346.21万元。同时，积极统筹整合资金，扎实推进道路硬化、以工代赈等项目，农村生产生活条件明显改善。</w:t>
      </w:r>
      <w:r>
        <w:rPr>
          <w:rFonts w:hint="default" w:ascii="Times New Roman" w:hAnsi="Times New Roman" w:cs="Times New Roman"/>
          <w:lang w:val="en-US" w:eastAsia="zh-CN"/>
        </w:rPr>
        <w:t>另一方面，用于产业项目资金比例大幅提升。2021年、2022年度中央财政衔接资金用于产业发展比例分别</w:t>
      </w:r>
      <w:r>
        <w:rPr>
          <w:rFonts w:hint="eastAsia" w:ascii="Times New Roman" w:hAnsi="Times New Roman" w:cs="Times New Roman"/>
          <w:lang w:val="en-US" w:eastAsia="zh-CN"/>
        </w:rPr>
        <w:t>超过</w:t>
      </w:r>
      <w:r>
        <w:rPr>
          <w:rFonts w:hint="default" w:ascii="Times New Roman" w:hAnsi="Times New Roman" w:cs="Times New Roman"/>
          <w:lang w:val="en-US" w:eastAsia="zh-CN"/>
        </w:rPr>
        <w:t>50%、55%，且2022年中央财政衔接资金用于产业发展比例高于2021年。2022年度共安排中央财政衔接资金8</w:t>
      </w:r>
      <w:r>
        <w:rPr>
          <w:rFonts w:hint="eastAsia" w:ascii="Times New Roman" w:hAnsi="Times New Roman" w:cs="Times New Roman"/>
          <w:lang w:val="en-US" w:eastAsia="zh-CN"/>
        </w:rPr>
        <w:t>,</w:t>
      </w:r>
      <w:r>
        <w:rPr>
          <w:rFonts w:hint="default" w:ascii="Times New Roman" w:hAnsi="Times New Roman" w:cs="Times New Roman"/>
          <w:lang w:val="en-US" w:eastAsia="zh-CN"/>
        </w:rPr>
        <w:t>620万元，其中用于产业发展资金规模7</w:t>
      </w:r>
      <w:r>
        <w:rPr>
          <w:rFonts w:hint="eastAsia" w:ascii="Times New Roman" w:hAnsi="Times New Roman" w:cs="Times New Roman"/>
          <w:lang w:val="en-US" w:eastAsia="zh-CN"/>
        </w:rPr>
        <w:t>,</w:t>
      </w:r>
      <w:r>
        <w:rPr>
          <w:rFonts w:hint="default" w:ascii="Times New Roman" w:hAnsi="Times New Roman" w:cs="Times New Roman"/>
          <w:lang w:val="en-US" w:eastAsia="zh-CN"/>
        </w:rPr>
        <w:t>916.47万元，占比91.84%。中央、省、市、县四级财政衔接资金合计用于产业发展比例</w:t>
      </w:r>
      <w:r>
        <w:rPr>
          <w:rFonts w:hint="eastAsia" w:ascii="Times New Roman" w:hAnsi="Times New Roman" w:cs="Times New Roman"/>
          <w:lang w:val="en-US" w:eastAsia="zh-CN"/>
        </w:rPr>
        <w:t>达到</w:t>
      </w:r>
      <w:r>
        <w:rPr>
          <w:rFonts w:hint="default" w:ascii="Times New Roman" w:hAnsi="Times New Roman" w:cs="Times New Roman"/>
          <w:lang w:val="en-US" w:eastAsia="zh-CN"/>
        </w:rPr>
        <w:t>61.45%，高于上年</w:t>
      </w:r>
      <w:r>
        <w:rPr>
          <w:rFonts w:hint="eastAsia" w:ascii="Times New Roman" w:hAnsi="Times New Roman" w:cs="Times New Roman"/>
          <w:lang w:val="en-US" w:eastAsia="zh-CN"/>
        </w:rPr>
        <w:t>产业资金占比</w:t>
      </w:r>
      <w:r>
        <w:rPr>
          <w:rFonts w:hint="default" w:ascii="Times New Roman" w:hAnsi="Times New Roman" w:cs="Times New Roman"/>
          <w:lang w:val="en-US" w:eastAsia="zh-CN"/>
        </w:rPr>
        <w:t>56.54%。始终将产业作为发展之基、增收之源，多方施策，精准对接，不断增强内生动力，拓宽就业渠道，确保</w:t>
      </w:r>
      <w:r>
        <w:rPr>
          <w:rFonts w:hint="eastAsia" w:ascii="Times New Roman" w:hAnsi="Times New Roman" w:cs="Times New Roman"/>
          <w:lang w:val="en-US" w:eastAsia="zh-CN"/>
        </w:rPr>
        <w:t>脱贫户</w:t>
      </w:r>
      <w:r>
        <w:rPr>
          <w:rFonts w:hint="default" w:ascii="Times New Roman" w:hAnsi="Times New Roman" w:cs="Times New Roman"/>
          <w:lang w:val="en-US" w:eastAsia="zh-CN"/>
        </w:rPr>
        <w:t>持续增收。</w:t>
      </w:r>
    </w:p>
    <w:bookmarkEnd w:id="124"/>
    <w:bookmarkEnd w:id="125"/>
    <w:p w14:paraId="5335F661">
      <w:pPr>
        <w:pStyle w:val="3"/>
        <w:numPr>
          <w:ilvl w:val="0"/>
          <w:numId w:val="3"/>
        </w:numPr>
        <w:ind w:firstLine="640"/>
        <w:rPr>
          <w:rFonts w:hint="default" w:ascii="Times New Roman" w:hAnsi="Times New Roman" w:cs="Times New Roman"/>
          <w:b w:val="0"/>
          <w:szCs w:val="32"/>
        </w:rPr>
      </w:pPr>
      <w:bookmarkStart w:id="126" w:name="_Toc26119"/>
      <w:bookmarkStart w:id="127" w:name="_Toc23266446"/>
      <w:bookmarkStart w:id="128" w:name="_Toc23264934"/>
      <w:r>
        <w:rPr>
          <w:rFonts w:hint="default" w:ascii="Times New Roman" w:hAnsi="Times New Roman" w:cs="Times New Roman"/>
          <w:b w:val="0"/>
          <w:szCs w:val="32"/>
        </w:rPr>
        <w:t>存在的主要问题</w:t>
      </w:r>
      <w:bookmarkEnd w:id="126"/>
    </w:p>
    <w:p w14:paraId="68A4106C">
      <w:pPr>
        <w:pStyle w:val="26"/>
        <w:rPr>
          <w:rFonts w:hint="default"/>
          <w:highlight w:val="none"/>
          <w:lang w:val="en-US" w:eastAsia="zh-CN"/>
        </w:rPr>
      </w:pPr>
      <w:r>
        <w:rPr>
          <w:rFonts w:hint="eastAsia" w:ascii="楷体" w:hAnsi="楷体" w:eastAsia="楷体" w:cs="楷体"/>
          <w:b/>
          <w:bCs/>
          <w:highlight w:val="none"/>
          <w:lang w:val="en-US" w:eastAsia="zh-CN"/>
        </w:rPr>
        <w:t>一是部分项目入库描述不够科学、规范。</w:t>
      </w:r>
      <w:r>
        <w:rPr>
          <w:rFonts w:hint="eastAsia"/>
          <w:highlight w:val="none"/>
          <w:lang w:val="en-US" w:eastAsia="zh-CN"/>
        </w:rPr>
        <w:t>各入库项目内容完整，包括项目名称、项目类型、建设性质、实施地点、时间进度等。但部分入库项目利益链接机制描述不完善。例如，2022年滑县“雨露计划”职业教育助学补助、县雨露计划短期技能培训补助2个项目帮扶机制仅提到“通过对就读全日制中职、高职的享受政策的脱贫家庭（含监测帮扶对象家庭）学生进行补助，引导和鼓励农村脱贫享受政策家庭（含监测帮扶对象家庭）新生劳动力接受中、高等职业教育，提高就业技能水平和综合素质”“带动就业、解决增收问题”，未明确具体带动的就业人数，以及受益群体预计增收情况，难以进行有效衡量。</w:t>
      </w:r>
    </w:p>
    <w:p w14:paraId="2D610032">
      <w:pPr>
        <w:pStyle w:val="26"/>
        <w:rPr>
          <w:rFonts w:hint="default"/>
          <w:highlight w:val="none"/>
          <w:lang w:val="en-US" w:eastAsia="zh-CN"/>
        </w:rPr>
      </w:pPr>
      <w:r>
        <w:rPr>
          <w:rFonts w:hint="eastAsia" w:ascii="楷体" w:hAnsi="楷体" w:eastAsia="楷体" w:cs="楷体"/>
          <w:b/>
          <w:bCs/>
          <w:highlight w:val="none"/>
          <w:lang w:val="en-US" w:eastAsia="zh-CN"/>
        </w:rPr>
        <w:t>二是部分项目资金支付进度缓慢。</w:t>
      </w:r>
      <w:r>
        <w:rPr>
          <w:rFonts w:hint="eastAsia"/>
          <w:highlight w:val="none"/>
          <w:lang w:val="en-US" w:eastAsia="zh-CN"/>
        </w:rPr>
        <w:t>截至2022年11月底，此次抽查的部分项目预算执行率尚未达到80%。例如，八里营镇谢寨村、四间房镇唐尓庄村高标准农田机井及配套项目资金支付进度均为60%、八里营镇李冢上村道路硬化项目预算执行率为70%，资金支付进度有待提高。</w:t>
      </w:r>
    </w:p>
    <w:p w14:paraId="5BE25926">
      <w:pPr>
        <w:pStyle w:val="26"/>
        <w:rPr>
          <w:rFonts w:hint="eastAsia"/>
          <w:color w:val="auto"/>
          <w:highlight w:val="none"/>
          <w:lang w:val="en-US" w:eastAsia="zh-CN"/>
        </w:rPr>
      </w:pPr>
      <w:r>
        <w:rPr>
          <w:rFonts w:hint="eastAsia" w:ascii="楷体" w:hAnsi="楷体" w:eastAsia="楷体" w:cs="楷体"/>
          <w:b/>
          <w:bCs/>
          <w:highlight w:val="none"/>
          <w:lang w:val="en-US" w:eastAsia="zh-CN"/>
        </w:rPr>
        <w:t>三是部分项目效益发挥时效性不足。</w:t>
      </w:r>
      <w:r>
        <w:rPr>
          <w:rFonts w:hint="eastAsia"/>
          <w:color w:val="auto"/>
          <w:highlight w:val="none"/>
          <w:lang w:val="en-US" w:eastAsia="zh-CN"/>
        </w:rPr>
        <w:t>截至2022年11月底，个别产业项目因前期手续较多，导致现阶段运营协议未及时签订。</w:t>
      </w:r>
    </w:p>
    <w:p w14:paraId="1A2D0F2F">
      <w:pPr>
        <w:pStyle w:val="3"/>
        <w:numPr>
          <w:ilvl w:val="0"/>
          <w:numId w:val="3"/>
        </w:numPr>
        <w:ind w:firstLine="640"/>
        <w:rPr>
          <w:rFonts w:hint="default" w:ascii="Times New Roman" w:hAnsi="Times New Roman" w:cs="Times New Roman"/>
          <w:b w:val="0"/>
          <w:szCs w:val="32"/>
          <w:highlight w:val="none"/>
        </w:rPr>
      </w:pPr>
      <w:bookmarkStart w:id="129" w:name="_Toc10108"/>
      <w:r>
        <w:rPr>
          <w:rFonts w:hint="default" w:ascii="Times New Roman" w:hAnsi="Times New Roman" w:cs="Times New Roman"/>
          <w:b w:val="0"/>
          <w:szCs w:val="32"/>
          <w:highlight w:val="none"/>
        </w:rPr>
        <w:t>有关建议</w:t>
      </w:r>
      <w:bookmarkEnd w:id="127"/>
      <w:bookmarkEnd w:id="128"/>
      <w:bookmarkEnd w:id="129"/>
    </w:p>
    <w:p w14:paraId="42E4B4EA">
      <w:pPr>
        <w:pStyle w:val="26"/>
        <w:rPr>
          <w:rFonts w:hint="default"/>
          <w:highlight w:val="none"/>
          <w:lang w:val="en-US" w:eastAsia="zh-CN"/>
        </w:rPr>
      </w:pPr>
      <w:r>
        <w:rPr>
          <w:rFonts w:hint="eastAsia" w:ascii="楷体" w:hAnsi="楷体" w:eastAsia="楷体" w:cs="楷体"/>
          <w:b/>
          <w:bCs/>
          <w:highlight w:val="none"/>
          <w:lang w:val="en-US" w:eastAsia="zh-CN"/>
        </w:rPr>
        <w:t>一是明确项目绩效目标与联农带农机制，确保入库项目规范合理。</w:t>
      </w:r>
      <w:r>
        <w:rPr>
          <w:rFonts w:hint="eastAsia"/>
          <w:highlight w:val="none"/>
          <w:lang w:val="en-US" w:eastAsia="zh-CN"/>
        </w:rPr>
        <w:t>建议后续入库项目能够进一步明确利益链接及帮扶机制，明确联农带农的具体措施、工作方式，以及预期效果，定性描述与定量考核相结合，确保项目目标清晰明确、可衡量。便于在绩效运行监控、自评阶段充分考察项目建设完成情况，发现不足，优化提升。</w:t>
      </w:r>
    </w:p>
    <w:p w14:paraId="289E7AE9">
      <w:pPr>
        <w:pStyle w:val="26"/>
        <w:rPr>
          <w:highlight w:val="none"/>
        </w:rPr>
      </w:pPr>
      <w:r>
        <w:rPr>
          <w:rFonts w:hint="eastAsia" w:ascii="楷体" w:hAnsi="楷体" w:eastAsia="楷体" w:cs="楷体"/>
          <w:b/>
          <w:bCs/>
          <w:highlight w:val="none"/>
          <w:lang w:val="en-US" w:eastAsia="zh-CN"/>
        </w:rPr>
        <w:t>二是加强项目储备与过程管理，合理规划财政资金支出进度。</w:t>
      </w:r>
      <w:r>
        <w:rPr>
          <w:rFonts w:hint="eastAsia"/>
          <w:highlight w:val="none"/>
        </w:rPr>
        <w:t>建议各项目单位</w:t>
      </w:r>
      <w:r>
        <w:rPr>
          <w:rFonts w:hint="eastAsia"/>
          <w:highlight w:val="none"/>
          <w:lang w:val="en-US" w:eastAsia="zh-CN"/>
        </w:rPr>
        <w:t>加强项目储备</w:t>
      </w:r>
      <w:r>
        <w:rPr>
          <w:rFonts w:hint="eastAsia"/>
          <w:highlight w:val="none"/>
        </w:rPr>
        <w:t>，充分考虑工程建设、设备购置等相关工作的规律性、成果产出的周期性等其他影响因素，明确各项建设任务完成时间节点，合理规划财政资金支出进度，积极妥善解决项目执行中的困难与问题，推动项目按计划进行，提高财政资金使用效率，降低财政资金沉淀的风险。</w:t>
      </w:r>
    </w:p>
    <w:p w14:paraId="165724FD">
      <w:pPr>
        <w:pStyle w:val="26"/>
        <w:rPr>
          <w:rFonts w:hint="default"/>
          <w:highlight w:val="none"/>
          <w:lang w:val="en-US" w:eastAsia="zh-CN"/>
        </w:rPr>
      </w:pPr>
      <w:r>
        <w:rPr>
          <w:rFonts w:hint="eastAsia" w:ascii="楷体" w:hAnsi="楷体" w:eastAsia="楷体" w:cs="楷体"/>
          <w:b/>
          <w:bCs/>
          <w:highlight w:val="none"/>
          <w:lang w:val="en-US" w:eastAsia="zh-CN"/>
        </w:rPr>
        <w:t>三是加强项目前期调研和论证，确保及早发挥应有效益。</w:t>
      </w:r>
      <w:r>
        <w:rPr>
          <w:rFonts w:hint="eastAsia"/>
          <w:highlight w:val="none"/>
          <w:lang w:val="en-US" w:eastAsia="zh-CN"/>
        </w:rPr>
        <w:t>建议产业类项目合理规划项目进度，提前对接运营单位等相关主体，签订运营协议，保障项目预期收益。</w:t>
      </w:r>
      <w:r>
        <w:rPr>
          <w:rFonts w:hint="eastAsia"/>
          <w:highlight w:val="none"/>
        </w:rPr>
        <w:t>此外，可根据阶段性目标要求，将建设目标合理分解至各项工作安排中，执行完善、系统、明确的建设实施方案，指导各项建设工作顺利开展。</w:t>
      </w:r>
    </w:p>
    <w:p w14:paraId="49186016">
      <w:pPr>
        <w:pStyle w:val="3"/>
        <w:numPr>
          <w:ilvl w:val="0"/>
          <w:numId w:val="3"/>
        </w:numPr>
        <w:rPr>
          <w:rFonts w:hint="default"/>
          <w:lang w:val="en-US" w:eastAsia="zh-CN"/>
        </w:rPr>
      </w:pPr>
      <w:bookmarkStart w:id="130" w:name="_Toc12751"/>
      <w:r>
        <w:rPr>
          <w:rFonts w:hint="default"/>
          <w:lang w:val="en-US" w:eastAsia="zh-CN"/>
        </w:rPr>
        <w:t>绩效评价结果应用建议</w:t>
      </w:r>
      <w:bookmarkEnd w:id="130"/>
    </w:p>
    <w:p w14:paraId="3E51A321">
      <w:pPr>
        <w:pStyle w:val="4"/>
        <w:rPr>
          <w:rFonts w:hint="default"/>
          <w:lang w:val="en-US" w:eastAsia="zh-CN"/>
        </w:rPr>
      </w:pPr>
      <w:bookmarkStart w:id="131" w:name="_Toc31024"/>
      <w:r>
        <w:rPr>
          <w:rFonts w:hint="eastAsia"/>
          <w:lang w:val="en-US" w:eastAsia="zh-CN"/>
        </w:rPr>
        <w:t>（一）</w:t>
      </w:r>
      <w:r>
        <w:rPr>
          <w:rFonts w:hint="default"/>
          <w:lang w:val="en-US" w:eastAsia="zh-CN"/>
        </w:rPr>
        <w:t>结果反馈与整改</w:t>
      </w:r>
      <w:bookmarkEnd w:id="131"/>
    </w:p>
    <w:p w14:paraId="659C543D">
      <w:pPr>
        <w:pStyle w:val="26"/>
        <w:rPr>
          <w:rFonts w:hint="default"/>
          <w:lang w:val="en-US" w:eastAsia="zh-CN"/>
        </w:rPr>
      </w:pPr>
      <w:r>
        <w:rPr>
          <w:rFonts w:hint="default"/>
          <w:lang w:val="en-US" w:eastAsia="zh-CN"/>
        </w:rPr>
        <w:t>1.县财政局在评价结果确定后，将评价结论、存在问题、意见建议和整改要求反馈给预算部门。被评价部门（单位）根据评价结论及整改要求，制定整改措施。绩效评价反馈问题的整改工作要以问题和结果为导向，全面核查预算编制、预算执行、预算监督各个环节存在的问题，逐条明确整改完善目标、措施、时限、责任单位或责任人等，确保评价建议有回应、反馈问题有整改、评价结果有应用。</w:t>
      </w:r>
    </w:p>
    <w:p w14:paraId="6BD93843">
      <w:pPr>
        <w:pStyle w:val="26"/>
        <w:rPr>
          <w:rFonts w:hint="default"/>
          <w:lang w:val="en-US" w:eastAsia="zh-CN"/>
        </w:rPr>
      </w:pPr>
      <w:r>
        <w:rPr>
          <w:rFonts w:hint="eastAsia"/>
          <w:lang w:val="en-US" w:eastAsia="zh-CN"/>
        </w:rPr>
        <w:t>2</w:t>
      </w:r>
      <w:r>
        <w:rPr>
          <w:rFonts w:hint="default"/>
          <w:lang w:val="en-US" w:eastAsia="zh-CN"/>
        </w:rPr>
        <w:t>.</w:t>
      </w:r>
      <w:r>
        <w:rPr>
          <w:rFonts w:hint="eastAsia"/>
          <w:lang w:val="en-US" w:eastAsia="zh-CN"/>
        </w:rPr>
        <w:t>预算</w:t>
      </w:r>
      <w:r>
        <w:rPr>
          <w:rFonts w:hint="default"/>
          <w:lang w:val="en-US" w:eastAsia="zh-CN"/>
        </w:rPr>
        <w:t>部门（单位）应组织整改责任单位按照整改要求进行分类整改。</w:t>
      </w:r>
    </w:p>
    <w:p w14:paraId="14BBC239">
      <w:pPr>
        <w:pStyle w:val="26"/>
        <w:rPr>
          <w:rFonts w:hint="default"/>
          <w:lang w:val="en-US" w:eastAsia="zh-CN"/>
        </w:rPr>
      </w:pPr>
      <w:r>
        <w:rPr>
          <w:rFonts w:hint="default"/>
          <w:lang w:val="en-US" w:eastAsia="zh-CN"/>
        </w:rPr>
        <w:t>（1）对项目决策不科学、不合理的问题，应建立科学的决策机制、依靠科学的分析手段、运用科学的决策方法等，确保决策的正确性和可靠性。</w:t>
      </w:r>
    </w:p>
    <w:p w14:paraId="3D457E22">
      <w:pPr>
        <w:pStyle w:val="26"/>
        <w:rPr>
          <w:rFonts w:hint="default"/>
          <w:lang w:val="en-US" w:eastAsia="zh-CN"/>
        </w:rPr>
      </w:pPr>
      <w:r>
        <w:rPr>
          <w:rFonts w:hint="default"/>
          <w:lang w:val="en-US" w:eastAsia="zh-CN"/>
        </w:rPr>
        <w:t>（2）对管理制度不健全的问题，应全链条梳理政策，深入基层开展调研，细化政策内容，健全完善管理制度，提升政策精准度，优化政策执行效果。</w:t>
      </w:r>
    </w:p>
    <w:p w14:paraId="6B0C3D0B">
      <w:pPr>
        <w:pStyle w:val="26"/>
        <w:rPr>
          <w:rFonts w:hint="default"/>
          <w:lang w:val="en-US" w:eastAsia="zh-CN"/>
        </w:rPr>
      </w:pPr>
      <w:r>
        <w:rPr>
          <w:rFonts w:hint="default"/>
          <w:lang w:val="en-US" w:eastAsia="zh-CN"/>
        </w:rPr>
        <w:t>（3）对资金管理中分配依据不充分、标准不科学、内容不匹配、机制不健全、绩效目标设置不合理等问题，应进一步明确完善分配标准和分配机制，细化绩效目标与指标值，规范资金投入管理，有效堵塞管理漏洞。对资金拨付进度较慢、预算执行进度滞后，资金使用不规范等问题，应加快资金拨付进度，做好结转结余资金的统筹规划，增强资金监督检查力度，确保专项资金使用合规。</w:t>
      </w:r>
    </w:p>
    <w:p w14:paraId="30727683">
      <w:pPr>
        <w:pStyle w:val="26"/>
        <w:rPr>
          <w:rFonts w:hint="default"/>
          <w:lang w:val="en-US" w:eastAsia="zh-CN"/>
        </w:rPr>
      </w:pPr>
      <w:r>
        <w:rPr>
          <w:rFonts w:hint="default"/>
          <w:lang w:val="en-US" w:eastAsia="zh-CN"/>
        </w:rPr>
        <w:t>（</w:t>
      </w:r>
      <w:r>
        <w:rPr>
          <w:rFonts w:hint="eastAsia"/>
          <w:lang w:val="en-US" w:eastAsia="zh-CN"/>
        </w:rPr>
        <w:t>4</w:t>
      </w:r>
      <w:r>
        <w:rPr>
          <w:rFonts w:hint="default"/>
          <w:lang w:val="en-US" w:eastAsia="zh-CN"/>
        </w:rPr>
        <w:t>）对其他影响资金使用绩效的问题，如项目产出未达到预计情况、项目效益未有效发挥、服务对象满意度较低等，应深入分析原因，有针对性地采取改进措施，提高资金使用绩效。</w:t>
      </w:r>
    </w:p>
    <w:p w14:paraId="5A8495B9">
      <w:pPr>
        <w:pStyle w:val="4"/>
        <w:rPr>
          <w:rFonts w:hint="default"/>
          <w:lang w:val="en-US" w:eastAsia="zh-CN"/>
        </w:rPr>
      </w:pPr>
      <w:bookmarkStart w:id="132" w:name="_Toc14510"/>
      <w:r>
        <w:rPr>
          <w:rFonts w:hint="eastAsia"/>
          <w:lang w:val="en-US" w:eastAsia="zh-CN"/>
        </w:rPr>
        <w:t>（二）</w:t>
      </w:r>
      <w:r>
        <w:rPr>
          <w:rFonts w:hint="default"/>
          <w:lang w:val="en-US" w:eastAsia="zh-CN"/>
        </w:rPr>
        <w:t>报告与公开</w:t>
      </w:r>
      <w:bookmarkEnd w:id="132"/>
    </w:p>
    <w:p w14:paraId="642C673B">
      <w:pPr>
        <w:pStyle w:val="26"/>
        <w:rPr>
          <w:rFonts w:hint="default"/>
        </w:rPr>
      </w:pPr>
      <w:r>
        <w:rPr>
          <w:rFonts w:hint="default"/>
        </w:rPr>
        <w:t>绩效评价结果应当按照“谁评价、谁公开”的原则，除涉密内容外，绩效评价结果应按照政府信息公开有关规定，随同年度决算向社会公开，同时公开预算绩效目标管理、绩效监控、绩效评价工作开展情况，自觉接受社会各界监督。绩效评价报告纳入依申请公开文件目录。</w:t>
      </w:r>
    </w:p>
    <w:p w14:paraId="7EB1A245">
      <w:pPr>
        <w:pStyle w:val="4"/>
        <w:rPr>
          <w:rFonts w:hint="default"/>
          <w:lang w:val="en-US" w:eastAsia="zh-CN"/>
        </w:rPr>
      </w:pPr>
      <w:bookmarkStart w:id="133" w:name="_Toc8003"/>
      <w:r>
        <w:rPr>
          <w:rFonts w:hint="eastAsia"/>
          <w:lang w:val="zh-CN" w:eastAsia="zh-CN"/>
        </w:rPr>
        <w:t>（</w:t>
      </w:r>
      <w:r>
        <w:rPr>
          <w:rFonts w:hint="eastAsia"/>
          <w:lang w:val="en-US" w:eastAsia="zh-CN"/>
        </w:rPr>
        <w:t>三</w:t>
      </w:r>
      <w:r>
        <w:rPr>
          <w:rFonts w:hint="eastAsia"/>
          <w:lang w:val="zh-CN" w:eastAsia="zh-CN"/>
        </w:rPr>
        <w:t>）</w:t>
      </w:r>
      <w:r>
        <w:rPr>
          <w:rFonts w:hint="eastAsia"/>
          <w:lang w:val="en-US" w:eastAsia="zh-CN"/>
        </w:rPr>
        <w:t>与预算安排相挂钩</w:t>
      </w:r>
      <w:bookmarkEnd w:id="133"/>
    </w:p>
    <w:p w14:paraId="5C8AEBEA">
      <w:pPr>
        <w:pStyle w:val="26"/>
        <w:rPr>
          <w:rFonts w:hint="eastAsia"/>
          <w:lang w:val="zh-CN" w:eastAsia="zh-CN"/>
        </w:rPr>
      </w:pPr>
      <w:r>
        <w:rPr>
          <w:rFonts w:hint="eastAsia"/>
          <w:lang w:val="en-US" w:eastAsia="zh-CN"/>
        </w:rPr>
        <w:t>1.</w:t>
      </w:r>
      <w:r>
        <w:rPr>
          <w:rFonts w:hint="eastAsia"/>
          <w:lang w:val="zh-CN" w:eastAsia="zh-CN"/>
        </w:rPr>
        <w:t>县财政局和预算部门（单位）应充分运用绩效评价提出的相关政策调整建议，包括健全和完善相关政策制度，优化预算支出结构，开展项目整合，调整资金使用方向，调整资金分配依据等。</w:t>
      </w:r>
    </w:p>
    <w:p w14:paraId="4AF32EB9">
      <w:pPr>
        <w:pStyle w:val="26"/>
        <w:rPr>
          <w:rFonts w:hint="default" w:ascii="Times New Roman" w:hAnsi="Times New Roman" w:eastAsia="黑体" w:cs="Times New Roman"/>
          <w:b w:val="0"/>
          <w:bCs w:val="0"/>
          <w:kern w:val="44"/>
          <w:szCs w:val="44"/>
          <w:lang w:val="en-US" w:eastAsia="zh-CN" w:bidi="ar-SA"/>
        </w:rPr>
      </w:pPr>
      <w:r>
        <w:rPr>
          <w:rFonts w:hint="eastAsia"/>
          <w:lang w:val="en-US" w:eastAsia="zh-CN"/>
        </w:rPr>
        <w:t>2.</w:t>
      </w:r>
      <w:r>
        <w:rPr>
          <w:rFonts w:hint="eastAsia"/>
          <w:lang w:val="zh-CN" w:eastAsia="zh-CN"/>
        </w:rPr>
        <w:t>县财政局和预算部门（单位）应建立健全绩效评价结果与预算安排和政策调整挂钩机制，将绩效评价结果作为资金是否列入年度预算或支出项目库、进行预算调整、安排以后年度预算编制的重要依据。根据绩效评价结果评分或评级，在下年度预算安排时分别给予重点支持、优先保障、减少资金或整合项目、取消安排等处理。</w:t>
      </w:r>
      <w:r>
        <w:rPr>
          <w:rFonts w:hint="default"/>
          <w:lang w:val="zh-CN" w:eastAsia="zh-CN"/>
        </w:rPr>
        <w:t> </w:t>
      </w:r>
      <w:r>
        <w:rPr>
          <w:rFonts w:hint="default" w:ascii="Times New Roman" w:hAnsi="Times New Roman" w:eastAsia="仿宋_GB2312" w:cs="Times New Roman"/>
          <w:kern w:val="2"/>
          <w:szCs w:val="32"/>
          <w:lang w:val="zh-CN" w:eastAsia="zh-CN" w:bidi="zh-CN"/>
        </w:rPr>
        <w:t> </w:t>
      </w:r>
    </w:p>
    <w:p w14:paraId="64DB9878">
      <w:pPr>
        <w:pStyle w:val="26"/>
        <w:tabs>
          <w:tab w:val="left" w:pos="6948"/>
        </w:tabs>
        <w:spacing w:before="120" w:after="60"/>
        <w:rPr>
          <w:rFonts w:hint="default" w:ascii="Times New Roman" w:hAnsi="Times New Roman" w:eastAsia="黑体" w:cs="Times New Roman"/>
          <w:b w:val="0"/>
          <w:bCs w:val="0"/>
          <w:kern w:val="44"/>
          <w:sz w:val="32"/>
          <w:szCs w:val="44"/>
          <w:lang w:val="en-US" w:eastAsia="zh-CN" w:bidi="ar-SA"/>
        </w:rPr>
      </w:pPr>
      <w:bookmarkStart w:id="134" w:name="_Toc23264937"/>
      <w:bookmarkStart w:id="135" w:name="_Toc23266449"/>
      <w:r>
        <w:rPr>
          <w:rFonts w:hint="default" w:ascii="Times New Roman" w:hAnsi="Times New Roman" w:eastAsia="黑体" w:cs="Times New Roman"/>
          <w:b w:val="0"/>
          <w:bCs w:val="0"/>
          <w:kern w:val="44"/>
          <w:sz w:val="32"/>
          <w:szCs w:val="44"/>
          <w:lang w:val="en-US" w:eastAsia="zh-CN" w:bidi="ar-SA"/>
        </w:rPr>
        <w:t>八、其他需要说明的问题</w:t>
      </w:r>
      <w:bookmarkEnd w:id="134"/>
      <w:bookmarkEnd w:id="135"/>
    </w:p>
    <w:p w14:paraId="03FA0399">
      <w:pPr>
        <w:pStyle w:val="26"/>
        <w:tabs>
          <w:tab w:val="left" w:pos="6948"/>
        </w:tabs>
        <w:spacing w:before="120" w:after="60"/>
        <w:rPr>
          <w:rFonts w:hint="default" w:ascii="Times New Roman" w:hAnsi="Times New Roman" w:cs="Times New Roman"/>
          <w:lang w:val="en-US" w:eastAsia="zh-CN"/>
        </w:rPr>
      </w:pPr>
      <w:r>
        <w:rPr>
          <w:rFonts w:hint="default" w:ascii="Times New Roman" w:hAnsi="Times New Roman" w:cs="Times New Roman"/>
          <w:lang w:val="en-US" w:eastAsia="zh-CN"/>
        </w:rPr>
        <w:t>无</w:t>
      </w:r>
    </w:p>
    <w:p w14:paraId="484E212D">
      <w:pPr>
        <w:rPr>
          <w:rFonts w:hint="default" w:ascii="Times New Roman" w:hAnsi="Times New Roman" w:cs="Times New Roman"/>
          <w:lang w:val="en-US" w:eastAsia="zh-CN"/>
        </w:rPr>
      </w:pPr>
    </w:p>
    <w:p w14:paraId="0A9B57AF">
      <w:pPr>
        <w:pStyle w:val="26"/>
        <w:tabs>
          <w:tab w:val="left" w:pos="6948"/>
        </w:tabs>
        <w:spacing w:before="120" w:after="60"/>
        <w:rPr>
          <w:rFonts w:hint="eastAsia" w:ascii="Times New Roman" w:hAnsi="Times New Roman" w:cs="Times New Roman"/>
          <w:lang w:val="en-US" w:eastAsia="zh-CN"/>
        </w:rPr>
      </w:pPr>
    </w:p>
    <w:p w14:paraId="1D39C70F">
      <w:pPr>
        <w:pStyle w:val="26"/>
        <w:tabs>
          <w:tab w:val="left" w:pos="6948"/>
        </w:tabs>
        <w:spacing w:before="120" w:after="60"/>
        <w:rPr>
          <w:rFonts w:hint="default" w:ascii="Times New Roman" w:hAnsi="Times New Roman" w:cs="Times New Roman"/>
          <w:lang w:val="en-US" w:eastAsia="zh-CN"/>
        </w:rPr>
      </w:pPr>
      <w:r>
        <w:rPr>
          <w:rFonts w:hint="eastAsia" w:ascii="Times New Roman" w:hAnsi="Times New Roman" w:cs="Times New Roman"/>
          <w:lang w:val="en-US" w:eastAsia="zh-CN"/>
        </w:rPr>
        <w:t>附件 绩效评价指标体系综合评分表</w:t>
      </w:r>
    </w:p>
    <w:p w14:paraId="0BABD0FF">
      <w:pPr>
        <w:rPr>
          <w:rFonts w:hint="default" w:ascii="Times New Roman" w:hAnsi="Times New Roman" w:cs="Times New Roman"/>
          <w:lang w:val="en-US" w:eastAsia="zh-CN"/>
        </w:rPr>
      </w:pPr>
    </w:p>
    <w:p w14:paraId="41FD93F8">
      <w:pPr>
        <w:tabs>
          <w:tab w:val="left" w:pos="1020"/>
        </w:tabs>
        <w:rPr>
          <w:rFonts w:hint="default" w:ascii="Times New Roman" w:hAnsi="Times New Roman" w:cs="Times New Roman"/>
          <w:lang w:val="en-US" w:eastAsia="zh-CN"/>
        </w:rPr>
      </w:pPr>
      <w:r>
        <w:rPr>
          <w:rFonts w:hint="default" w:ascii="Times New Roman" w:hAnsi="Times New Roman" w:cs="Times New Roman"/>
          <w:lang w:val="en-US" w:eastAsia="zh-CN"/>
        </w:rPr>
        <w:tab/>
      </w:r>
      <w:bookmarkStart w:id="136" w:name="_Toc14958636"/>
      <w:bookmarkStart w:id="137" w:name="_Toc23266450"/>
      <w:bookmarkStart w:id="138" w:name="_Toc23264938"/>
    </w:p>
    <w:p w14:paraId="51EFD341">
      <w:pPr>
        <w:pStyle w:val="2"/>
        <w:rPr>
          <w:rFonts w:hint="default" w:ascii="Times New Roman" w:hAnsi="Times New Roman" w:cs="Times New Roman"/>
          <w:lang w:val="en-US" w:eastAsia="zh-CN"/>
        </w:rPr>
      </w:pPr>
    </w:p>
    <w:p w14:paraId="776F51CD">
      <w:pPr>
        <w:pStyle w:val="2"/>
        <w:rPr>
          <w:rFonts w:hint="default" w:ascii="Times New Roman" w:hAnsi="Times New Roman" w:cs="Times New Roman"/>
          <w:lang w:val="en-US" w:eastAsia="zh-CN"/>
        </w:rPr>
      </w:pPr>
    </w:p>
    <w:p w14:paraId="626E136B">
      <w:pPr>
        <w:pStyle w:val="2"/>
        <w:rPr>
          <w:rFonts w:hint="default" w:ascii="Times New Roman" w:hAnsi="Times New Roman" w:cs="Times New Roman"/>
          <w:lang w:val="en-US" w:eastAsia="zh-CN"/>
        </w:rPr>
      </w:pPr>
    </w:p>
    <w:p w14:paraId="4A9D8224">
      <w:pPr>
        <w:pStyle w:val="2"/>
        <w:ind w:firstLine="2880" w:firstLineChars="9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主评人：</w:t>
      </w:r>
    </w:p>
    <w:p w14:paraId="3BF6F831">
      <w:pPr>
        <w:pStyle w:val="2"/>
        <w:jc w:val="righ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项目组成员：黄龙龙、刘淅璞、张美崇</w:t>
      </w:r>
    </w:p>
    <w:p w14:paraId="276659CA">
      <w:pPr>
        <w:pStyle w:val="2"/>
        <w:jc w:val="right"/>
        <w:rPr>
          <w:rFonts w:hint="eastAsia" w:ascii="Times New Roman" w:hAnsi="Times New Roman" w:eastAsia="仿宋_GB2312" w:cs="Times New Roman"/>
          <w:kern w:val="2"/>
          <w:sz w:val="32"/>
          <w:szCs w:val="32"/>
          <w:lang w:val="en-US" w:eastAsia="zh-CN" w:bidi="ar-SA"/>
        </w:rPr>
      </w:pPr>
    </w:p>
    <w:p w14:paraId="36021885">
      <w:pPr>
        <w:pStyle w:val="2"/>
        <w:jc w:val="righ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安策绩效大数据有限公司</w:t>
      </w:r>
    </w:p>
    <w:p w14:paraId="516F3D33">
      <w:pPr>
        <w:pStyle w:val="2"/>
        <w:jc w:val="righ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2022年12月</w:t>
      </w:r>
    </w:p>
    <w:p w14:paraId="019B43CD">
      <w:pPr>
        <w:pStyle w:val="2"/>
        <w:rPr>
          <w:rFonts w:hint="default" w:ascii="Times New Roman" w:hAnsi="Times New Roman" w:cs="Times New Roman"/>
          <w:lang w:val="en-US" w:eastAsia="zh-CN"/>
        </w:rPr>
      </w:pPr>
    </w:p>
    <w:p w14:paraId="34391426">
      <w:pPr>
        <w:pStyle w:val="2"/>
        <w:rPr>
          <w:rFonts w:hint="default" w:ascii="Times New Roman" w:hAnsi="Times New Roman" w:cs="Times New Roman"/>
          <w:lang w:val="en-US" w:eastAsia="zh-CN"/>
        </w:rPr>
      </w:pPr>
    </w:p>
    <w:p w14:paraId="6A53BC9F">
      <w:pPr>
        <w:pStyle w:val="2"/>
        <w:rPr>
          <w:rFonts w:hint="default" w:ascii="Times New Roman" w:hAnsi="Times New Roman" w:cs="Times New Roman"/>
          <w:lang w:val="en-US" w:eastAsia="zh-CN"/>
        </w:rPr>
      </w:pPr>
    </w:p>
    <w:p w14:paraId="7F0E5B04">
      <w:pPr>
        <w:pStyle w:val="2"/>
        <w:rPr>
          <w:rFonts w:hint="default" w:ascii="Times New Roman" w:hAnsi="Times New Roman" w:cs="Times New Roman"/>
          <w:lang w:val="en-US" w:eastAsia="zh-CN"/>
        </w:rPr>
      </w:pPr>
    </w:p>
    <w:p w14:paraId="77CCA084">
      <w:pPr>
        <w:pStyle w:val="2"/>
        <w:rPr>
          <w:rFonts w:hint="default" w:ascii="Times New Roman" w:hAnsi="Times New Roman" w:cs="Times New Roman"/>
          <w:lang w:val="en-US" w:eastAsia="zh-CN"/>
        </w:rPr>
      </w:pPr>
    </w:p>
    <w:p w14:paraId="7CE75AB4">
      <w:pPr>
        <w:pStyle w:val="2"/>
        <w:rPr>
          <w:rFonts w:hint="default" w:ascii="Times New Roman" w:hAnsi="Times New Roman" w:cs="Times New Roman"/>
          <w:lang w:val="en-US" w:eastAsia="zh-CN"/>
        </w:rPr>
      </w:pPr>
    </w:p>
    <w:p w14:paraId="76EAC435">
      <w:pPr>
        <w:pStyle w:val="2"/>
        <w:rPr>
          <w:rFonts w:hint="default" w:ascii="Times New Roman" w:hAnsi="Times New Roman" w:cs="Times New Roman"/>
          <w:lang w:val="en-US" w:eastAsia="zh-CN"/>
        </w:rPr>
        <w:sectPr>
          <w:footerReference r:id="rId9" w:type="default"/>
          <w:pgSz w:w="11906" w:h="16838"/>
          <w:pgMar w:top="1440" w:right="1797" w:bottom="1440" w:left="1797" w:header="851" w:footer="992" w:gutter="0"/>
          <w:pgNumType w:fmt="decimal"/>
          <w:cols w:space="720" w:num="1"/>
          <w:docGrid w:linePitch="312" w:charSpace="0"/>
        </w:sectPr>
      </w:pPr>
    </w:p>
    <w:p w14:paraId="225E77DC">
      <w:pPr>
        <w:pStyle w:val="3"/>
        <w:ind w:firstLine="643"/>
        <w:rPr>
          <w:rFonts w:hint="default" w:ascii="Times New Roman" w:hAnsi="Times New Roman" w:cs="Times New Roman"/>
        </w:rPr>
      </w:pPr>
      <w:bookmarkStart w:id="139" w:name="_Toc2697"/>
      <w:r>
        <w:rPr>
          <w:rFonts w:hint="default" w:ascii="Times New Roman" w:hAnsi="Times New Roman" w:cs="Times New Roman"/>
          <w:snapToGrid w:val="0"/>
          <w:kern w:val="0"/>
        </w:rPr>
        <w:t xml:space="preserve">附件一 </w:t>
      </w:r>
      <w:r>
        <w:rPr>
          <w:rFonts w:hint="eastAsia" w:ascii="Times New Roman" w:hAnsi="Times New Roman" w:cs="Times New Roman"/>
          <w:snapToGrid w:val="0"/>
          <w:kern w:val="0"/>
          <w:lang w:val="en-US" w:eastAsia="zh-CN"/>
        </w:rPr>
        <w:t>绩效评价指标体系</w:t>
      </w:r>
      <w:r>
        <w:rPr>
          <w:rFonts w:hint="default" w:ascii="Times New Roman" w:hAnsi="Times New Roman" w:cs="Times New Roman"/>
        </w:rPr>
        <w:t>综合评分表</w:t>
      </w:r>
      <w:bookmarkEnd w:id="136"/>
      <w:bookmarkEnd w:id="137"/>
      <w:bookmarkEnd w:id="138"/>
      <w:bookmarkEnd w:id="139"/>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860"/>
        <w:gridCol w:w="870"/>
        <w:gridCol w:w="760"/>
        <w:gridCol w:w="1880"/>
        <w:gridCol w:w="830"/>
        <w:gridCol w:w="3671"/>
        <w:gridCol w:w="3506"/>
        <w:gridCol w:w="764"/>
      </w:tblGrid>
      <w:tr w14:paraId="3856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blHeader/>
          <w:jc w:val="center"/>
        </w:trPr>
        <w:tc>
          <w:tcPr>
            <w:tcW w:w="364"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5A32CA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一级</w:t>
            </w:r>
          </w:p>
          <w:p w14:paraId="66BCC3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w:t>
            </w:r>
          </w:p>
        </w:tc>
        <w:tc>
          <w:tcPr>
            <w:tcW w:w="303"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510247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二级</w:t>
            </w:r>
          </w:p>
          <w:p w14:paraId="07E7EE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w:t>
            </w:r>
          </w:p>
        </w:tc>
        <w:tc>
          <w:tcPr>
            <w:tcW w:w="306"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49CE5C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w:t>
            </w:r>
          </w:p>
          <w:p w14:paraId="51C93F2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w:t>
            </w:r>
          </w:p>
        </w:tc>
        <w:tc>
          <w:tcPr>
            <w:tcW w:w="268"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25C13B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663"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6A277E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指标解释</w:t>
            </w:r>
          </w:p>
        </w:tc>
        <w:tc>
          <w:tcPr>
            <w:tcW w:w="29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589F3E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标杆值</w:t>
            </w:r>
          </w:p>
        </w:tc>
        <w:tc>
          <w:tcPr>
            <w:tcW w:w="1294"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51E907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c>
          <w:tcPr>
            <w:tcW w:w="1236"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739EA2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评分过程</w:t>
            </w:r>
          </w:p>
        </w:tc>
        <w:tc>
          <w:tcPr>
            <w:tcW w:w="269"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449958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14:paraId="229B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A68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项目决策（</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CFD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A1</w:t>
            </w:r>
            <w:r>
              <w:rPr>
                <w:rFonts w:hint="eastAsia" w:ascii="宋体" w:hAnsi="宋体" w:eastAsia="宋体" w:cs="宋体"/>
                <w:i w:val="0"/>
                <w:iCs w:val="0"/>
                <w:color w:val="000000"/>
                <w:kern w:val="0"/>
                <w:sz w:val="21"/>
                <w:szCs w:val="21"/>
                <w:u w:val="none"/>
                <w:lang w:val="en-US" w:eastAsia="zh-CN" w:bidi="ar"/>
              </w:rPr>
              <w:t>项目立项（</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AC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A11</w:t>
            </w:r>
            <w:r>
              <w:rPr>
                <w:rFonts w:hint="eastAsia" w:ascii="宋体" w:hAnsi="宋体" w:eastAsia="宋体" w:cs="宋体"/>
                <w:i w:val="0"/>
                <w:iCs w:val="0"/>
                <w:color w:val="000000"/>
                <w:kern w:val="0"/>
                <w:sz w:val="21"/>
                <w:szCs w:val="21"/>
                <w:u w:val="none"/>
                <w:lang w:val="en-US" w:eastAsia="zh-CN" w:bidi="ar"/>
              </w:rPr>
              <w:t>立项依据充分性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D4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615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项目立项是否符合法律法规、相关政策、发展规划以及部门职责，用以反映和考核项目立项依据情况。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46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E09C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①项目立项符合国家法律法规、省市国民经济中长期发展规划</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；②项目立项符合国家、省市相关政策要求；③项目立项与本地区乡村振兴局部门职责范围相符，属于部门履职所需；④项目属于公共财政支持范围，符合中央、地方事权支出责任划分原则。以上各项各占</w:t>
            </w:r>
            <w:r>
              <w:rPr>
                <w:rFonts w:hint="default" w:ascii="Times New Roman" w:hAnsi="Times New Roman" w:eastAsia="宋体" w:cs="Times New Roman"/>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权重分，符合得分，不符合相应扣分。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91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立项符合中共中央、国务院发布了《关于实现巩固拓展脱贫攻坚成果同乡村振兴有效衔接的意见》的政策要求；②项目立项符合中共河南省委、河南省人民政府发布《关于全面推进乡村振兴加快农业农村现代化的实施意见》关于实现巩固拓展脱贫攻坚成果同乡村振兴有效衔接等内容；③项目立项与本地区乡村振兴局部门职责范围相符，属于部门履职所需；④项目属于公共财政支持范围，符合中央、地方事权支出责任划分原则。综上，该指标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3E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 </w:t>
            </w:r>
          </w:p>
        </w:tc>
      </w:tr>
      <w:tr w14:paraId="3958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166B8">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9207">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932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A12</w:t>
            </w:r>
            <w:r>
              <w:rPr>
                <w:rFonts w:hint="eastAsia" w:ascii="宋体" w:hAnsi="宋体" w:eastAsia="宋体" w:cs="宋体"/>
                <w:i w:val="0"/>
                <w:iCs w:val="0"/>
                <w:color w:val="000000"/>
                <w:kern w:val="0"/>
                <w:sz w:val="21"/>
                <w:szCs w:val="21"/>
                <w:u w:val="none"/>
                <w:lang w:val="en-US" w:eastAsia="zh-CN" w:bidi="ar"/>
              </w:rPr>
              <w:t>立项程序规范性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71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4BF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项目的申请、设立过程是否符合相关要求，用以反映和考核项目立项的规范情况。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18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461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①项目按照规定的程序申请设立；②审批文件、材料符合相关要求；③事前已经过必要的可行性研究、专家论证、风险评估、集体决策等。其中①②各占</w:t>
            </w: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权重分，③占</w:t>
            </w:r>
            <w:r>
              <w:rPr>
                <w:rFonts w:hint="default" w:ascii="Times New Roman" w:hAnsi="Times New Roman" w:eastAsia="宋体" w:cs="Times New Roman"/>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权重分。符合得分，否则不得分。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82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①项目立项符合国家政策要求，按照规定的程序申请设立；②审批文件、材料符合相关要求；③事前已经过必要的可行性研究、专家论证、风险评估、集体决策等。综上，该指标得满分。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E9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75E6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6D290">
            <w:pPr>
              <w:jc w:val="center"/>
              <w:rPr>
                <w:rFonts w:hint="default" w:ascii="Times New Roman" w:hAnsi="Times New Roman" w:eastAsia="宋体" w:cs="Times New Roman"/>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3DC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w:t>
            </w:r>
            <w:r>
              <w:rPr>
                <w:rFonts w:hint="eastAsia" w:ascii="宋体" w:hAnsi="宋体" w:eastAsia="宋体" w:cs="宋体"/>
                <w:i w:val="0"/>
                <w:iCs w:val="0"/>
                <w:color w:val="000000"/>
                <w:kern w:val="0"/>
                <w:sz w:val="21"/>
                <w:szCs w:val="21"/>
                <w:u w:val="none"/>
                <w:lang w:val="en-US" w:eastAsia="zh-CN" w:bidi="ar"/>
              </w:rPr>
              <w:t>绩效目标（</w:t>
            </w:r>
            <w:r>
              <w:rPr>
                <w:rFonts w:hint="default" w:ascii="Times New Roman" w:hAnsi="Times New Roman" w:eastAsia="宋体" w:cs="Times New Roman"/>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4F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A21</w:t>
            </w:r>
            <w:r>
              <w:rPr>
                <w:rFonts w:hint="eastAsia" w:ascii="宋体" w:hAnsi="宋体" w:eastAsia="宋体" w:cs="宋体"/>
                <w:i w:val="0"/>
                <w:iCs w:val="0"/>
                <w:color w:val="000000"/>
                <w:kern w:val="0"/>
                <w:sz w:val="21"/>
                <w:szCs w:val="21"/>
                <w:u w:val="none"/>
                <w:lang w:val="en-US" w:eastAsia="zh-CN" w:bidi="ar"/>
              </w:rPr>
              <w:t>绩效目标合理性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D9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AA4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项目所设定的绩效目标是否符合实际、切实可行，用以反映和考核项目绩效目标与项目实施的相符情况。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A8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A35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①项目设立有绩效目标；②项目绩效目标与实际工作内容具有相关性；③项目预期产出和效果符合正常的业绩水平。具备要素①，得到指标分值的</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；如不具备，该指标分值为</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。具备要素②③，分别得到指标分值的</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23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依据所抽取项目提供的绩效目标申报表：①各项目均设立有绩效目标；②项目绩效目标与实际工作内容具有相关性；③项目预期产出和效果符合正常的业绩水平。综上，该指标得满分权重分。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5B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314F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14B7">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073E">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84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A22</w:t>
            </w:r>
            <w:r>
              <w:rPr>
                <w:rFonts w:hint="eastAsia" w:ascii="宋体" w:hAnsi="宋体" w:eastAsia="宋体" w:cs="宋体"/>
                <w:i w:val="0"/>
                <w:iCs w:val="0"/>
                <w:color w:val="000000"/>
                <w:kern w:val="0"/>
                <w:sz w:val="21"/>
                <w:szCs w:val="21"/>
                <w:u w:val="none"/>
                <w:lang w:val="en-US" w:eastAsia="zh-CN" w:bidi="ar"/>
              </w:rPr>
              <w:t>绩效目标明确性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64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B46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依据绩效目标设定的绩效指标是否清晰、细化、可衡量等，用以反映和考核项目绩效目标的明细化情况。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D2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明确</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2B8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①将项目绩效目标细化分解为具体的绩效指标；②通过清晰、可衡量的指标值予以体现；③与项目目标任务数或计划数相对应。其中①占</w:t>
            </w:r>
            <w:r>
              <w:rPr>
                <w:rFonts w:hint="default" w:ascii="Times New Roman" w:hAnsi="Times New Roman" w:eastAsia="宋体" w:cs="Times New Roman"/>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权重分，②③各占</w:t>
            </w: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权重分。每发现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B1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依据所抽取项目提供的绩效目标申报表：①各项目能够将项目绩效目标细化分解为具体的绩效指标；②通过清晰、可衡量的指标值予以体现；③与项目目标任务数或计划数相对应。综上，该指标得满分权重分。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CD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0161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E459">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BD7C">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A5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A23</w:t>
            </w:r>
            <w:r>
              <w:rPr>
                <w:rFonts w:hint="eastAsia" w:ascii="宋体" w:hAnsi="宋体" w:eastAsia="宋体" w:cs="宋体"/>
                <w:i w:val="0"/>
                <w:iCs w:val="0"/>
                <w:color w:val="000000"/>
                <w:kern w:val="0"/>
                <w:sz w:val="21"/>
                <w:szCs w:val="21"/>
                <w:u w:val="none"/>
                <w:lang w:val="en-US" w:eastAsia="zh-CN" w:bidi="ar"/>
              </w:rPr>
              <w:t>绩效监控及自评完成率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527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08C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项目在执行过程中是否开展绩效运行监控。执行结束后，是否开展绩效自评并形成绩效目标自评表与绩效自评总结报告。</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0D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22B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①项目在执行过程中开展绩效运行监控，并形成绩效运行监控表与监控报告等相关材料；②项目在执行结束后开展绩效自评，并形成绩效目标自评表与自评总结报告。以上要素各占</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权重分，符合得分。每发现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D4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所抽取项目提供的绩效运行监控和自评材料：①各项目能够在在执行过程中开展绩效运行监控，并形成绩效运行监控表与监控报告；②部分项目虽完工，但因未进行验收，尚未形成自评表与自评报告，不得分。综上，该指标得</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4B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 </w:t>
            </w:r>
          </w:p>
        </w:tc>
      </w:tr>
      <w:tr w14:paraId="145D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3E61">
            <w:pPr>
              <w:jc w:val="center"/>
              <w:rPr>
                <w:rFonts w:hint="default" w:ascii="Times New Roman" w:hAnsi="Times New Roman" w:eastAsia="宋体"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42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A3</w:t>
            </w:r>
            <w:r>
              <w:rPr>
                <w:rFonts w:hint="eastAsia" w:ascii="宋体" w:hAnsi="宋体" w:eastAsia="宋体" w:cs="宋体"/>
                <w:i w:val="0"/>
                <w:iCs w:val="0"/>
                <w:color w:val="000000"/>
                <w:kern w:val="0"/>
                <w:sz w:val="21"/>
                <w:szCs w:val="21"/>
                <w:u w:val="none"/>
                <w:lang w:val="en-US" w:eastAsia="zh-CN" w:bidi="ar"/>
              </w:rPr>
              <w:t>资金安排（</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1D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A31</w:t>
            </w:r>
            <w:r>
              <w:rPr>
                <w:rFonts w:hint="eastAsia" w:ascii="宋体" w:hAnsi="宋体" w:eastAsia="宋体" w:cs="宋体"/>
                <w:i w:val="0"/>
                <w:iCs w:val="0"/>
                <w:color w:val="000000"/>
                <w:kern w:val="0"/>
                <w:sz w:val="21"/>
                <w:szCs w:val="21"/>
                <w:u w:val="none"/>
                <w:lang w:val="en-US" w:eastAsia="zh-CN" w:bidi="ar"/>
              </w:rPr>
              <w:t>预算编制合理性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DC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E53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项目预算编制是否经过科学论证、有明确标准，资金额度与年度目标是否相适应</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80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44C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①项目预算内容与项目实际内容匹配；②预算额度测算依据充分。以上要素各占</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权重分，符合得分。每发现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DE4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依据各项目实施方案，①项目预算内容与项目实际内容匹配；②预算额度测算依据充分。综上，该指标得满分权重分。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7E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0E16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3"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347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w:t>
            </w:r>
            <w:r>
              <w:rPr>
                <w:rFonts w:hint="eastAsia" w:ascii="宋体" w:hAnsi="宋体" w:eastAsia="宋体" w:cs="宋体"/>
                <w:i w:val="0"/>
                <w:iCs w:val="0"/>
                <w:color w:val="000000"/>
                <w:kern w:val="0"/>
                <w:sz w:val="21"/>
                <w:szCs w:val="21"/>
                <w:u w:val="none"/>
                <w:lang w:val="en-US" w:eastAsia="zh-CN" w:bidi="ar"/>
              </w:rPr>
              <w:t>项目过程（</w:t>
            </w:r>
            <w:r>
              <w:rPr>
                <w:rFonts w:hint="default" w:ascii="Times New Roman" w:hAnsi="Times New Roman" w:eastAsia="宋体" w:cs="Times New Roman"/>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5A1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w:t>
            </w:r>
            <w:r>
              <w:rPr>
                <w:rFonts w:hint="eastAsia" w:ascii="宋体" w:hAnsi="宋体" w:eastAsia="宋体" w:cs="宋体"/>
                <w:i w:val="0"/>
                <w:iCs w:val="0"/>
                <w:color w:val="000000"/>
                <w:kern w:val="0"/>
                <w:sz w:val="21"/>
                <w:szCs w:val="21"/>
                <w:u w:val="none"/>
                <w:lang w:val="en-US" w:eastAsia="zh-CN" w:bidi="ar"/>
              </w:rPr>
              <w:t>组织实施（</w:t>
            </w:r>
            <w:r>
              <w:rPr>
                <w:rFonts w:hint="default" w:ascii="Times New Roman" w:hAnsi="Times New Roman" w:eastAsia="宋体" w:cs="Times New Roman"/>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5F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B11</w:t>
            </w:r>
            <w:r>
              <w:rPr>
                <w:rFonts w:hint="eastAsia" w:ascii="宋体" w:hAnsi="宋体" w:eastAsia="宋体" w:cs="宋体"/>
                <w:i w:val="0"/>
                <w:iCs w:val="0"/>
                <w:color w:val="000000"/>
                <w:kern w:val="0"/>
                <w:sz w:val="21"/>
                <w:szCs w:val="21"/>
                <w:u w:val="none"/>
                <w:lang w:val="en-US" w:eastAsia="zh-CN" w:bidi="ar"/>
              </w:rPr>
              <w:t>项目库建设及管理规范性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4F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828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考察项目库建设是否按有关规定进行，项目库建设是否完整、规范。</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B5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3B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建立项目库；②项目入库程序规范。经过村级申报、乡镇审核、县级行业主管部门论证等民主决策程序。入库项目经过充分论证、择优遴选、突出支持重点；③入库项目前期条件成熟，具备实施条件；④入库项目内容完整。应包括项目名称、项目类型、建设性质、实施地点、时间进度、责任单位、建设任务、资金规模和筹资方式、受益对象、绩效目标、群众参与和联农带农机制等；⑤入库项目范围合理，不存在负面清单项目。以上要素各占</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权重分，符合得分；实施项目中发现一例非入库项目，扣除</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D6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依据获取的滑县</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巩固拓展脱贫攻坚成果和乡村振兴项目库统计表，①滑县建立有项目库；②项目入库程序规范。经过村级申报、乡镇审核、县级行业主管部门论证等民主决策程序。入库项目经过充分论证、择优遴选、突出支持重点；③入库项目前期条件成熟，具备实施条件；④入库项目内容完整。包括项目名称、项目类型、建设性质、实施地点、时间进度、责任单位、建设任务、资金规模和筹资方式、受益对象、绩效目标、群众参与和帮扶机制。但部分入库项目利益链接机制描述不完善，例如，</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年滑县</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雨露计划</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职业教育助学补助、县雨露计划短期技能培训补助</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个项目帮扶机制仅提到</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带动就业、解决增收问题</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，未明确带动的就业人数，以及预计增收情况，无法考核，扣除</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权重分，该项得</w:t>
            </w:r>
            <w:r>
              <w:rPr>
                <w:rFonts w:hint="default" w:ascii="Times New Roman" w:hAnsi="Times New Roman" w:eastAsia="宋体" w:cs="Times New Roman"/>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权重分。⑤入库项目范围合理，不存在负面清单项目。该指标得</w:t>
            </w:r>
            <w:r>
              <w:rPr>
                <w:rFonts w:hint="default" w:ascii="Times New Roman" w:hAnsi="Times New Roman" w:eastAsia="宋体" w:cs="Times New Roman"/>
                <w:i w:val="0"/>
                <w:iCs w:val="0"/>
                <w:color w:val="000000"/>
                <w:kern w:val="0"/>
                <w:sz w:val="21"/>
                <w:szCs w:val="21"/>
                <w:u w:val="none"/>
                <w:lang w:val="en-US" w:eastAsia="zh-CN" w:bidi="ar"/>
              </w:rPr>
              <w:t>96%</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37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2.88 </w:t>
            </w:r>
          </w:p>
        </w:tc>
      </w:tr>
      <w:tr w14:paraId="28C7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3168">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F3018">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1F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B12</w:t>
            </w:r>
            <w:r>
              <w:rPr>
                <w:rFonts w:hint="eastAsia" w:ascii="宋体" w:hAnsi="宋体" w:eastAsia="宋体" w:cs="宋体"/>
                <w:i w:val="0"/>
                <w:iCs w:val="0"/>
                <w:color w:val="000000"/>
                <w:kern w:val="0"/>
                <w:sz w:val="21"/>
                <w:szCs w:val="21"/>
                <w:u w:val="none"/>
                <w:lang w:val="en-US" w:eastAsia="zh-CN" w:bidi="ar"/>
              </w:rPr>
              <w:t>项目管理制度健全性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A0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83C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项目项目实施单位的业务管理制度是否健全，用以反映和考核业务管理制度对项目顺利实施的保障情况。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C4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D0C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县级层面已制定或具有相应的业务管理制度；②业务管理制度合法、合规、完整，包括项目采购、项目施工、项目监理、项目验收、项目报账制度、监督检查和审计制度等；③县级层面制定有资产管理制度；④县级层面制定有资产收益分配方案。以上要素各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权重分，符合得分；每发现一处制度不健全，扣除</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的权重分，扣完为止。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CE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依据滑县乡村振兴局提供的相关材料：①县级层面已制定相应的业务管理制度；②包括《滑县</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巩固拓展脱贫攻坚成果和乡村振兴项目规划》、《滑县巩固拓展脱贫攻坚成果和乡村振兴项目库建设的实施意见》；③④滑县乡村振兴局，县财政局制定有项目资产管理与收益分配管理办法。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A5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7B5E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3235">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33325">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3B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B13</w:t>
            </w:r>
            <w:r>
              <w:rPr>
                <w:rFonts w:hint="eastAsia" w:ascii="宋体" w:hAnsi="宋体" w:eastAsia="宋体" w:cs="宋体"/>
                <w:i w:val="0"/>
                <w:iCs w:val="0"/>
                <w:color w:val="000000"/>
                <w:kern w:val="0"/>
                <w:sz w:val="21"/>
                <w:szCs w:val="21"/>
                <w:u w:val="none"/>
                <w:lang w:val="en-US" w:eastAsia="zh-CN" w:bidi="ar"/>
              </w:rPr>
              <w:t>政府采购规范性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E1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483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考察项目采购流程是否合规，合同签订内容、签订流程等相关内容是否规范、合理。</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36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CCB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采购活动按照政府采购相关限额标准采用合适采购方式；②合同内容全面，对实施期限、实施内容、双方职责等内容进行了明确规定；③合同签订过程中审批程序、签订形式规范，及时完成合同的签订，严格依据合同条例执行合同管理。以上要素各占</w:t>
            </w:r>
            <w:r>
              <w:rPr>
                <w:rFonts w:hint="default" w:ascii="Times New Roman" w:hAnsi="Times New Roman" w:eastAsia="宋体" w:cs="Times New Roman"/>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权重分，符合得分。每发现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F1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提供的相关材料，①各项采购活动按照政府采购相关限额标准采用合适采购方式；②合同内容全面，对实施期限、实施内容、双方职责等内容进行了明确规定；③合同签订过程中审批程序、签订形式规范，及时完成合同的签订，严格依据合同条例执行合同管理。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9B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27FE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A1B5">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BC28">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44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B14</w:t>
            </w:r>
            <w:r>
              <w:rPr>
                <w:rFonts w:hint="eastAsia" w:ascii="宋体" w:hAnsi="宋体" w:eastAsia="宋体" w:cs="宋体"/>
                <w:i w:val="0"/>
                <w:iCs w:val="0"/>
                <w:color w:val="000000"/>
                <w:kern w:val="0"/>
                <w:sz w:val="21"/>
                <w:szCs w:val="21"/>
                <w:u w:val="none"/>
                <w:lang w:val="en-US" w:eastAsia="zh-CN" w:bidi="ar"/>
              </w:rPr>
              <w:t>项目执行有效性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04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C40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项目实施是否符合相关业务管理规定，用以反映和考核业务管理制度的有效执行情况。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5AC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E64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①项目实施遵守相关法律法规和项目管理规定（重点核查项目采购、项目验收、项目报账等关键环节），对依托企业等生产经营主体实施的单个项目投资总规模达到</w:t>
            </w:r>
            <w:r>
              <w:rPr>
                <w:rFonts w:hint="default" w:ascii="Times New Roman" w:hAnsi="Times New Roman" w:eastAsia="宋体" w:cs="Times New Roman"/>
                <w:i w:val="0"/>
                <w:iCs w:val="0"/>
                <w:color w:val="000000"/>
                <w:kern w:val="0"/>
                <w:sz w:val="21"/>
                <w:szCs w:val="21"/>
                <w:u w:val="none"/>
                <w:lang w:val="en-US" w:eastAsia="zh-CN" w:bidi="ar"/>
              </w:rPr>
              <w:t>1000</w:t>
            </w:r>
            <w:r>
              <w:rPr>
                <w:rFonts w:hint="eastAsia" w:ascii="宋体" w:hAnsi="宋体" w:eastAsia="宋体" w:cs="宋体"/>
                <w:i w:val="0"/>
                <w:iCs w:val="0"/>
                <w:color w:val="000000"/>
                <w:kern w:val="0"/>
                <w:sz w:val="21"/>
                <w:szCs w:val="21"/>
                <w:u w:val="none"/>
                <w:lang w:val="en-US" w:eastAsia="zh-CN" w:bidi="ar"/>
              </w:rPr>
              <w:t>万元以上或财政投资规模达到</w:t>
            </w:r>
            <w:r>
              <w:rPr>
                <w:rFonts w:hint="default" w:ascii="Times New Roman" w:hAnsi="Times New Roman" w:eastAsia="宋体" w:cs="Times New Roman"/>
                <w:i w:val="0"/>
                <w:iCs w:val="0"/>
                <w:color w:val="000000"/>
                <w:kern w:val="0"/>
                <w:sz w:val="21"/>
                <w:szCs w:val="21"/>
                <w:u w:val="none"/>
                <w:lang w:val="en-US" w:eastAsia="zh-CN" w:bidi="ar"/>
              </w:rPr>
              <w:t>500</w:t>
            </w:r>
            <w:r>
              <w:rPr>
                <w:rFonts w:hint="eastAsia" w:ascii="宋体" w:hAnsi="宋体" w:eastAsia="宋体" w:cs="宋体"/>
                <w:i w:val="0"/>
                <w:iCs w:val="0"/>
                <w:color w:val="000000"/>
                <w:kern w:val="0"/>
                <w:sz w:val="21"/>
                <w:szCs w:val="21"/>
                <w:u w:val="none"/>
                <w:lang w:val="en-US" w:eastAsia="zh-CN" w:bidi="ar"/>
              </w:rPr>
              <w:t>万元以上的，项目主管部门要组织开展尽职调查；②项目调整及变更手续齐全；③项目合同书、施工日志、监理报告、验收报告、报账材料等资料齐全并及时归档；④项目实施的人员条件、场地设备、信息支撑等落实到位；⑤产业发展类项目具备村集体二次收益分配方案，且经过必要的民主程序，对分配结果公开公示。以上要素各占</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权重分，符合得分。每发现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24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实施能够遵守相关法律法规和项目管理规定；②项目调整及变更手续齐全；③项目合同书、施工日志、监理报告、验收报告、报账材料等资料齐全并及时归档；④项目实施的人员条件、场地设备、信息支撑等落实到位；⑤产业发展类项目具备二次收益分配方案，能够经民主程序，对分配结果公开公示。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67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23B3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A25E8">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0C50E">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92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B15</w:t>
            </w:r>
            <w:r>
              <w:rPr>
                <w:rFonts w:hint="eastAsia" w:ascii="宋体" w:hAnsi="宋体" w:eastAsia="宋体" w:cs="宋体"/>
                <w:i w:val="0"/>
                <w:iCs w:val="0"/>
                <w:color w:val="000000"/>
                <w:kern w:val="0"/>
                <w:sz w:val="21"/>
                <w:szCs w:val="21"/>
                <w:u w:val="none"/>
                <w:lang w:val="en-US" w:eastAsia="zh-CN" w:bidi="ar"/>
              </w:rPr>
              <w:t>信息公开和公告公示制度执行有效性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97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B17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考察县、村两级信息公开和公告公示制度建设与执行情况。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D9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71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①县级信息公开和公告公示制度建设和执行；其中出台了公告公示相关制度占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权重分，公告公示内容完整（</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中央、省、市、县级衔接推进乡村振兴补助资金分配结果、项目库、年度资金项目计划安排情况）占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权重分，每缺少一项扣除</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权重分；②乡村信息公开和公告公示制度建设规范：用固定公告公示专栏（公告公示牌）进行公告公示且无明显新粘贴情况的占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权重分；公示公告内容完整占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权重分（包括</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年资金项目安排计划、</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年衔接推进乡村振兴补助资金项目计划完成情况、项目库、资产确权、收益分配情况</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项），每缺少一项扣除</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权重分。以上各要素符合得分，不符合相应扣分。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1F9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公开渠道获取信息：①县级层面制定与信息公开和公告公示制度，并能对中央、省、市、县级衔接推进乡村振兴补助资金分配结果、项目库、年度资金项目计划安排情况等进行公示；②乡村信息公开和公告公示制度建设规范：能用固定公告公示专栏（公告公示牌）进行公告公示且无明显新粘贴情况。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64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4174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39DAC">
            <w:pPr>
              <w:jc w:val="center"/>
              <w:rPr>
                <w:rFonts w:hint="default" w:ascii="Times New Roman" w:hAnsi="Times New Roman" w:eastAsia="宋体" w:cs="Times New Roman"/>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B65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w:t>
            </w:r>
            <w:r>
              <w:rPr>
                <w:rFonts w:hint="eastAsia" w:ascii="宋体" w:hAnsi="宋体" w:eastAsia="宋体" w:cs="宋体"/>
                <w:i w:val="0"/>
                <w:iCs w:val="0"/>
                <w:color w:val="000000"/>
                <w:kern w:val="0"/>
                <w:sz w:val="21"/>
                <w:szCs w:val="21"/>
                <w:u w:val="none"/>
                <w:lang w:val="en-US" w:eastAsia="zh-CN" w:bidi="ar"/>
              </w:rPr>
              <w:t>资金管理（</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66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B21</w:t>
            </w:r>
            <w:r>
              <w:rPr>
                <w:rFonts w:hint="eastAsia" w:ascii="宋体" w:hAnsi="宋体" w:eastAsia="宋体" w:cs="宋体"/>
                <w:i w:val="0"/>
                <w:iCs w:val="0"/>
                <w:color w:val="000000"/>
                <w:kern w:val="0"/>
                <w:sz w:val="21"/>
                <w:szCs w:val="21"/>
                <w:u w:val="none"/>
                <w:lang w:val="en-US" w:eastAsia="zh-CN" w:bidi="ar"/>
              </w:rPr>
              <w:t>资金到位率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E7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86A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考察县级资金是否按时足额有效拨付。</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E8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6DC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①县本级预算安排的衔接资金增幅</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；②统筹整合财政涉农资金落实到项目比例为</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。以上要素各占</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权重分，符合得分，否则按比例得分。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EF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年度，县本级预算安排衔接资金</w:t>
            </w:r>
            <w:r>
              <w:rPr>
                <w:rFonts w:hint="default" w:ascii="Times New Roman" w:hAnsi="Times New Roman" w:eastAsia="宋体" w:cs="Times New Roman"/>
                <w:i w:val="0"/>
                <w:iCs w:val="0"/>
                <w:color w:val="000000"/>
                <w:kern w:val="0"/>
                <w:sz w:val="21"/>
                <w:szCs w:val="21"/>
                <w:u w:val="none"/>
                <w:lang w:val="en-US" w:eastAsia="zh-CN" w:bidi="ar"/>
              </w:rPr>
              <w:t>5,350</w:t>
            </w:r>
            <w:r>
              <w:rPr>
                <w:rFonts w:hint="eastAsia" w:ascii="宋体" w:hAnsi="宋体" w:eastAsia="宋体" w:cs="宋体"/>
                <w:i w:val="0"/>
                <w:iCs w:val="0"/>
                <w:color w:val="000000"/>
                <w:kern w:val="0"/>
                <w:sz w:val="21"/>
                <w:szCs w:val="21"/>
                <w:u w:val="none"/>
                <w:lang w:val="en-US" w:eastAsia="zh-CN" w:bidi="ar"/>
              </w:rPr>
              <w:t>万元，高于</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年衔接资金规模</w:t>
            </w:r>
            <w:r>
              <w:rPr>
                <w:rFonts w:hint="default" w:ascii="Times New Roman" w:hAnsi="Times New Roman" w:eastAsia="宋体" w:cs="Times New Roman"/>
                <w:i w:val="0"/>
                <w:iCs w:val="0"/>
                <w:color w:val="000000"/>
                <w:kern w:val="0"/>
                <w:sz w:val="21"/>
                <w:szCs w:val="21"/>
                <w:u w:val="none"/>
                <w:lang w:val="en-US" w:eastAsia="zh-CN" w:bidi="ar"/>
              </w:rPr>
              <w:t>5,346.21</w:t>
            </w:r>
            <w:r>
              <w:rPr>
                <w:rFonts w:hint="eastAsia" w:ascii="宋体" w:hAnsi="宋体" w:eastAsia="宋体" w:cs="宋体"/>
                <w:i w:val="0"/>
                <w:iCs w:val="0"/>
                <w:color w:val="000000"/>
                <w:kern w:val="0"/>
                <w:sz w:val="21"/>
                <w:szCs w:val="21"/>
                <w:u w:val="none"/>
                <w:lang w:val="en-US" w:eastAsia="zh-CN" w:bidi="ar"/>
              </w:rPr>
              <w:t>万元，得</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权重分。②</w:t>
            </w:r>
            <w:r>
              <w:rPr>
                <w:rFonts w:hint="default" w:ascii="Times New Roman" w:hAnsi="Times New Roman" w:eastAsia="宋体" w:cs="Times New Roman"/>
                <w:i w:val="0"/>
                <w:iCs w:val="0"/>
                <w:color w:val="000000"/>
                <w:kern w:val="0"/>
                <w:sz w:val="21"/>
                <w:szCs w:val="21"/>
                <w:u w:val="none"/>
                <w:lang w:val="en-US" w:eastAsia="zh-CN" w:bidi="ar"/>
              </w:rPr>
              <w:t>2020</w:t>
            </w:r>
            <w:r>
              <w:rPr>
                <w:rFonts w:hint="eastAsia" w:ascii="宋体" w:hAnsi="宋体" w:eastAsia="宋体" w:cs="宋体"/>
                <w:i w:val="0"/>
                <w:iCs w:val="0"/>
                <w:color w:val="000000"/>
                <w:kern w:val="0"/>
                <w:sz w:val="21"/>
                <w:szCs w:val="21"/>
                <w:u w:val="none"/>
                <w:lang w:val="en-US" w:eastAsia="zh-CN" w:bidi="ar"/>
              </w:rPr>
              <w:t>年度，滑县共安排统筹整合财政涉农资金</w:t>
            </w:r>
            <w:r>
              <w:rPr>
                <w:rFonts w:hint="default" w:ascii="Times New Roman" w:hAnsi="Times New Roman" w:eastAsia="宋体" w:cs="Times New Roman"/>
                <w:i w:val="0"/>
                <w:iCs w:val="0"/>
                <w:color w:val="000000"/>
                <w:kern w:val="0"/>
                <w:sz w:val="21"/>
                <w:szCs w:val="21"/>
                <w:u w:val="none"/>
                <w:lang w:val="en-US" w:eastAsia="zh-CN" w:bidi="ar"/>
              </w:rPr>
              <w:t>20,108.81</w:t>
            </w:r>
            <w:r>
              <w:rPr>
                <w:rFonts w:hint="eastAsia" w:ascii="宋体" w:hAnsi="宋体" w:eastAsia="宋体" w:cs="宋体"/>
                <w:i w:val="0"/>
                <w:iCs w:val="0"/>
                <w:color w:val="000000"/>
                <w:kern w:val="0"/>
                <w:sz w:val="21"/>
                <w:szCs w:val="21"/>
                <w:u w:val="none"/>
                <w:lang w:val="en-US" w:eastAsia="zh-CN" w:bidi="ar"/>
              </w:rPr>
              <w:t>万元，除项目管理费、市派第一书记工作经费外，用于项目资金</w:t>
            </w:r>
            <w:r>
              <w:rPr>
                <w:rFonts w:hint="default" w:ascii="Times New Roman" w:hAnsi="Times New Roman" w:eastAsia="宋体" w:cs="Times New Roman"/>
                <w:i w:val="0"/>
                <w:iCs w:val="0"/>
                <w:color w:val="000000"/>
                <w:kern w:val="0"/>
                <w:sz w:val="21"/>
                <w:szCs w:val="21"/>
                <w:u w:val="none"/>
                <w:lang w:val="en-US" w:eastAsia="zh-CN" w:bidi="ar"/>
              </w:rPr>
              <w:t>19,834.56</w:t>
            </w:r>
            <w:r>
              <w:rPr>
                <w:rFonts w:hint="eastAsia" w:ascii="宋体" w:hAnsi="宋体" w:eastAsia="宋体" w:cs="宋体"/>
                <w:i w:val="0"/>
                <w:iCs w:val="0"/>
                <w:color w:val="000000"/>
                <w:kern w:val="0"/>
                <w:sz w:val="21"/>
                <w:szCs w:val="21"/>
                <w:u w:val="none"/>
                <w:lang w:val="en-US" w:eastAsia="zh-CN" w:bidi="ar"/>
              </w:rPr>
              <w:t>万元，占比</w:t>
            </w:r>
            <w:r>
              <w:rPr>
                <w:rFonts w:hint="default" w:ascii="Times New Roman" w:hAnsi="Times New Roman" w:eastAsia="宋体" w:cs="Times New Roman"/>
                <w:i w:val="0"/>
                <w:iCs w:val="0"/>
                <w:color w:val="000000"/>
                <w:kern w:val="0"/>
                <w:sz w:val="21"/>
                <w:szCs w:val="21"/>
                <w:u w:val="none"/>
                <w:lang w:val="en-US" w:eastAsia="zh-CN" w:bidi="ar"/>
              </w:rPr>
              <w:t>98.64%</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49.32%</w:t>
            </w:r>
            <w:r>
              <w:rPr>
                <w:rFonts w:hint="eastAsia" w:ascii="宋体" w:hAnsi="宋体" w:eastAsia="宋体" w:cs="宋体"/>
                <w:i w:val="0"/>
                <w:iCs w:val="0"/>
                <w:color w:val="000000"/>
                <w:kern w:val="0"/>
                <w:sz w:val="21"/>
                <w:szCs w:val="21"/>
                <w:u w:val="none"/>
                <w:lang w:val="en-US" w:eastAsia="zh-CN" w:bidi="ar"/>
              </w:rPr>
              <w:t>权重分。综上，该指标得</w:t>
            </w:r>
            <w:r>
              <w:rPr>
                <w:rFonts w:hint="default" w:ascii="Times New Roman" w:hAnsi="Times New Roman" w:eastAsia="宋体" w:cs="Times New Roman"/>
                <w:i w:val="0"/>
                <w:iCs w:val="0"/>
                <w:color w:val="000000"/>
                <w:kern w:val="0"/>
                <w:sz w:val="21"/>
                <w:szCs w:val="21"/>
                <w:u w:val="none"/>
                <w:lang w:val="en-US" w:eastAsia="zh-CN" w:bidi="ar"/>
              </w:rPr>
              <w:t>99.32%</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CC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1.99 </w:t>
            </w:r>
          </w:p>
        </w:tc>
      </w:tr>
      <w:tr w14:paraId="65FC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DDAF">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A5A08">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4C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B22</w:t>
            </w:r>
            <w:r>
              <w:rPr>
                <w:rFonts w:hint="eastAsia" w:ascii="宋体" w:hAnsi="宋体" w:eastAsia="宋体" w:cs="宋体"/>
                <w:i w:val="0"/>
                <w:iCs w:val="0"/>
                <w:color w:val="000000"/>
                <w:kern w:val="0"/>
                <w:sz w:val="21"/>
                <w:szCs w:val="21"/>
                <w:u w:val="none"/>
                <w:lang w:val="en-US" w:eastAsia="zh-CN" w:bidi="ar"/>
              </w:rPr>
              <w:t>资金用于产业比例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2F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416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考察中央、省、市、县四级财政衔接资金用于产业发展资金情况。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FD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3A3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中央、省、市、县四级财政衔接资金合计用于产业的比例</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且高于上年，或用于产业的比例</w:t>
            </w:r>
            <w:r>
              <w:rPr>
                <w:rFonts w:hint="default" w:ascii="Times New Roman" w:hAnsi="Times New Roman" w:eastAsia="宋体" w:cs="Times New Roman"/>
                <w:i w:val="0"/>
                <w:iCs w:val="0"/>
                <w:color w:val="000000"/>
                <w:kern w:val="0"/>
                <w:sz w:val="21"/>
                <w:szCs w:val="21"/>
                <w:u w:val="none"/>
                <w:lang w:val="en-US" w:eastAsia="zh-CN" w:bidi="ar"/>
              </w:rPr>
              <w:t>≥70%</w:t>
            </w:r>
            <w:r>
              <w:rPr>
                <w:rFonts w:hint="eastAsia" w:ascii="宋体" w:hAnsi="宋体" w:eastAsia="宋体" w:cs="宋体"/>
                <w:i w:val="0"/>
                <w:iCs w:val="0"/>
                <w:color w:val="000000"/>
                <w:kern w:val="0"/>
                <w:sz w:val="21"/>
                <w:szCs w:val="21"/>
                <w:u w:val="none"/>
                <w:lang w:val="en-US" w:eastAsia="zh-CN" w:bidi="ar"/>
              </w:rPr>
              <w:t>得满分，否则，按每低于上年比例</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个百分比扣除</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7F01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年滑县共涉及中央财政衔接资金</w:t>
            </w:r>
            <w:r>
              <w:rPr>
                <w:rFonts w:hint="default" w:ascii="Times New Roman" w:hAnsi="Times New Roman" w:eastAsia="宋体" w:cs="Times New Roman"/>
                <w:i w:val="0"/>
                <w:iCs w:val="0"/>
                <w:color w:val="000000"/>
                <w:kern w:val="0"/>
                <w:sz w:val="21"/>
                <w:szCs w:val="21"/>
                <w:u w:val="none"/>
                <w:lang w:val="en-US" w:eastAsia="zh-CN" w:bidi="ar"/>
              </w:rPr>
              <w:t>8,578</w:t>
            </w:r>
            <w:r>
              <w:rPr>
                <w:rFonts w:hint="eastAsia" w:ascii="宋体" w:hAnsi="宋体" w:eastAsia="宋体" w:cs="宋体"/>
                <w:i w:val="0"/>
                <w:iCs w:val="0"/>
                <w:color w:val="000000"/>
                <w:kern w:val="0"/>
                <w:sz w:val="21"/>
                <w:szCs w:val="21"/>
                <w:u w:val="none"/>
                <w:lang w:val="en-US" w:eastAsia="zh-CN" w:bidi="ar"/>
              </w:rPr>
              <w:t>万元，用于产业发展资金规模</w:t>
            </w:r>
            <w:r>
              <w:rPr>
                <w:rFonts w:hint="default" w:ascii="Times New Roman" w:hAnsi="Times New Roman" w:eastAsia="宋体" w:cs="Times New Roman"/>
                <w:i w:val="0"/>
                <w:iCs w:val="0"/>
                <w:color w:val="000000"/>
                <w:kern w:val="0"/>
                <w:sz w:val="21"/>
                <w:szCs w:val="21"/>
                <w:u w:val="none"/>
                <w:lang w:val="en-US" w:eastAsia="zh-CN" w:bidi="ar"/>
              </w:rPr>
              <w:t>5981.75</w:t>
            </w:r>
            <w:r>
              <w:rPr>
                <w:rFonts w:hint="eastAsia" w:ascii="宋体" w:hAnsi="宋体" w:eastAsia="宋体" w:cs="宋体"/>
                <w:i w:val="0"/>
                <w:iCs w:val="0"/>
                <w:color w:val="000000"/>
                <w:kern w:val="0"/>
                <w:sz w:val="21"/>
                <w:szCs w:val="21"/>
                <w:u w:val="none"/>
                <w:lang w:val="en-US" w:eastAsia="zh-CN" w:bidi="ar"/>
              </w:rPr>
              <w:t>万元，占比</w:t>
            </w:r>
            <w:r>
              <w:rPr>
                <w:rFonts w:hint="default" w:ascii="Times New Roman" w:hAnsi="Times New Roman" w:eastAsia="宋体" w:cs="Times New Roman"/>
                <w:i w:val="0"/>
                <w:iCs w:val="0"/>
                <w:color w:val="000000"/>
                <w:kern w:val="0"/>
                <w:sz w:val="21"/>
                <w:szCs w:val="21"/>
                <w:u w:val="none"/>
                <w:lang w:val="en-US" w:eastAsia="zh-CN" w:bidi="ar"/>
              </w:rPr>
              <w:t>69.73%</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年度共安排中央财政衔接资金</w:t>
            </w:r>
            <w:r>
              <w:rPr>
                <w:rFonts w:hint="default" w:ascii="Times New Roman" w:hAnsi="Times New Roman" w:eastAsia="宋体" w:cs="Times New Roman"/>
                <w:i w:val="0"/>
                <w:iCs w:val="0"/>
                <w:color w:val="000000"/>
                <w:kern w:val="0"/>
                <w:sz w:val="21"/>
                <w:szCs w:val="21"/>
                <w:u w:val="none"/>
                <w:lang w:val="en-US" w:eastAsia="zh-CN" w:bidi="ar"/>
              </w:rPr>
              <w:t>8620</w:t>
            </w:r>
            <w:r>
              <w:rPr>
                <w:rFonts w:hint="eastAsia" w:ascii="宋体" w:hAnsi="宋体" w:eastAsia="宋体" w:cs="宋体"/>
                <w:i w:val="0"/>
                <w:iCs w:val="0"/>
                <w:color w:val="000000"/>
                <w:kern w:val="0"/>
                <w:sz w:val="21"/>
                <w:szCs w:val="21"/>
                <w:u w:val="none"/>
                <w:lang w:val="en-US" w:eastAsia="zh-CN" w:bidi="ar"/>
              </w:rPr>
              <w:t>万元，其中用于产业发展资金规模</w:t>
            </w:r>
            <w:r>
              <w:rPr>
                <w:rFonts w:hint="default" w:ascii="Times New Roman" w:hAnsi="Times New Roman" w:eastAsia="宋体" w:cs="Times New Roman"/>
                <w:i w:val="0"/>
                <w:iCs w:val="0"/>
                <w:color w:val="000000"/>
                <w:kern w:val="0"/>
                <w:sz w:val="21"/>
                <w:szCs w:val="21"/>
                <w:u w:val="none"/>
                <w:lang w:val="en-US" w:eastAsia="zh-CN" w:bidi="ar"/>
              </w:rPr>
              <w:t>7916.47</w:t>
            </w:r>
            <w:r>
              <w:rPr>
                <w:rFonts w:hint="eastAsia" w:ascii="宋体" w:hAnsi="宋体" w:eastAsia="宋体" w:cs="宋体"/>
                <w:i w:val="0"/>
                <w:iCs w:val="0"/>
                <w:color w:val="000000"/>
                <w:kern w:val="0"/>
                <w:sz w:val="21"/>
                <w:szCs w:val="21"/>
                <w:u w:val="none"/>
                <w:lang w:val="en-US" w:eastAsia="zh-CN" w:bidi="ar"/>
              </w:rPr>
              <w:t>万元，占比</w:t>
            </w:r>
            <w:r>
              <w:rPr>
                <w:rFonts w:hint="default" w:ascii="Times New Roman" w:hAnsi="Times New Roman" w:eastAsia="宋体" w:cs="Times New Roman"/>
                <w:i w:val="0"/>
                <w:iCs w:val="0"/>
                <w:color w:val="000000"/>
                <w:kern w:val="0"/>
                <w:sz w:val="21"/>
                <w:szCs w:val="21"/>
                <w:u w:val="none"/>
                <w:lang w:val="en-US" w:eastAsia="zh-CN" w:bidi="ar"/>
              </w:rPr>
              <w:t>91.84%</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年度中央财政衔接资金用于产业发展比例分别达到</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55%</w:t>
            </w:r>
            <w:r>
              <w:rPr>
                <w:rFonts w:hint="eastAsia" w:ascii="宋体" w:hAnsi="宋体" w:eastAsia="宋体" w:cs="宋体"/>
                <w:i w:val="0"/>
                <w:iCs w:val="0"/>
                <w:color w:val="000000"/>
                <w:kern w:val="0"/>
                <w:sz w:val="21"/>
                <w:szCs w:val="21"/>
                <w:u w:val="none"/>
                <w:lang w:val="en-US" w:eastAsia="zh-CN" w:bidi="ar"/>
              </w:rPr>
              <w:t>，且</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年中央财政衔接资金用于产业发展比例高于</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86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6FD3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71726">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EF3AC">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92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B23</w:t>
            </w:r>
            <w:r>
              <w:rPr>
                <w:rFonts w:hint="eastAsia" w:ascii="宋体" w:hAnsi="宋体" w:eastAsia="宋体" w:cs="宋体"/>
                <w:i w:val="0"/>
                <w:iCs w:val="0"/>
                <w:color w:val="000000"/>
                <w:kern w:val="0"/>
                <w:sz w:val="21"/>
                <w:szCs w:val="21"/>
                <w:u w:val="none"/>
                <w:lang w:val="en-US" w:eastAsia="zh-CN" w:bidi="ar"/>
              </w:rPr>
              <w:t>预算执行率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9C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BC0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考察项目实际支出金额与实际到位金额的比率，用以反映项目预算执行情况。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31A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CF4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（实际支出资金</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实际到位资金）</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。①实际支出资金：一定时期（本年度或项目期）内项目实际拨付的资金；②实际到位资金：一定时期（本年度或项目期）内实际落实到具体项目的资金。预算执行率达</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得满分，执行率在</w:t>
            </w:r>
            <w:r>
              <w:rPr>
                <w:rFonts w:hint="default" w:ascii="Times New Roman" w:hAnsi="Times New Roman" w:eastAsia="宋体" w:cs="Times New Roman"/>
                <w:i w:val="0"/>
                <w:iCs w:val="0"/>
                <w:color w:val="000000"/>
                <w:kern w:val="0"/>
                <w:sz w:val="21"/>
                <w:szCs w:val="21"/>
                <w:u w:val="none"/>
                <w:lang w:val="en-US" w:eastAsia="zh-CN" w:bidi="ar"/>
              </w:rPr>
              <w:t>85%-100%</w:t>
            </w:r>
            <w:r>
              <w:rPr>
                <w:rFonts w:hint="eastAsia" w:ascii="宋体" w:hAnsi="宋体" w:eastAsia="宋体" w:cs="宋体"/>
                <w:i w:val="0"/>
                <w:iCs w:val="0"/>
                <w:color w:val="000000"/>
                <w:kern w:val="0"/>
                <w:sz w:val="21"/>
                <w:szCs w:val="21"/>
                <w:u w:val="none"/>
                <w:lang w:val="en-US" w:eastAsia="zh-CN" w:bidi="ar"/>
              </w:rPr>
              <w:t>之间按比例得分，低于</w:t>
            </w:r>
            <w:r>
              <w:rPr>
                <w:rFonts w:hint="default" w:ascii="Times New Roman" w:hAnsi="Times New Roman" w:eastAsia="宋体" w:cs="Times New Roman"/>
                <w:i w:val="0"/>
                <w:iCs w:val="0"/>
                <w:color w:val="000000"/>
                <w:kern w:val="0"/>
                <w:sz w:val="21"/>
                <w:szCs w:val="21"/>
                <w:u w:val="none"/>
                <w:lang w:val="en-US" w:eastAsia="zh-CN" w:bidi="ar"/>
              </w:rPr>
              <w:t>85%</w:t>
            </w:r>
            <w:r>
              <w:rPr>
                <w:rFonts w:hint="eastAsia" w:ascii="宋体" w:hAnsi="宋体" w:eastAsia="宋体" w:cs="宋体"/>
                <w:i w:val="0"/>
                <w:iCs w:val="0"/>
                <w:color w:val="000000"/>
                <w:kern w:val="0"/>
                <w:sz w:val="21"/>
                <w:szCs w:val="21"/>
                <w:u w:val="none"/>
                <w:lang w:val="en-US" w:eastAsia="zh-CN" w:bidi="ar"/>
              </w:rPr>
              <w:t>不得分。</w:t>
            </w:r>
          </w:p>
        </w:tc>
        <w:tc>
          <w:tcPr>
            <w:tcW w:w="1236" w:type="pct"/>
            <w:tcBorders>
              <w:top w:val="nil"/>
              <w:left w:val="nil"/>
              <w:bottom w:val="nil"/>
              <w:right w:val="nil"/>
            </w:tcBorders>
            <w:shd w:val="clear" w:color="auto" w:fill="auto"/>
            <w:noWrap/>
            <w:vAlign w:val="center"/>
          </w:tcPr>
          <w:p w14:paraId="4287220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依据项目单位提供的相关材料，抽取的</w:t>
            </w:r>
            <w:r>
              <w:rPr>
                <w:rFonts w:hint="default" w:ascii="Times New Roman" w:hAnsi="Times New Roman" w:eastAsia="宋体" w:cs="Times New Roman"/>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个项目年初预算安排资金</w:t>
            </w:r>
            <w:r>
              <w:rPr>
                <w:rFonts w:hint="default" w:ascii="Times New Roman" w:hAnsi="Times New Roman" w:eastAsia="宋体" w:cs="Times New Roman"/>
                <w:i w:val="0"/>
                <w:iCs w:val="0"/>
                <w:color w:val="000000"/>
                <w:kern w:val="0"/>
                <w:sz w:val="21"/>
                <w:szCs w:val="21"/>
                <w:u w:val="none"/>
                <w:lang w:val="en-US" w:eastAsia="zh-CN" w:bidi="ar"/>
              </w:rPr>
              <w:t>6,961.4</w:t>
            </w:r>
            <w:r>
              <w:rPr>
                <w:rFonts w:hint="eastAsia" w:ascii="宋体" w:hAnsi="宋体" w:eastAsia="宋体" w:cs="宋体"/>
                <w:i w:val="0"/>
                <w:iCs w:val="0"/>
                <w:color w:val="000000"/>
                <w:kern w:val="0"/>
                <w:sz w:val="21"/>
                <w:szCs w:val="21"/>
                <w:u w:val="none"/>
                <w:lang w:val="en-US" w:eastAsia="zh-CN" w:bidi="ar"/>
              </w:rPr>
              <w:t>万元，全年实际到位资金</w:t>
            </w:r>
            <w:r>
              <w:rPr>
                <w:rFonts w:hint="default" w:ascii="Times New Roman" w:hAnsi="Times New Roman" w:eastAsia="宋体" w:cs="Times New Roman"/>
                <w:i w:val="0"/>
                <w:iCs w:val="0"/>
                <w:color w:val="000000"/>
                <w:kern w:val="0"/>
                <w:sz w:val="21"/>
                <w:szCs w:val="21"/>
                <w:u w:val="none"/>
                <w:lang w:val="en-US" w:eastAsia="zh-CN" w:bidi="ar"/>
              </w:rPr>
              <w:t>6,958.76</w:t>
            </w:r>
            <w:r>
              <w:rPr>
                <w:rFonts w:hint="eastAsia" w:ascii="宋体" w:hAnsi="宋体" w:eastAsia="宋体" w:cs="宋体"/>
                <w:i w:val="0"/>
                <w:iCs w:val="0"/>
                <w:color w:val="000000"/>
                <w:kern w:val="0"/>
                <w:sz w:val="21"/>
                <w:szCs w:val="21"/>
                <w:u w:val="none"/>
                <w:lang w:val="en-US" w:eastAsia="zh-CN" w:bidi="ar"/>
              </w:rPr>
              <w:t>万元，已支付金额</w:t>
            </w:r>
            <w:r>
              <w:rPr>
                <w:rFonts w:hint="default" w:ascii="Times New Roman" w:hAnsi="Times New Roman" w:eastAsia="宋体" w:cs="Times New Roman"/>
                <w:i w:val="0"/>
                <w:iCs w:val="0"/>
                <w:color w:val="000000"/>
                <w:kern w:val="0"/>
                <w:sz w:val="21"/>
                <w:szCs w:val="21"/>
                <w:u w:val="none"/>
                <w:lang w:val="en-US" w:eastAsia="zh-CN" w:bidi="ar"/>
              </w:rPr>
              <w:t>6,650.88</w:t>
            </w:r>
            <w:r>
              <w:rPr>
                <w:rFonts w:hint="eastAsia" w:ascii="宋体" w:hAnsi="宋体" w:eastAsia="宋体" w:cs="宋体"/>
                <w:i w:val="0"/>
                <w:iCs w:val="0"/>
                <w:color w:val="000000"/>
                <w:kern w:val="0"/>
                <w:sz w:val="21"/>
                <w:szCs w:val="21"/>
                <w:u w:val="none"/>
                <w:lang w:val="en-US" w:eastAsia="zh-CN" w:bidi="ar"/>
              </w:rPr>
              <w:t>万元，预算执行率为</w:t>
            </w:r>
            <w:r>
              <w:rPr>
                <w:rFonts w:hint="default" w:ascii="Times New Roman" w:hAnsi="Times New Roman" w:eastAsia="宋体" w:cs="Times New Roman"/>
                <w:i w:val="0"/>
                <w:iCs w:val="0"/>
                <w:color w:val="000000"/>
                <w:kern w:val="0"/>
                <w:sz w:val="21"/>
                <w:szCs w:val="21"/>
                <w:u w:val="none"/>
                <w:lang w:val="en-US" w:eastAsia="zh-CN" w:bidi="ar"/>
              </w:rPr>
              <w:t>95.58%</w:t>
            </w:r>
            <w:r>
              <w:rPr>
                <w:rFonts w:hint="eastAsia" w:ascii="宋体" w:hAnsi="宋体" w:eastAsia="宋体" w:cs="宋体"/>
                <w:i w:val="0"/>
                <w:iCs w:val="0"/>
                <w:color w:val="000000"/>
                <w:kern w:val="0"/>
                <w:sz w:val="21"/>
                <w:szCs w:val="21"/>
                <w:u w:val="none"/>
                <w:lang w:val="en-US" w:eastAsia="zh-CN" w:bidi="ar"/>
              </w:rPr>
              <w:t>。综上，该指标得</w:t>
            </w:r>
            <w:r>
              <w:rPr>
                <w:rFonts w:hint="default" w:ascii="Times New Roman" w:hAnsi="Times New Roman" w:eastAsia="宋体" w:cs="Times New Roman"/>
                <w:i w:val="0"/>
                <w:iCs w:val="0"/>
                <w:color w:val="000000"/>
                <w:kern w:val="0"/>
                <w:sz w:val="21"/>
                <w:szCs w:val="21"/>
                <w:u w:val="none"/>
                <w:lang w:val="en-US" w:eastAsia="zh-CN" w:bidi="ar"/>
              </w:rPr>
              <w:t>95.58%</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60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3.82 </w:t>
            </w:r>
          </w:p>
        </w:tc>
      </w:tr>
      <w:tr w14:paraId="0692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F074">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6754F">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82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B24</w:t>
            </w:r>
            <w:r>
              <w:rPr>
                <w:rFonts w:hint="eastAsia" w:ascii="宋体" w:hAnsi="宋体" w:eastAsia="宋体" w:cs="宋体"/>
                <w:i w:val="0"/>
                <w:iCs w:val="0"/>
                <w:color w:val="000000"/>
                <w:kern w:val="0"/>
                <w:sz w:val="21"/>
                <w:szCs w:val="21"/>
                <w:u w:val="none"/>
                <w:lang w:val="en-US" w:eastAsia="zh-CN" w:bidi="ar"/>
              </w:rPr>
              <w:t>财务管理制度健全性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48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BB1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项目实施单位的财务制度是否健全，用以反映和考核财务管理制度对资金规范、安全运行的保障情况。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47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F3C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①主管部门已制定或具有相应的项目资金管理办法；②项目资金管理办法符合相关财务会计制度的规定。以上要素各占</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权重分，符合得分，不符合相应扣分。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2F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①省级层面已制定财政衔接推进乡村振兴补助资金管理办法；②项目资金管理办法内容完整，符合相关财务会计制度的规定。综上，该指标得满分权重分。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84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r>
      <w:tr w14:paraId="7D59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ADAD9">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5F9E6">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C6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B25</w:t>
            </w:r>
            <w:r>
              <w:rPr>
                <w:rFonts w:hint="eastAsia" w:ascii="宋体" w:hAnsi="宋体" w:eastAsia="宋体" w:cs="宋体"/>
                <w:i w:val="0"/>
                <w:iCs w:val="0"/>
                <w:color w:val="000000"/>
                <w:kern w:val="0"/>
                <w:sz w:val="21"/>
                <w:szCs w:val="21"/>
                <w:u w:val="none"/>
                <w:lang w:val="en-US" w:eastAsia="zh-CN" w:bidi="ar"/>
              </w:rPr>
              <w:t>资金使用合规性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89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48F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项目资金使用是否符合相关的财务管理制度规定，用以反映和考核项目资金的规范运行情况。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67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15F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符合国家财经法规和财务管理制度以及有关专项资金管理办法的规定；②资金的拨付有完整的审批程序和手续；③项目开支符合政府采购管理要求；④符合项目预算批复或合同规定的用途，以及按照项目合同规定的支付方式进行支付；⑤不存在截留、挤占、挪用、虚列支出等情况。具备一个得分要素，得到指标分值的</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。但如缺少要素④或⑤指标得分为</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D6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各项目提供的资金支出明细，各项目支出①符合国家财经法规和财务管理制度以及有关专项资金管理办法的规定；②资金的拨付有完整的审批程序和手续；③项目开支符合政府采购管理要求；④符合项目预算批复或合同规定的用途，以及按照项目合同规定的支付方式进行支付；⑤不存在截留、挤占、挪用、虚列支出等情况。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F6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7972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CFE6">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FBE6">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8D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B26</w:t>
            </w:r>
            <w:r>
              <w:rPr>
                <w:rFonts w:hint="eastAsia" w:ascii="宋体" w:hAnsi="宋体" w:eastAsia="宋体" w:cs="宋体"/>
                <w:i w:val="0"/>
                <w:iCs w:val="0"/>
                <w:color w:val="000000"/>
                <w:kern w:val="0"/>
                <w:sz w:val="21"/>
                <w:szCs w:val="21"/>
                <w:u w:val="none"/>
                <w:lang w:val="en-US" w:eastAsia="zh-CN" w:bidi="ar"/>
              </w:rPr>
              <w:t>监督管理有效性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D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6A1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项目实施单位是否为保障资金的安全、规范运行而采取了必要的监控措施，用以反映和考核项目实施单位对资金运行的控制情况。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5C8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1D7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①县级定期开展项目实施和资金支出进度等跟踪督促情况，按要求落实到位；②对省、市跟踪督促及各类检查发现问题进行整改落实；③对全国</w:t>
            </w:r>
            <w:r>
              <w:rPr>
                <w:rFonts w:hint="default" w:ascii="Times New Roman" w:hAnsi="Times New Roman" w:eastAsia="宋体" w:cs="Times New Roman"/>
                <w:i w:val="0"/>
                <w:iCs w:val="0"/>
                <w:color w:val="000000"/>
                <w:kern w:val="0"/>
                <w:sz w:val="21"/>
                <w:szCs w:val="21"/>
                <w:u w:val="none"/>
                <w:lang w:val="en-US" w:eastAsia="zh-CN" w:bidi="ar"/>
              </w:rPr>
              <w:t>12317</w:t>
            </w:r>
            <w:r>
              <w:rPr>
                <w:rFonts w:hint="eastAsia" w:ascii="宋体" w:hAnsi="宋体" w:eastAsia="宋体" w:cs="宋体"/>
                <w:i w:val="0"/>
                <w:iCs w:val="0"/>
                <w:color w:val="000000"/>
                <w:kern w:val="0"/>
                <w:sz w:val="21"/>
                <w:szCs w:val="21"/>
                <w:u w:val="none"/>
                <w:lang w:val="en-US" w:eastAsia="zh-CN" w:bidi="ar"/>
              </w:rPr>
              <w:t>防止返贫监测和乡村振兴咨询服务平台反馈问题及时处理、整改到位；④投资收益类项目资金安全保障机制，具备相关的制度文件、管理办法，并采取了保障资金安全的必要措施。以上要素各占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权重分，①②③符合得分，否则不得分。④符合得分，否则每有一处项目不符合，扣除</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2E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县级定期开展项目实施和资金支出进度等跟踪督促情况。②根据获取的《滑县统筹整合财政涉农资金项目监督举报案件受理情况及办理结果公告》，能够对省、市跟踪督促及各类检查发现问题进行整改落实；③对全国</w:t>
            </w:r>
            <w:r>
              <w:rPr>
                <w:rFonts w:hint="default" w:ascii="Times New Roman" w:hAnsi="Times New Roman" w:eastAsia="宋体" w:cs="Times New Roman"/>
                <w:i w:val="0"/>
                <w:iCs w:val="0"/>
                <w:color w:val="000000"/>
                <w:kern w:val="0"/>
                <w:sz w:val="21"/>
                <w:szCs w:val="21"/>
                <w:u w:val="none"/>
                <w:lang w:val="en-US" w:eastAsia="zh-CN" w:bidi="ar"/>
              </w:rPr>
              <w:t>12317</w:t>
            </w:r>
            <w:r>
              <w:rPr>
                <w:rFonts w:hint="eastAsia" w:ascii="宋体" w:hAnsi="宋体" w:eastAsia="宋体" w:cs="宋体"/>
                <w:i w:val="0"/>
                <w:iCs w:val="0"/>
                <w:color w:val="000000"/>
                <w:kern w:val="0"/>
                <w:sz w:val="21"/>
                <w:szCs w:val="21"/>
                <w:u w:val="none"/>
                <w:lang w:val="en-US" w:eastAsia="zh-CN" w:bidi="ar"/>
              </w:rPr>
              <w:t>防止返贫监测和乡村振兴咨询服务平台反馈问题及时处理、整改到位；④未获取到投资收益类项目资金安全保障机制等相关材料，扣除</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权重分。综上，该指标得</w:t>
            </w:r>
            <w:r>
              <w:rPr>
                <w:rFonts w:hint="default" w:ascii="Times New Roman" w:hAnsi="Times New Roman" w:eastAsia="宋体" w:cs="Times New Roman"/>
                <w:i w:val="0"/>
                <w:iCs w:val="0"/>
                <w:color w:val="000000"/>
                <w:kern w:val="0"/>
                <w:sz w:val="21"/>
                <w:szCs w:val="21"/>
                <w:u w:val="none"/>
                <w:lang w:val="en-US" w:eastAsia="zh-CN" w:bidi="ar"/>
              </w:rPr>
              <w:t>75%</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F0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 </w:t>
            </w:r>
          </w:p>
        </w:tc>
      </w:tr>
      <w:tr w14:paraId="7176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911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w:t>
            </w:r>
            <w:r>
              <w:rPr>
                <w:rFonts w:hint="eastAsia" w:ascii="宋体" w:hAnsi="宋体" w:eastAsia="宋体" w:cs="宋体"/>
                <w:i w:val="0"/>
                <w:iCs w:val="0"/>
                <w:color w:val="000000"/>
                <w:kern w:val="0"/>
                <w:sz w:val="21"/>
                <w:szCs w:val="21"/>
                <w:u w:val="none"/>
                <w:lang w:val="en-US" w:eastAsia="zh-CN" w:bidi="ar"/>
              </w:rPr>
              <w:t>项目产出（</w:t>
            </w: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0C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w:t>
            </w:r>
            <w:r>
              <w:rPr>
                <w:rFonts w:hint="eastAsia" w:ascii="宋体" w:hAnsi="宋体" w:eastAsia="宋体" w:cs="宋体"/>
                <w:i w:val="0"/>
                <w:iCs w:val="0"/>
                <w:color w:val="000000"/>
                <w:kern w:val="0"/>
                <w:sz w:val="21"/>
                <w:szCs w:val="21"/>
                <w:u w:val="none"/>
                <w:lang w:val="en-US" w:eastAsia="zh-CN" w:bidi="ar"/>
              </w:rPr>
              <w:t>产出数量（</w:t>
            </w:r>
            <w:r>
              <w:rPr>
                <w:rFonts w:hint="default" w:ascii="Times New Roman" w:hAnsi="Times New Roman" w:eastAsia="宋体" w:cs="Times New Roman"/>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13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w:t>
            </w:r>
            <w:r>
              <w:rPr>
                <w:rFonts w:hint="eastAsia" w:ascii="宋体" w:hAnsi="宋体" w:eastAsia="宋体" w:cs="宋体"/>
                <w:i w:val="0"/>
                <w:iCs w:val="0"/>
                <w:color w:val="000000"/>
                <w:kern w:val="0"/>
                <w:sz w:val="21"/>
                <w:szCs w:val="21"/>
                <w:u w:val="none"/>
                <w:lang w:val="en-US" w:eastAsia="zh-CN" w:bidi="ar"/>
              </w:rPr>
              <w:t>项目建设实施完成率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98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8AD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考察本地区</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年统筹整合财政涉农资金项目建设完成情况。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65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2A3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根据总体项目进行评分。截至</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w:t>
            </w: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月</w:t>
            </w:r>
            <w:r>
              <w:rPr>
                <w:rFonts w:hint="default" w:ascii="Times New Roman" w:hAnsi="Times New Roman" w:eastAsia="宋体" w:cs="Times New Roman"/>
                <w:i w:val="0"/>
                <w:iCs w:val="0"/>
                <w:color w:val="000000"/>
                <w:kern w:val="0"/>
                <w:sz w:val="21"/>
                <w:szCs w:val="21"/>
                <w:u w:val="none"/>
                <w:lang w:val="en-US" w:eastAsia="zh-CN" w:bidi="ar"/>
              </w:rPr>
              <w:t>31</w:t>
            </w:r>
            <w:r>
              <w:rPr>
                <w:rFonts w:hint="eastAsia" w:ascii="宋体" w:hAnsi="宋体" w:eastAsia="宋体" w:cs="宋体"/>
                <w:i w:val="0"/>
                <w:iCs w:val="0"/>
                <w:color w:val="000000"/>
                <w:kern w:val="0"/>
                <w:sz w:val="21"/>
                <w:szCs w:val="21"/>
                <w:u w:val="none"/>
                <w:lang w:val="en-US" w:eastAsia="zh-CN" w:bidi="ar"/>
              </w:rPr>
              <w:t>日，纳入</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年度统筹整合财政涉农资金台账的所有项目均已完工，得满分权重分。否则按完成比例得分。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76B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年，滑县统筹整合财政涉农资金实施范围涉及全县各类项目</w:t>
            </w:r>
            <w:r>
              <w:rPr>
                <w:rFonts w:hint="default" w:ascii="Times New Roman" w:hAnsi="Times New Roman" w:eastAsia="宋体" w:cs="Times New Roman"/>
                <w:i w:val="0"/>
                <w:iCs w:val="0"/>
                <w:color w:val="000000"/>
                <w:kern w:val="0"/>
                <w:sz w:val="21"/>
                <w:szCs w:val="21"/>
                <w:u w:val="none"/>
                <w:lang w:val="en-US" w:eastAsia="zh-CN" w:bidi="ar"/>
              </w:rPr>
              <w:t>387</w:t>
            </w:r>
            <w:r>
              <w:rPr>
                <w:rFonts w:hint="eastAsia" w:ascii="宋体" w:hAnsi="宋体" w:eastAsia="宋体" w:cs="宋体"/>
                <w:i w:val="0"/>
                <w:iCs w:val="0"/>
                <w:color w:val="000000"/>
                <w:kern w:val="0"/>
                <w:sz w:val="21"/>
                <w:szCs w:val="21"/>
                <w:u w:val="none"/>
                <w:lang w:val="en-US" w:eastAsia="zh-CN" w:bidi="ar"/>
              </w:rPr>
              <w:t>个，包括农村基础设施类项目（背街小巷硬化奖补、道路硬化、危房改造、以工代赈、高标准农田机井及配套）</w:t>
            </w:r>
            <w:r>
              <w:rPr>
                <w:rFonts w:hint="default" w:ascii="Times New Roman" w:hAnsi="Times New Roman" w:eastAsia="宋体" w:cs="Times New Roman"/>
                <w:i w:val="0"/>
                <w:iCs w:val="0"/>
                <w:color w:val="000000"/>
                <w:kern w:val="0"/>
                <w:sz w:val="21"/>
                <w:szCs w:val="21"/>
                <w:u w:val="none"/>
                <w:lang w:val="en-US" w:eastAsia="zh-CN" w:bidi="ar"/>
              </w:rPr>
              <w:t>350</w:t>
            </w:r>
            <w:r>
              <w:rPr>
                <w:rFonts w:hint="eastAsia" w:ascii="宋体" w:hAnsi="宋体" w:eastAsia="宋体" w:cs="宋体"/>
                <w:i w:val="0"/>
                <w:iCs w:val="0"/>
                <w:color w:val="000000"/>
                <w:kern w:val="0"/>
                <w:sz w:val="21"/>
                <w:szCs w:val="21"/>
                <w:u w:val="none"/>
                <w:lang w:val="en-US" w:eastAsia="zh-CN" w:bidi="ar"/>
              </w:rPr>
              <w:t>个、产业发展类项目（设施农业产业扶持村集体经济发展扶持）</w:t>
            </w:r>
            <w:r>
              <w:rPr>
                <w:rFonts w:hint="default" w:ascii="Times New Roman" w:hAnsi="Times New Roman" w:eastAsia="宋体" w:cs="Times New Roman"/>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个、其他类项目（雨露计划、就业创业技能培训、小额贷款贴息、项目管理费、市派第一书记工作经费）</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个。除项目管理费、市派第一书记工作经费以外，截至评价期结束，</w:t>
            </w:r>
            <w:r>
              <w:rPr>
                <w:rFonts w:hint="default" w:ascii="Times New Roman" w:hAnsi="Times New Roman" w:eastAsia="宋体" w:cs="Times New Roman"/>
                <w:i w:val="0"/>
                <w:iCs w:val="0"/>
                <w:color w:val="000000"/>
                <w:kern w:val="0"/>
                <w:sz w:val="21"/>
                <w:szCs w:val="21"/>
                <w:u w:val="none"/>
                <w:lang w:val="en-US" w:eastAsia="zh-CN" w:bidi="ar"/>
              </w:rPr>
              <w:t>385</w:t>
            </w:r>
            <w:r>
              <w:rPr>
                <w:rFonts w:hint="eastAsia" w:ascii="宋体" w:hAnsi="宋体" w:eastAsia="宋体" w:cs="宋体"/>
                <w:i w:val="0"/>
                <w:iCs w:val="0"/>
                <w:color w:val="000000"/>
                <w:kern w:val="0"/>
                <w:sz w:val="21"/>
                <w:szCs w:val="21"/>
                <w:u w:val="none"/>
                <w:lang w:val="en-US" w:eastAsia="zh-CN" w:bidi="ar"/>
              </w:rPr>
              <w:t>个项目已全部完成建设任务，总体完工率为</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。因此得满分权重分。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B4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6.00 </w:t>
            </w:r>
          </w:p>
        </w:tc>
      </w:tr>
      <w:tr w14:paraId="4A70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B235D">
            <w:pPr>
              <w:jc w:val="center"/>
              <w:rPr>
                <w:rFonts w:hint="default" w:ascii="Times New Roman" w:hAnsi="Times New Roman" w:eastAsia="宋体" w:cs="Times New Roman"/>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2EC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w:t>
            </w:r>
            <w:r>
              <w:rPr>
                <w:rFonts w:hint="eastAsia" w:ascii="宋体" w:hAnsi="宋体" w:eastAsia="宋体" w:cs="宋体"/>
                <w:i w:val="0"/>
                <w:iCs w:val="0"/>
                <w:color w:val="000000"/>
                <w:kern w:val="0"/>
                <w:sz w:val="21"/>
                <w:szCs w:val="21"/>
                <w:u w:val="none"/>
                <w:lang w:val="en-US" w:eastAsia="zh-CN" w:bidi="ar"/>
              </w:rPr>
              <w:t>产出质量（</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75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C21</w:t>
            </w:r>
            <w:r>
              <w:rPr>
                <w:rFonts w:hint="eastAsia" w:ascii="宋体" w:hAnsi="宋体" w:eastAsia="宋体" w:cs="宋体"/>
                <w:i w:val="0"/>
                <w:iCs w:val="0"/>
                <w:color w:val="000000"/>
                <w:kern w:val="0"/>
                <w:sz w:val="21"/>
                <w:szCs w:val="21"/>
                <w:u w:val="none"/>
                <w:lang w:val="en-US" w:eastAsia="zh-CN" w:bidi="ar"/>
              </w:rPr>
              <w:t>项目验收合格率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A4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2E9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考察本地区</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年统筹整合财政涉农资金项目已完成项目验收合格情况。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94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E6CE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根据抽取核查项目进行评分。项目验收合格率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验收合格项目数量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已完成项目总量</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。项目验收合格率达到</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，得满分权重分。否则按实际验收情况得分。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C5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根据评价组了解情况，部分已完工项目尚未完成验收，视情况得</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AB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3.50 </w:t>
            </w:r>
          </w:p>
        </w:tc>
      </w:tr>
      <w:tr w14:paraId="2597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59593">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15BF6">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B8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C22</w:t>
            </w:r>
            <w:r>
              <w:rPr>
                <w:rFonts w:hint="eastAsia" w:ascii="宋体" w:hAnsi="宋体" w:eastAsia="宋体" w:cs="宋体"/>
                <w:i w:val="0"/>
                <w:iCs w:val="0"/>
                <w:color w:val="000000"/>
                <w:kern w:val="0"/>
                <w:sz w:val="21"/>
                <w:szCs w:val="21"/>
                <w:u w:val="none"/>
                <w:lang w:val="en-US" w:eastAsia="zh-CN" w:bidi="ar"/>
              </w:rPr>
              <w:t>工程质量达标率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FE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49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考察各项基础设施工程质量合格情况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F5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F4A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根据抽取核查项目进行评分。各项工程质量达标率为</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，得满分权重分。每发现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处工程质量不达标，扣除相应权重分的</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8A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根据项目单位提供的验收材料，已完工项目工程质量总体达标，得满分权重分。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A8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430E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A1272">
            <w:pPr>
              <w:jc w:val="center"/>
              <w:rPr>
                <w:rFonts w:hint="default" w:ascii="Times New Roman" w:hAnsi="Times New Roman" w:eastAsia="宋体" w:cs="Times New Roman"/>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971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w:t>
            </w:r>
            <w:r>
              <w:rPr>
                <w:rFonts w:hint="eastAsia" w:ascii="宋体" w:hAnsi="宋体" w:eastAsia="宋体" w:cs="宋体"/>
                <w:i w:val="0"/>
                <w:iCs w:val="0"/>
                <w:color w:val="000000"/>
                <w:kern w:val="0"/>
                <w:sz w:val="21"/>
                <w:szCs w:val="21"/>
                <w:u w:val="none"/>
                <w:lang w:val="en-US" w:eastAsia="zh-CN" w:bidi="ar"/>
              </w:rPr>
              <w:t>产出时效（</w:t>
            </w: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F5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C31</w:t>
            </w:r>
            <w:r>
              <w:rPr>
                <w:rFonts w:hint="eastAsia" w:ascii="宋体" w:hAnsi="宋体" w:eastAsia="宋体" w:cs="宋体"/>
                <w:i w:val="0"/>
                <w:iCs w:val="0"/>
                <w:color w:val="000000"/>
                <w:kern w:val="0"/>
                <w:sz w:val="21"/>
                <w:szCs w:val="21"/>
                <w:u w:val="none"/>
                <w:lang w:val="en-US" w:eastAsia="zh-CN" w:bidi="ar"/>
              </w:rPr>
              <w:t>项目开工及时率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85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4D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考察本地区</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年统筹整合财政涉农资金项目按计划开工情况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99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96B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根据抽取核查项目进行评分。项目开工及时率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及时开工的项目数量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核查项目总数。及时开工项目：根据合同约定，不晚于合同约定开工时间进行开工建设视为及时。及时率达</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得满分，否则根据实际开工情况按比例得分。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7B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本次评价抽取的</w:t>
            </w:r>
            <w:r>
              <w:rPr>
                <w:rFonts w:hint="default" w:ascii="Times New Roman" w:hAnsi="Times New Roman" w:eastAsia="宋体" w:cs="Times New Roman"/>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个项目均能够按照约定开工时间开工建设，得满分。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E3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7695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32D9">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A6FAA">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AA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C32</w:t>
            </w:r>
            <w:r>
              <w:rPr>
                <w:rFonts w:hint="eastAsia" w:ascii="宋体" w:hAnsi="宋体" w:eastAsia="宋体" w:cs="宋体"/>
                <w:i w:val="0"/>
                <w:iCs w:val="0"/>
                <w:color w:val="000000"/>
                <w:kern w:val="0"/>
                <w:sz w:val="21"/>
                <w:szCs w:val="21"/>
                <w:u w:val="none"/>
                <w:lang w:val="en-US" w:eastAsia="zh-CN" w:bidi="ar"/>
              </w:rPr>
              <w:t>项目完成及时率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78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7DB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考察本地区</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年统筹整合财政涉农资金项目是否按照计划有效推进。</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AE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200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根据抽取核查项目进行评分。项目完工及时率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及时完工的项目数量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核查项目总数。及时完工项目：根据合同约定，不晚于合同约定完工时间形象进度完工视为及时。及时率达</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得满分，否则根据实际完成情况按比例得分。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5E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本次评价抽取的</w:t>
            </w:r>
            <w:r>
              <w:rPr>
                <w:rFonts w:hint="default" w:ascii="Times New Roman" w:hAnsi="Times New Roman" w:eastAsia="宋体" w:cs="Times New Roman"/>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个项目均能够按照约定完工时间完成项目建设，得满分。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63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4565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45420">
            <w:pPr>
              <w:jc w:val="center"/>
              <w:rPr>
                <w:rFonts w:hint="default" w:ascii="Times New Roman" w:hAnsi="Times New Roman" w:eastAsia="宋体"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0B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C4</w:t>
            </w:r>
            <w:r>
              <w:rPr>
                <w:rFonts w:hint="eastAsia" w:ascii="宋体" w:hAnsi="宋体" w:eastAsia="宋体" w:cs="宋体"/>
                <w:i w:val="0"/>
                <w:iCs w:val="0"/>
                <w:color w:val="000000"/>
                <w:kern w:val="0"/>
                <w:sz w:val="21"/>
                <w:szCs w:val="21"/>
                <w:u w:val="none"/>
                <w:lang w:val="en-US" w:eastAsia="zh-CN" w:bidi="ar"/>
              </w:rPr>
              <w:t>产出成本（</w:t>
            </w:r>
            <w:r>
              <w:rPr>
                <w:rFonts w:hint="default" w:ascii="Times New Roman" w:hAnsi="Times New Roman" w:eastAsia="宋体" w:cs="Times New Roman"/>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DE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C41</w:t>
            </w:r>
            <w:r>
              <w:rPr>
                <w:rFonts w:hint="eastAsia" w:ascii="宋体" w:hAnsi="宋体" w:eastAsia="宋体" w:cs="宋体"/>
                <w:i w:val="0"/>
                <w:iCs w:val="0"/>
                <w:color w:val="000000"/>
                <w:kern w:val="0"/>
                <w:sz w:val="21"/>
                <w:szCs w:val="21"/>
                <w:u w:val="none"/>
                <w:lang w:val="en-US" w:eastAsia="zh-CN" w:bidi="ar"/>
              </w:rPr>
              <w:t>项目成本节约率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65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901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考察扶持项目建设成本及支出情况。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DD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48F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根据抽取核查项目进行评分。项目实际建设成本不超预算成本得满分。否则每有一处项目实际建设成本超出预算成本扣除</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权重分，扣完为止。</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项目实际建设成本：根据项目决算审计报告，项目最终决算审定金额。如无决算审计材料，以采购合同、或实际支出明细作为考核依据。</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项目预算成本：以财政批复资金作为考核依据。</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F6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本次评价抽查的项目，未发现项目实际建设成本超预算成本的情况。综上，该指标得满分。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81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6.00 </w:t>
            </w:r>
          </w:p>
        </w:tc>
      </w:tr>
      <w:tr w14:paraId="051C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4C1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r>
              <w:rPr>
                <w:rFonts w:hint="eastAsia" w:ascii="宋体" w:hAnsi="宋体" w:eastAsia="宋体" w:cs="宋体"/>
                <w:i w:val="0"/>
                <w:iCs w:val="0"/>
                <w:color w:val="000000"/>
                <w:kern w:val="0"/>
                <w:sz w:val="21"/>
                <w:szCs w:val="21"/>
                <w:u w:val="none"/>
                <w:lang w:val="en-US" w:eastAsia="zh-CN" w:bidi="ar"/>
              </w:rPr>
              <w:t>项目效益（</w:t>
            </w: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09F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D1</w:t>
            </w:r>
            <w:r>
              <w:rPr>
                <w:rFonts w:hint="eastAsia" w:ascii="宋体" w:hAnsi="宋体" w:eastAsia="宋体" w:cs="宋体"/>
                <w:i w:val="0"/>
                <w:iCs w:val="0"/>
                <w:color w:val="000000"/>
                <w:kern w:val="0"/>
                <w:sz w:val="21"/>
                <w:szCs w:val="21"/>
                <w:u w:val="none"/>
                <w:lang w:val="en-US" w:eastAsia="zh-CN" w:bidi="ar"/>
              </w:rPr>
              <w:t>经济效益（</w:t>
            </w: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274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D11</w:t>
            </w:r>
            <w:r>
              <w:rPr>
                <w:rFonts w:hint="eastAsia" w:ascii="宋体" w:hAnsi="宋体" w:eastAsia="宋体" w:cs="宋体"/>
                <w:i w:val="0"/>
                <w:iCs w:val="0"/>
                <w:color w:val="000000"/>
                <w:kern w:val="0"/>
                <w:sz w:val="21"/>
                <w:szCs w:val="21"/>
                <w:u w:val="none"/>
                <w:lang w:val="en-US" w:eastAsia="zh-CN" w:bidi="ar"/>
              </w:rPr>
              <w:t>农村居民人均可支配收入增长率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40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FD9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考察通过</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年统筹整合财政涉农资金项目实施，农村居民人均可支配收入增加情况。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9C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532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计算方式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年农村居民人均可支配收入</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年农村居民人均可支配收入）</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年农村居民人均可支配收入</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。达到目标值，得</w:t>
            </w:r>
            <w:r>
              <w:rPr>
                <w:rFonts w:hint="default" w:ascii="Times New Roman" w:hAnsi="Times New Roman" w:eastAsia="宋体" w:cs="Times New Roman"/>
                <w:i w:val="0"/>
                <w:iCs w:val="0"/>
                <w:color w:val="000000"/>
                <w:kern w:val="0"/>
                <w:sz w:val="21"/>
                <w:szCs w:val="21"/>
                <w:u w:val="none"/>
                <w:lang w:val="en-US" w:eastAsia="zh-CN" w:bidi="ar"/>
              </w:rPr>
              <w:t>70%</w:t>
            </w:r>
            <w:r>
              <w:rPr>
                <w:rFonts w:hint="eastAsia" w:ascii="宋体" w:hAnsi="宋体" w:eastAsia="宋体" w:cs="宋体"/>
                <w:i w:val="0"/>
                <w:iCs w:val="0"/>
                <w:color w:val="000000"/>
                <w:kern w:val="0"/>
                <w:sz w:val="21"/>
                <w:szCs w:val="21"/>
                <w:u w:val="none"/>
                <w:lang w:val="en-US" w:eastAsia="zh-CN" w:bidi="ar"/>
              </w:rPr>
              <w:t>权重分；每低于目标值</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扣除</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权重分，扣完为止；每高于目标值</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增加</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权重分，满分为止。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89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依据县乡村振兴局提供的相关数据，</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年度农村居民人均可支配收入高于</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B5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61BD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7DE68">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CBC14">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19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D12</w:t>
            </w:r>
            <w:r>
              <w:rPr>
                <w:rFonts w:hint="eastAsia" w:ascii="宋体" w:hAnsi="宋体" w:eastAsia="宋体" w:cs="宋体"/>
                <w:i w:val="0"/>
                <w:iCs w:val="0"/>
                <w:color w:val="000000"/>
                <w:kern w:val="0"/>
                <w:sz w:val="21"/>
                <w:szCs w:val="21"/>
                <w:u w:val="none"/>
                <w:lang w:val="en-US" w:eastAsia="zh-CN" w:bidi="ar"/>
              </w:rPr>
              <w:t>带动增加村集体经济年收入</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B1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DB0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考察通过</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年统筹整合财政涉农资金项目实施，对村集体经济发展带动情况。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E0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9D4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计算方式</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年村集体经济收入</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年村集体经济收入）</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年村集体经济收入</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。达到目标值，得</w:t>
            </w:r>
            <w:r>
              <w:rPr>
                <w:rFonts w:hint="default" w:ascii="Times New Roman" w:hAnsi="Times New Roman" w:eastAsia="宋体" w:cs="Times New Roman"/>
                <w:i w:val="0"/>
                <w:iCs w:val="0"/>
                <w:color w:val="000000"/>
                <w:kern w:val="0"/>
                <w:sz w:val="21"/>
                <w:szCs w:val="21"/>
                <w:u w:val="none"/>
                <w:lang w:val="en-US" w:eastAsia="zh-CN" w:bidi="ar"/>
              </w:rPr>
              <w:t>70%</w:t>
            </w:r>
            <w:r>
              <w:rPr>
                <w:rFonts w:hint="eastAsia" w:ascii="宋体" w:hAnsi="宋体" w:eastAsia="宋体" w:cs="宋体"/>
                <w:i w:val="0"/>
                <w:iCs w:val="0"/>
                <w:color w:val="000000"/>
                <w:kern w:val="0"/>
                <w:sz w:val="21"/>
                <w:szCs w:val="21"/>
                <w:u w:val="none"/>
                <w:lang w:val="en-US" w:eastAsia="zh-CN" w:bidi="ar"/>
              </w:rPr>
              <w:t>权重分；每低于目标值</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扣除</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权重分，扣完为止；每高于目标值</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增加</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权重分，满分为止。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CF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依据县乡村振兴局提供的相关数据，</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年度通过项目实施带动村集体经济收入高于</w:t>
            </w:r>
            <w:r>
              <w:rPr>
                <w:rFonts w:hint="default" w:ascii="Times New Roman" w:hAnsi="Times New Roman" w:eastAsia="宋体" w:cs="Times New Roman"/>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年，得满分。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08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0527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79C49">
            <w:pPr>
              <w:jc w:val="center"/>
              <w:rPr>
                <w:rFonts w:hint="default" w:ascii="Times New Roman" w:hAnsi="Times New Roman" w:eastAsia="宋体"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73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D2</w:t>
            </w:r>
            <w:r>
              <w:rPr>
                <w:rFonts w:hint="eastAsia" w:ascii="宋体" w:hAnsi="宋体" w:eastAsia="宋体" w:cs="宋体"/>
                <w:i w:val="0"/>
                <w:iCs w:val="0"/>
                <w:color w:val="000000"/>
                <w:kern w:val="0"/>
                <w:sz w:val="21"/>
                <w:szCs w:val="21"/>
                <w:u w:val="none"/>
                <w:lang w:val="en-US" w:eastAsia="zh-CN" w:bidi="ar"/>
              </w:rPr>
              <w:t>社会效益（</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BC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D21</w:t>
            </w:r>
            <w:r>
              <w:rPr>
                <w:rFonts w:hint="eastAsia" w:ascii="宋体" w:hAnsi="宋体" w:eastAsia="宋体" w:cs="宋体"/>
                <w:i w:val="0"/>
                <w:iCs w:val="0"/>
                <w:color w:val="000000"/>
                <w:kern w:val="0"/>
                <w:sz w:val="21"/>
                <w:szCs w:val="21"/>
                <w:u w:val="none"/>
                <w:lang w:val="en-US" w:eastAsia="zh-CN" w:bidi="ar"/>
              </w:rPr>
              <w:t>惠及困难群众数量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D1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0A2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考察通过</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年统筹整合财政涉农资金项目实施，覆盖困难群众数量。</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F0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E2B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惠及困难群众数量达到实施方案预期目标得满分，否则根据实际完成情况按比例得分。</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84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依据各项目提供的绩效目标申报表与自评表，惠及困难群众数量达到实施方案预期目标。综上，该指标得满分权重分。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58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1290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F493">
            <w:pPr>
              <w:jc w:val="center"/>
              <w:rPr>
                <w:rFonts w:hint="default" w:ascii="Times New Roman" w:hAnsi="Times New Roman" w:eastAsia="宋体" w:cs="Times New Roman"/>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454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w:t>
            </w:r>
            <w:r>
              <w:rPr>
                <w:rFonts w:hint="eastAsia" w:ascii="宋体" w:hAnsi="宋体" w:eastAsia="宋体" w:cs="宋体"/>
                <w:i w:val="0"/>
                <w:iCs w:val="0"/>
                <w:color w:val="000000"/>
                <w:kern w:val="0"/>
                <w:sz w:val="21"/>
                <w:szCs w:val="21"/>
                <w:u w:val="none"/>
                <w:lang w:val="en-US" w:eastAsia="zh-CN" w:bidi="ar"/>
              </w:rPr>
              <w:t>可持续影响（</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6E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D31</w:t>
            </w:r>
            <w:r>
              <w:rPr>
                <w:rFonts w:hint="eastAsia" w:ascii="宋体" w:hAnsi="宋体" w:eastAsia="宋体" w:cs="宋体"/>
                <w:i w:val="0"/>
                <w:iCs w:val="0"/>
                <w:color w:val="000000"/>
                <w:kern w:val="0"/>
                <w:sz w:val="21"/>
                <w:szCs w:val="21"/>
                <w:u w:val="none"/>
                <w:lang w:val="en-US" w:eastAsia="zh-CN" w:bidi="ar"/>
              </w:rPr>
              <w:t>联农带农机制有效性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D6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D32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考察产业发展类项目联农带农机制是否健全有效。</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48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35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①产业类项目建立有联农带农机制。至少包括</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种及以上的带动模式，如土地流转、就业务工、带动生产、帮助产销对接、资产入股、收益分红、生产托管等。②联农带农、产业带贫佐证材料齐全，包括但不局限于：（</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）脱贫户就业协议</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劳动合同；（</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）脱贫户工资发放证明、银行流水；（</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）承租企业租金上缴证明等。以上要素各占</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权重分，符合得分。每发现</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个项目不符合，扣除相应权重分的</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3A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依据项目提供的实施方案：①产业类项目建立有联农带农机制。至少包括</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种及以上的带动模式；②脱贫户就业协议、工资发放流水、承租单位租金上缴证明等联农带农、产业带贫佐证材料齐全。综上，该指标得满分权重分。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81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4260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8891">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679B">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74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D32</w:t>
            </w:r>
            <w:r>
              <w:rPr>
                <w:rFonts w:hint="eastAsia" w:ascii="宋体" w:hAnsi="宋体" w:eastAsia="宋体" w:cs="宋体"/>
                <w:i w:val="0"/>
                <w:iCs w:val="0"/>
                <w:color w:val="000000"/>
                <w:kern w:val="0"/>
                <w:sz w:val="21"/>
                <w:szCs w:val="21"/>
                <w:u w:val="none"/>
                <w:lang w:val="en-US" w:eastAsia="zh-CN" w:bidi="ar"/>
              </w:rPr>
              <w:t>资产管理有效性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51F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2ED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考察项目建设完成后资产确权及移交情况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CB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1B13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①村级层面制定有项目资产管理制度；②村级层面制定有资产收益分配方案，且履行相应审批程序并及时公开；③资产确权手续完备，具备纳入农村</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管理凭证。确权至村级以上的资产，资产移交手续齐全；④确权至村集体经济组织的扶贫项目资产类型、金额等账面数据，与县级项目资产管理台账数据相符。以上要素各占</w:t>
            </w: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权重分，符合得分，否则每有一处项目村不符合，扣除</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7F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村级层面制定有项目资产管理制度；②村级层面制定有资产收益分配方案，且履行相应审批程序并及时公开；③已完工项目正在进行资产确权手续，得12.5%权重分；④抽取的项目确权至村集体经济组织的扶贫项目资产类型、金额等账面数据，与县级项目资产管理台账数据相符。综上，该指标得87.5</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CD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2.63 </w:t>
            </w:r>
          </w:p>
        </w:tc>
      </w:tr>
      <w:tr w14:paraId="1FA0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E464">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DB54A">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0F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D32</w:t>
            </w:r>
            <w:r>
              <w:rPr>
                <w:rFonts w:hint="eastAsia" w:ascii="宋体" w:hAnsi="宋体" w:eastAsia="宋体" w:cs="宋体"/>
                <w:i w:val="0"/>
                <w:iCs w:val="0"/>
                <w:color w:val="000000"/>
                <w:kern w:val="0"/>
                <w:sz w:val="21"/>
                <w:szCs w:val="21"/>
                <w:u w:val="none"/>
                <w:lang w:val="en-US" w:eastAsia="zh-CN" w:bidi="ar"/>
              </w:rPr>
              <w:t>项目管护机制健全性</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DD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24D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考察基础设施类项目质量是否达到相应标准，后续关注是否健全。</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0F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53F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经营性资产制定有运营方案，确定运营主体、经营方式和期限，明确运营各方权利义务；②公益性资产具备管理制度，完善管护标准和规范，落实管护责任人和管护经费；③根据管护制度严格落实管护任务，管护质量较高，未出现管护不到位情况（例如道路破损、安全饮水工程无法正常使用）等。以上要素各占</w:t>
            </w:r>
            <w:r>
              <w:rPr>
                <w:rFonts w:hint="default" w:ascii="Times New Roman" w:hAnsi="Times New Roman" w:eastAsia="宋体" w:cs="Times New Roman"/>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权重分，符合得分，否则每有一处项目不符合，扣除</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0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①评价组未获取经营性资产运营方案，不得分；②公益性资产具备管护制度，能够落实管护责任人和管护经费，得</w:t>
            </w:r>
            <w:r>
              <w:rPr>
                <w:rFonts w:hint="default" w:ascii="Times New Roman" w:hAnsi="Times New Roman" w:eastAsia="宋体" w:cs="Times New Roman"/>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权重分；③根据管护制度严格落实管护任务，管护质量较高，未出现管护不到位情况。综上，该指标得</w:t>
            </w:r>
            <w:r>
              <w:rPr>
                <w:rFonts w:hint="default" w:ascii="Times New Roman" w:hAnsi="Times New Roman" w:eastAsia="宋体" w:cs="Times New Roman"/>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4A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3.33 </w:t>
            </w:r>
          </w:p>
        </w:tc>
      </w:tr>
      <w:tr w14:paraId="72A3A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193DE">
            <w:pPr>
              <w:jc w:val="center"/>
              <w:rPr>
                <w:rFonts w:hint="default" w:ascii="Times New Roman" w:hAnsi="Times New Roman" w:eastAsia="宋体" w:cs="Times New Roman"/>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9386">
            <w:pPr>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E2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D33</w:t>
            </w:r>
            <w:r>
              <w:rPr>
                <w:rFonts w:hint="eastAsia" w:ascii="宋体" w:hAnsi="宋体" w:eastAsia="宋体" w:cs="宋体"/>
                <w:i w:val="0"/>
                <w:iCs w:val="0"/>
                <w:color w:val="000000"/>
                <w:kern w:val="0"/>
                <w:sz w:val="21"/>
                <w:szCs w:val="21"/>
                <w:u w:val="none"/>
                <w:lang w:val="en-US" w:eastAsia="zh-CN" w:bidi="ar"/>
              </w:rPr>
              <w:t>往年项目持续发挥作用情况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50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91F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考察以往扶持项目是否持续有效运行。</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05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531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通过实地核查，往年项目能够正常运行，持续发挥作用，且后续年度运行成效达到实施期初计划标准得满分，否则每有一处项目存在闲置或带贫效果不显著、未达到实施期初计划标准等问题，扣除</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00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通过实地核查，往年项目能够正常运行，持续发挥作用。综上，该指标得满分权重分。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33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 </w:t>
            </w:r>
          </w:p>
        </w:tc>
      </w:tr>
      <w:tr w14:paraId="0769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10CE0">
            <w:pPr>
              <w:jc w:val="center"/>
              <w:rPr>
                <w:rFonts w:hint="default" w:ascii="Times New Roman" w:hAnsi="Times New Roman" w:eastAsia="宋体" w:cs="Times New Roman"/>
                <w:i w:val="0"/>
                <w:iCs w:val="0"/>
                <w:color w:val="000000"/>
                <w:sz w:val="21"/>
                <w:szCs w:val="21"/>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B8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D4</w:t>
            </w:r>
            <w:r>
              <w:rPr>
                <w:rFonts w:hint="eastAsia" w:ascii="宋体" w:hAnsi="宋体" w:eastAsia="宋体" w:cs="宋体"/>
                <w:i w:val="0"/>
                <w:iCs w:val="0"/>
                <w:color w:val="000000"/>
                <w:kern w:val="0"/>
                <w:sz w:val="21"/>
                <w:szCs w:val="21"/>
                <w:u w:val="none"/>
                <w:lang w:val="en-US" w:eastAsia="zh-CN" w:bidi="ar"/>
              </w:rPr>
              <w:t>服务对象满意度（</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94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D41</w:t>
            </w:r>
            <w:r>
              <w:rPr>
                <w:rFonts w:hint="eastAsia" w:ascii="宋体" w:hAnsi="宋体" w:eastAsia="宋体" w:cs="宋体"/>
                <w:i w:val="0"/>
                <w:iCs w:val="0"/>
                <w:color w:val="000000"/>
                <w:kern w:val="0"/>
                <w:sz w:val="21"/>
                <w:szCs w:val="21"/>
                <w:u w:val="none"/>
                <w:lang w:val="en-US" w:eastAsia="zh-CN" w:bidi="ar"/>
              </w:rPr>
              <w:t>脱贫户和防止返贫监测对象满意度</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9D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2FC7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考察脱贫户和防止返贫监测对象对于当地</w:t>
            </w: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宋体" w:hAnsi="宋体" w:eastAsia="宋体" w:cs="宋体"/>
                <w:i w:val="0"/>
                <w:iCs w:val="0"/>
                <w:color w:val="000000"/>
                <w:kern w:val="0"/>
                <w:sz w:val="21"/>
                <w:szCs w:val="21"/>
                <w:u w:val="none"/>
                <w:lang w:val="en-US" w:eastAsia="zh-CN" w:bidi="ar"/>
              </w:rPr>
              <w:t>年财政衔接推进乡村振兴补助资金项目的满意度。</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7C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146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对脱贫户和防止返贫监测对象进行问卷调查，满意度达到目标值得</w:t>
            </w:r>
            <w:r>
              <w:rPr>
                <w:rFonts w:hint="default" w:ascii="Times New Roman" w:hAnsi="Times New Roman" w:eastAsia="宋体" w:cs="Times New Roman"/>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权重分，每低于目标值</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扣除</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权重分，扣完为止。</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402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通过对对脱贫户和防止返贫监测对象进行问卷调查，群众综合满意度达</w:t>
            </w:r>
            <w:r>
              <w:rPr>
                <w:rFonts w:hint="default" w:ascii="Times New Roman" w:hAnsi="Times New Roman" w:eastAsia="宋体" w:cs="Times New Roman"/>
                <w:i w:val="0"/>
                <w:iCs w:val="0"/>
                <w:color w:val="000000"/>
                <w:kern w:val="0"/>
                <w:sz w:val="21"/>
                <w:szCs w:val="21"/>
                <w:u w:val="none"/>
                <w:lang w:val="en-US" w:eastAsia="zh-CN" w:bidi="ar"/>
              </w:rPr>
              <w:t>95%</w:t>
            </w:r>
            <w:r>
              <w:rPr>
                <w:rFonts w:hint="eastAsia" w:ascii="宋体" w:hAnsi="宋体" w:eastAsia="宋体" w:cs="宋体"/>
                <w:i w:val="0"/>
                <w:iCs w:val="0"/>
                <w:color w:val="000000"/>
                <w:kern w:val="0"/>
                <w:sz w:val="21"/>
                <w:szCs w:val="21"/>
                <w:u w:val="none"/>
                <w:lang w:val="en-US" w:eastAsia="zh-CN" w:bidi="ar"/>
              </w:rPr>
              <w:t>。综上，该指标得满分权重分。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08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14:paraId="274A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74D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BD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D840">
            <w:pPr>
              <w:rPr>
                <w:rFonts w:hint="default" w:ascii="Times New Roman" w:hAnsi="Times New Roman" w:eastAsia="宋体" w:cs="Times New Roman"/>
                <w:b/>
                <w:bCs/>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FD15">
            <w:pPr>
              <w:rPr>
                <w:rFonts w:hint="default" w:ascii="Times New Roman" w:hAnsi="Times New Roman" w:eastAsia="宋体" w:cs="Times New Roman"/>
                <w:b/>
                <w:bCs/>
                <w:i w:val="0"/>
                <w:iCs w:val="0"/>
                <w:color w:val="000000"/>
                <w:sz w:val="21"/>
                <w:szCs w:val="21"/>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2B7E">
            <w:pPr>
              <w:rPr>
                <w:rFonts w:hint="default" w:ascii="Times New Roman" w:hAnsi="Times New Roman" w:eastAsia="宋体" w:cs="Times New Roman"/>
                <w:b/>
                <w:bCs/>
                <w:i w:val="0"/>
                <w:iCs w:val="0"/>
                <w:color w:val="000000"/>
                <w:sz w:val="21"/>
                <w:szCs w:val="21"/>
                <w:u w:val="none"/>
              </w:rPr>
            </w:pP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E253">
            <w:pPr>
              <w:rPr>
                <w:rFonts w:hint="default" w:ascii="Times New Roman" w:hAnsi="Times New Roman" w:eastAsia="宋体" w:cs="Times New Roman"/>
                <w:b/>
                <w:bCs/>
                <w:i w:val="0"/>
                <w:iCs w:val="0"/>
                <w:color w:val="000000"/>
                <w:sz w:val="21"/>
                <w:szCs w:val="21"/>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E4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92.65 </w:t>
            </w:r>
          </w:p>
        </w:tc>
      </w:tr>
    </w:tbl>
    <w:p w14:paraId="4B207EB7">
      <w:pPr>
        <w:rPr>
          <w:rFonts w:hint="default" w:ascii="Times New Roman" w:hAnsi="Times New Roman" w:cs="Times New Roman"/>
          <w:lang w:val="en-US" w:eastAsia="zh-CN"/>
        </w:rPr>
      </w:pPr>
    </w:p>
    <w:sectPr>
      <w:pgSz w:w="16838" w:h="11906" w:orient="landscape"/>
      <w:pgMar w:top="1797" w:right="1440" w:bottom="1797" w:left="1440"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FF805">
    <w:pPr>
      <w:pStyle w:val="10"/>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A38E">
    <w:pPr>
      <w:pStyle w:val="10"/>
      <w:jc w:val="center"/>
      <w:rPr>
        <w:rFonts w:ascii="Times New Roman" w:hAnsi="Times New Roman"/>
      </w:rPr>
    </w:pPr>
    <w:r>
      <w:rPr>
        <w:rFonts w:ascii="Calibri" w:hAnsi="Calibri" w:eastAsia="宋体" w:cs="Times New Roman"/>
        <w:kern w:val="2"/>
        <w:sz w:val="18"/>
        <w:szCs w:val="18"/>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D4866B7">
                <w:pPr>
                  <w:pStyle w:val="10"/>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lang w:val="zh-CN"/>
                  </w:rPr>
                  <w:fldChar w:fldCharType="end"/>
                </w:r>
              </w:p>
              <w:p w14:paraId="5FB52977">
                <w:pPr>
                  <w:pStyle w:val="25"/>
                  <w:rPr>
                    <w:rFonts w:hint="default" w:ascii="Times New Roman" w:hAnsi="Times New Roman" w:cs="Times New Roman"/>
                    <w:sz w:val="28"/>
                    <w:szCs w:val="28"/>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AF46">
    <w:pPr>
      <w:pStyle w:val="10"/>
      <w:jc w:val="center"/>
      <w:rPr>
        <w:rFonts w:ascii="Times New Roman" w:hAnsi="Times New Roman"/>
      </w:rPr>
    </w:pPr>
    <w:r>
      <w:rPr>
        <w:rFonts w:ascii="Calibri" w:hAnsi="Calibri"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69A1095">
                <w:pPr>
                  <w:pStyle w:val="10"/>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lang w:val="zh-CN"/>
                  </w:rPr>
                  <w:fldChar w:fldCharType="end"/>
                </w:r>
              </w:p>
              <w:p w14:paraId="21B9B2F4">
                <w:pPr>
                  <w:pStyle w:val="25"/>
                  <w:rPr>
                    <w:rFonts w:hint="default" w:ascii="Times New Roman" w:hAnsi="Times New Roman" w:cs="Times New Roman"/>
                    <w:sz w:val="28"/>
                    <w:szCs w:val="28"/>
                  </w:rPr>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F3BC">
    <w:pPr>
      <w:pStyle w:val="10"/>
      <w:jc w:val="center"/>
      <w:rPr>
        <w:rFonts w:ascii="Times New Roman" w:hAnsi="Times New Roman"/>
      </w:rPr>
    </w:pPr>
    <w:r>
      <w:rPr>
        <w:rFonts w:ascii="Calibri" w:hAnsi="Calibri"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E09BFBA">
                <w:pPr>
                  <w:pStyle w:val="10"/>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lang w:val="zh-CN"/>
                  </w:rPr>
                  <w:fldChar w:fldCharType="end"/>
                </w:r>
              </w:p>
              <w:p w14:paraId="29E06EED">
                <w:pPr>
                  <w:pStyle w:val="25"/>
                  <w:rPr>
                    <w:rFonts w:hint="default" w:ascii="Times New Roman" w:hAnsi="Times New Roman" w:cs="Times New Roman"/>
                    <w:sz w:val="28"/>
                    <w:szCs w:val="28"/>
                  </w:rPr>
                </w:pP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ED9C">
    <w:pPr>
      <w:pStyle w:val="10"/>
      <w:jc w:val="center"/>
    </w:pPr>
    <w:r>
      <w:rPr>
        <w:rFonts w:ascii="Calibri" w:hAnsi="Calibri" w:eastAsia="宋体" w:cs="Times New Roman"/>
        <w:kern w:val="2"/>
        <w:sz w:val="18"/>
        <w:szCs w:val="18"/>
        <w:lang w:val="en-US" w:eastAsia="zh-CN" w:bidi="ar-SA"/>
      </w:rPr>
      <w:pict>
        <v:rect id="文本框 3" o:spid="_x0000_s410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528C5F8">
                <w:pPr>
                  <w:pStyle w:val="10"/>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38</w:t>
                </w:r>
                <w:r>
                  <w:rPr>
                    <w:rFonts w:hint="default" w:ascii="Times New Roman" w:hAnsi="Times New Roman" w:cs="Times New Roman"/>
                    <w:sz w:val="28"/>
                    <w:szCs w:val="28"/>
                    <w:lang w:val="zh-CN"/>
                  </w:rPr>
                  <w:fldChar w:fldCharType="end"/>
                </w:r>
              </w:p>
              <w:p w14:paraId="5B68B9B8">
                <w:pPr>
                  <w:pStyle w:val="25"/>
                </w:pPr>
              </w:p>
            </w:txbxContent>
          </v:textbox>
        </v:rect>
      </w:pict>
    </w:r>
  </w:p>
  <w:p w14:paraId="08E69A4B">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734D7B2">
      <w:pPr>
        <w:pStyle w:val="14"/>
        <w:snapToGrid w:val="0"/>
        <w:rPr>
          <w:rFonts w:hint="default" w:eastAsia="宋体"/>
          <w:lang w:val="en-US" w:eastAsia="zh-CN"/>
        </w:rPr>
      </w:pPr>
      <w:r>
        <w:rPr>
          <w:rStyle w:val="24"/>
        </w:rPr>
        <w:footnoteRef/>
      </w:r>
      <w:r>
        <w:t xml:space="preserve"> </w:t>
      </w:r>
      <w:r>
        <w:rPr>
          <w:rFonts w:hint="default" w:ascii="Times New Roman" w:hAnsi="Times New Roman" w:eastAsia="仿宋_GB2312" w:cs="Times New Roman"/>
          <w:lang w:val="en-US" w:eastAsia="zh-CN"/>
        </w:rPr>
        <w:t>因项目管理费、市派第一书记工作经费不涉及项目具体实施进度，主要是资金支付进度，因此不再考察其开工完工情况。</w:t>
      </w:r>
    </w:p>
  </w:footnote>
  <w:footnote w:id="1">
    <w:p w14:paraId="21C3A9FA">
      <w:pPr>
        <w:pStyle w:val="14"/>
        <w:snapToGrid w:val="0"/>
        <w:rPr>
          <w:rFonts w:hint="default" w:eastAsia="宋体"/>
          <w:lang w:val="en-US" w:eastAsia="zh-CN"/>
        </w:rPr>
      </w:pPr>
      <w:r>
        <w:rPr>
          <w:rStyle w:val="24"/>
        </w:rPr>
        <w:footnoteRef/>
      </w:r>
      <w:r>
        <w:t xml:space="preserve"> </w:t>
      </w:r>
      <w:r>
        <w:rPr>
          <w:rFonts w:hint="default" w:ascii="Times New Roman" w:hAnsi="Times New Roman" w:eastAsia="仿宋_GB2312" w:cs="Times New Roman"/>
          <w:lang w:val="en-US" w:eastAsia="zh-CN"/>
        </w:rPr>
        <w:t>因项目管理费、市派第一书记工作经费不涉及项目具体实施进度，主要是资金支付进度，因此不再考察其开工完工情况。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383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708CC"/>
    <w:multiLevelType w:val="singleLevel"/>
    <w:tmpl w:val="CE5708CC"/>
    <w:lvl w:ilvl="0" w:tentative="0">
      <w:start w:val="3"/>
      <w:numFmt w:val="chineseCounting"/>
      <w:suff w:val="nothing"/>
      <w:lvlText w:val="（%1）"/>
      <w:lvlJc w:val="left"/>
      <w:rPr>
        <w:rFonts w:hint="eastAsia"/>
      </w:rPr>
    </w:lvl>
  </w:abstractNum>
  <w:abstractNum w:abstractNumId="1">
    <w:nsid w:val="D00A886E"/>
    <w:multiLevelType w:val="singleLevel"/>
    <w:tmpl w:val="D00A886E"/>
    <w:lvl w:ilvl="0" w:tentative="0">
      <w:start w:val="5"/>
      <w:numFmt w:val="chineseCounting"/>
      <w:suff w:val="nothing"/>
      <w:lvlText w:val="%1、"/>
      <w:lvlJc w:val="left"/>
      <w:rPr>
        <w:rFonts w:hint="eastAsia"/>
      </w:rPr>
    </w:lvl>
  </w:abstractNum>
  <w:abstractNum w:abstractNumId="2">
    <w:nsid w:val="1DA216F0"/>
    <w:multiLevelType w:val="multilevel"/>
    <w:tmpl w:val="1DA216F0"/>
    <w:lvl w:ilvl="0" w:tentative="0">
      <w:start w:val="1"/>
      <w:numFmt w:val="chineseCountingThousand"/>
      <w:pStyle w:val="8"/>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Q5ZTk3NGEwYjU5NTRjMGMyYTY3YmRhYjE4MGNkNDYifQ=="/>
  </w:docVars>
  <w:rsids>
    <w:rsidRoot w:val="00000000"/>
    <w:rsid w:val="00091551"/>
    <w:rsid w:val="00644996"/>
    <w:rsid w:val="006A1BCA"/>
    <w:rsid w:val="00AA18B2"/>
    <w:rsid w:val="00DA6A5C"/>
    <w:rsid w:val="01176EA7"/>
    <w:rsid w:val="01261E2F"/>
    <w:rsid w:val="01447FA6"/>
    <w:rsid w:val="01504A4B"/>
    <w:rsid w:val="016E5108"/>
    <w:rsid w:val="016E521A"/>
    <w:rsid w:val="01734A71"/>
    <w:rsid w:val="01D53F5E"/>
    <w:rsid w:val="01D73A46"/>
    <w:rsid w:val="01E26514"/>
    <w:rsid w:val="01E468FF"/>
    <w:rsid w:val="02FB2420"/>
    <w:rsid w:val="036839EA"/>
    <w:rsid w:val="038035C9"/>
    <w:rsid w:val="03D177E1"/>
    <w:rsid w:val="03EA66E6"/>
    <w:rsid w:val="03EB02A6"/>
    <w:rsid w:val="041B106D"/>
    <w:rsid w:val="04930E94"/>
    <w:rsid w:val="0494637C"/>
    <w:rsid w:val="050209E8"/>
    <w:rsid w:val="053A5CE9"/>
    <w:rsid w:val="05483AD3"/>
    <w:rsid w:val="05BB426A"/>
    <w:rsid w:val="060644F0"/>
    <w:rsid w:val="06405665"/>
    <w:rsid w:val="06493522"/>
    <w:rsid w:val="06B17729"/>
    <w:rsid w:val="06D50CA8"/>
    <w:rsid w:val="06DF0412"/>
    <w:rsid w:val="07335D1D"/>
    <w:rsid w:val="07363ABB"/>
    <w:rsid w:val="075F5112"/>
    <w:rsid w:val="07B57631"/>
    <w:rsid w:val="08066FDC"/>
    <w:rsid w:val="08103F1A"/>
    <w:rsid w:val="081417E0"/>
    <w:rsid w:val="08715236"/>
    <w:rsid w:val="08BD1BCB"/>
    <w:rsid w:val="09417306"/>
    <w:rsid w:val="09454C77"/>
    <w:rsid w:val="099B51D7"/>
    <w:rsid w:val="09DD79F6"/>
    <w:rsid w:val="09E158C2"/>
    <w:rsid w:val="0A381012"/>
    <w:rsid w:val="0A5159B9"/>
    <w:rsid w:val="0A5B4187"/>
    <w:rsid w:val="0A84735B"/>
    <w:rsid w:val="0AA20035"/>
    <w:rsid w:val="0AA72593"/>
    <w:rsid w:val="0AB43ABB"/>
    <w:rsid w:val="0B4A156F"/>
    <w:rsid w:val="0B694CBC"/>
    <w:rsid w:val="0B72488C"/>
    <w:rsid w:val="0BB32245"/>
    <w:rsid w:val="0BD01CD8"/>
    <w:rsid w:val="0C370339"/>
    <w:rsid w:val="0C5E2C6A"/>
    <w:rsid w:val="0C9738CA"/>
    <w:rsid w:val="0C992E66"/>
    <w:rsid w:val="0CAF5031"/>
    <w:rsid w:val="0CBA2541"/>
    <w:rsid w:val="0D2546FA"/>
    <w:rsid w:val="0D560CA3"/>
    <w:rsid w:val="0DFF1430"/>
    <w:rsid w:val="0E21663F"/>
    <w:rsid w:val="0E400298"/>
    <w:rsid w:val="0E601E8E"/>
    <w:rsid w:val="0E6D45AA"/>
    <w:rsid w:val="0EA63B8B"/>
    <w:rsid w:val="0EB026FB"/>
    <w:rsid w:val="0EFE5203"/>
    <w:rsid w:val="0F075BB4"/>
    <w:rsid w:val="0F1F1717"/>
    <w:rsid w:val="0F9200C5"/>
    <w:rsid w:val="0F9555A7"/>
    <w:rsid w:val="0F9F0794"/>
    <w:rsid w:val="0FFD75C9"/>
    <w:rsid w:val="10884726"/>
    <w:rsid w:val="109339DA"/>
    <w:rsid w:val="10F130F8"/>
    <w:rsid w:val="11334496"/>
    <w:rsid w:val="1155423D"/>
    <w:rsid w:val="116752E1"/>
    <w:rsid w:val="11763776"/>
    <w:rsid w:val="11A2456B"/>
    <w:rsid w:val="11C02C09"/>
    <w:rsid w:val="11E86280"/>
    <w:rsid w:val="124D5C3D"/>
    <w:rsid w:val="12B20022"/>
    <w:rsid w:val="12B845FC"/>
    <w:rsid w:val="12DB65BD"/>
    <w:rsid w:val="12E46277"/>
    <w:rsid w:val="134C3CEB"/>
    <w:rsid w:val="135529E1"/>
    <w:rsid w:val="13B50586"/>
    <w:rsid w:val="13C745E2"/>
    <w:rsid w:val="14D00FE8"/>
    <w:rsid w:val="1509227B"/>
    <w:rsid w:val="15127270"/>
    <w:rsid w:val="15347304"/>
    <w:rsid w:val="15A22D8C"/>
    <w:rsid w:val="15B61D16"/>
    <w:rsid w:val="15D05B4B"/>
    <w:rsid w:val="15EF34AD"/>
    <w:rsid w:val="16134822"/>
    <w:rsid w:val="16362164"/>
    <w:rsid w:val="16400307"/>
    <w:rsid w:val="164E311F"/>
    <w:rsid w:val="1664071E"/>
    <w:rsid w:val="16DA712C"/>
    <w:rsid w:val="16F70EB5"/>
    <w:rsid w:val="1732013F"/>
    <w:rsid w:val="174006E6"/>
    <w:rsid w:val="178D13D1"/>
    <w:rsid w:val="180313CC"/>
    <w:rsid w:val="188449CB"/>
    <w:rsid w:val="190E35A4"/>
    <w:rsid w:val="19676A15"/>
    <w:rsid w:val="19E020D4"/>
    <w:rsid w:val="1A1B6765"/>
    <w:rsid w:val="1A2F18F5"/>
    <w:rsid w:val="1A6F0BA6"/>
    <w:rsid w:val="1A7019F1"/>
    <w:rsid w:val="1AB13E0B"/>
    <w:rsid w:val="1ABB3386"/>
    <w:rsid w:val="1ABF08C1"/>
    <w:rsid w:val="1B452C68"/>
    <w:rsid w:val="1BF6082D"/>
    <w:rsid w:val="1C4C1ECF"/>
    <w:rsid w:val="1C814CC9"/>
    <w:rsid w:val="1C975E86"/>
    <w:rsid w:val="1C9B3A61"/>
    <w:rsid w:val="1CD75A11"/>
    <w:rsid w:val="1CDA789E"/>
    <w:rsid w:val="1D9D7C95"/>
    <w:rsid w:val="1DA358F3"/>
    <w:rsid w:val="1DCF2DFB"/>
    <w:rsid w:val="1DE74DB7"/>
    <w:rsid w:val="1DEB1048"/>
    <w:rsid w:val="1DF6248A"/>
    <w:rsid w:val="1E1D38F7"/>
    <w:rsid w:val="1E3145B2"/>
    <w:rsid w:val="1EB83AFA"/>
    <w:rsid w:val="1EE51625"/>
    <w:rsid w:val="1F3B0574"/>
    <w:rsid w:val="1F5D7D23"/>
    <w:rsid w:val="1F6152F6"/>
    <w:rsid w:val="1F631E41"/>
    <w:rsid w:val="1F80692A"/>
    <w:rsid w:val="200D447D"/>
    <w:rsid w:val="20322F5E"/>
    <w:rsid w:val="204E10FB"/>
    <w:rsid w:val="20506E6B"/>
    <w:rsid w:val="20967991"/>
    <w:rsid w:val="210F306F"/>
    <w:rsid w:val="212D5B91"/>
    <w:rsid w:val="215F4961"/>
    <w:rsid w:val="21987708"/>
    <w:rsid w:val="21D61974"/>
    <w:rsid w:val="22574EFE"/>
    <w:rsid w:val="22DC2FE7"/>
    <w:rsid w:val="22E020D9"/>
    <w:rsid w:val="23333F99"/>
    <w:rsid w:val="234D6204"/>
    <w:rsid w:val="23C536DC"/>
    <w:rsid w:val="23F12340"/>
    <w:rsid w:val="24204F80"/>
    <w:rsid w:val="24376D95"/>
    <w:rsid w:val="245A309F"/>
    <w:rsid w:val="24BB359F"/>
    <w:rsid w:val="24C20DBD"/>
    <w:rsid w:val="25423C43"/>
    <w:rsid w:val="25447CD0"/>
    <w:rsid w:val="255D2751"/>
    <w:rsid w:val="257A1D8B"/>
    <w:rsid w:val="257E605D"/>
    <w:rsid w:val="25A43D0E"/>
    <w:rsid w:val="27004895"/>
    <w:rsid w:val="27221F7E"/>
    <w:rsid w:val="274C22D9"/>
    <w:rsid w:val="27C727DC"/>
    <w:rsid w:val="27E17CF3"/>
    <w:rsid w:val="2A494938"/>
    <w:rsid w:val="2A5A4C30"/>
    <w:rsid w:val="2A98584E"/>
    <w:rsid w:val="2ADB2CAB"/>
    <w:rsid w:val="2B147BF3"/>
    <w:rsid w:val="2B2160A9"/>
    <w:rsid w:val="2B2E23EE"/>
    <w:rsid w:val="2B673D4B"/>
    <w:rsid w:val="2B723F53"/>
    <w:rsid w:val="2B852BED"/>
    <w:rsid w:val="2BB644FD"/>
    <w:rsid w:val="2CB20162"/>
    <w:rsid w:val="2D1174F7"/>
    <w:rsid w:val="2DE65A42"/>
    <w:rsid w:val="2E0E0AE9"/>
    <w:rsid w:val="2E330E23"/>
    <w:rsid w:val="2EAB3DD0"/>
    <w:rsid w:val="2ECB2A9D"/>
    <w:rsid w:val="2ED410E1"/>
    <w:rsid w:val="2EF870A7"/>
    <w:rsid w:val="2F063F34"/>
    <w:rsid w:val="2F2148C9"/>
    <w:rsid w:val="2F3B2F3E"/>
    <w:rsid w:val="2F544C9F"/>
    <w:rsid w:val="2F7D1879"/>
    <w:rsid w:val="2FAB04F1"/>
    <w:rsid w:val="305741CD"/>
    <w:rsid w:val="305E268C"/>
    <w:rsid w:val="3069477A"/>
    <w:rsid w:val="309A31E0"/>
    <w:rsid w:val="30AC6F78"/>
    <w:rsid w:val="30B654E5"/>
    <w:rsid w:val="310F7756"/>
    <w:rsid w:val="312823E1"/>
    <w:rsid w:val="314F2451"/>
    <w:rsid w:val="31A517E2"/>
    <w:rsid w:val="31C44129"/>
    <w:rsid w:val="324D0708"/>
    <w:rsid w:val="32F95B7B"/>
    <w:rsid w:val="330D587D"/>
    <w:rsid w:val="331108DD"/>
    <w:rsid w:val="33796FDD"/>
    <w:rsid w:val="33923757"/>
    <w:rsid w:val="33947D60"/>
    <w:rsid w:val="33B853A6"/>
    <w:rsid w:val="33CA01BC"/>
    <w:rsid w:val="33D5153E"/>
    <w:rsid w:val="33DF7668"/>
    <w:rsid w:val="3407771C"/>
    <w:rsid w:val="34161745"/>
    <w:rsid w:val="3466399B"/>
    <w:rsid w:val="34707F00"/>
    <w:rsid w:val="349659AE"/>
    <w:rsid w:val="34B2163B"/>
    <w:rsid w:val="34B31EDB"/>
    <w:rsid w:val="34C004EE"/>
    <w:rsid w:val="34E56AAB"/>
    <w:rsid w:val="34EF1CD7"/>
    <w:rsid w:val="35036044"/>
    <w:rsid w:val="358E6A31"/>
    <w:rsid w:val="35C74256"/>
    <w:rsid w:val="35FB10CA"/>
    <w:rsid w:val="361613EB"/>
    <w:rsid w:val="364423D2"/>
    <w:rsid w:val="364B38D1"/>
    <w:rsid w:val="364E7108"/>
    <w:rsid w:val="366323DD"/>
    <w:rsid w:val="36A32606"/>
    <w:rsid w:val="3710560E"/>
    <w:rsid w:val="374A0FE4"/>
    <w:rsid w:val="37642FA4"/>
    <w:rsid w:val="377C30E8"/>
    <w:rsid w:val="37935806"/>
    <w:rsid w:val="37BD5026"/>
    <w:rsid w:val="37E82D9E"/>
    <w:rsid w:val="3814321D"/>
    <w:rsid w:val="386C239C"/>
    <w:rsid w:val="38C63F2C"/>
    <w:rsid w:val="38E16B3A"/>
    <w:rsid w:val="392E087F"/>
    <w:rsid w:val="394D449F"/>
    <w:rsid w:val="39623EFF"/>
    <w:rsid w:val="39D318E6"/>
    <w:rsid w:val="39F76AD7"/>
    <w:rsid w:val="39FC0C92"/>
    <w:rsid w:val="3A6202C3"/>
    <w:rsid w:val="3AD15DFA"/>
    <w:rsid w:val="3AD71D1F"/>
    <w:rsid w:val="3B41084E"/>
    <w:rsid w:val="3B4C5746"/>
    <w:rsid w:val="3B596EC8"/>
    <w:rsid w:val="3B7D30CD"/>
    <w:rsid w:val="3BB0783E"/>
    <w:rsid w:val="3BB32566"/>
    <w:rsid w:val="3BC431AC"/>
    <w:rsid w:val="3BFC7A2B"/>
    <w:rsid w:val="3C771FCD"/>
    <w:rsid w:val="3C811ABC"/>
    <w:rsid w:val="3CAF02EF"/>
    <w:rsid w:val="3D347EBE"/>
    <w:rsid w:val="3D5B7D17"/>
    <w:rsid w:val="3D9A61AA"/>
    <w:rsid w:val="3DD713D3"/>
    <w:rsid w:val="3DD9014B"/>
    <w:rsid w:val="3DF42F70"/>
    <w:rsid w:val="3E1F1098"/>
    <w:rsid w:val="3E3E7246"/>
    <w:rsid w:val="3E467EA9"/>
    <w:rsid w:val="3E5C6447"/>
    <w:rsid w:val="3EE3428C"/>
    <w:rsid w:val="3F424B14"/>
    <w:rsid w:val="3FA84939"/>
    <w:rsid w:val="3FEA7D47"/>
    <w:rsid w:val="400140AD"/>
    <w:rsid w:val="40111645"/>
    <w:rsid w:val="40143411"/>
    <w:rsid w:val="404D4C9A"/>
    <w:rsid w:val="40502979"/>
    <w:rsid w:val="40960025"/>
    <w:rsid w:val="40C0575F"/>
    <w:rsid w:val="40EE3E7E"/>
    <w:rsid w:val="40F306B7"/>
    <w:rsid w:val="41011811"/>
    <w:rsid w:val="411928E7"/>
    <w:rsid w:val="412D5350"/>
    <w:rsid w:val="41444BF0"/>
    <w:rsid w:val="41926BA2"/>
    <w:rsid w:val="41A7128F"/>
    <w:rsid w:val="41B03D25"/>
    <w:rsid w:val="41B20A9B"/>
    <w:rsid w:val="41CD5EE4"/>
    <w:rsid w:val="42835BD3"/>
    <w:rsid w:val="428D254A"/>
    <w:rsid w:val="43072352"/>
    <w:rsid w:val="43354680"/>
    <w:rsid w:val="433806C6"/>
    <w:rsid w:val="43714522"/>
    <w:rsid w:val="43AE5C97"/>
    <w:rsid w:val="43D52EEF"/>
    <w:rsid w:val="43E57158"/>
    <w:rsid w:val="43EE7018"/>
    <w:rsid w:val="441822E7"/>
    <w:rsid w:val="44250DB0"/>
    <w:rsid w:val="44557675"/>
    <w:rsid w:val="445A18D8"/>
    <w:rsid w:val="44A11576"/>
    <w:rsid w:val="44F14A37"/>
    <w:rsid w:val="45001D4B"/>
    <w:rsid w:val="455372F3"/>
    <w:rsid w:val="45BE0C6C"/>
    <w:rsid w:val="460348D1"/>
    <w:rsid w:val="4608116A"/>
    <w:rsid w:val="461314CF"/>
    <w:rsid w:val="461D51B4"/>
    <w:rsid w:val="461D6553"/>
    <w:rsid w:val="461E608C"/>
    <w:rsid w:val="46312B66"/>
    <w:rsid w:val="46A03CB3"/>
    <w:rsid w:val="46DA3884"/>
    <w:rsid w:val="47216CE9"/>
    <w:rsid w:val="473B4A6F"/>
    <w:rsid w:val="47833E00"/>
    <w:rsid w:val="47C62F5F"/>
    <w:rsid w:val="47CE30B0"/>
    <w:rsid w:val="4871716C"/>
    <w:rsid w:val="48751B5C"/>
    <w:rsid w:val="48D10128"/>
    <w:rsid w:val="48D2515B"/>
    <w:rsid w:val="48E22EC4"/>
    <w:rsid w:val="49073753"/>
    <w:rsid w:val="490739B5"/>
    <w:rsid w:val="49370C5B"/>
    <w:rsid w:val="49590DDC"/>
    <w:rsid w:val="49731136"/>
    <w:rsid w:val="49990AAC"/>
    <w:rsid w:val="49AF3E32"/>
    <w:rsid w:val="4A0C76B0"/>
    <w:rsid w:val="4A0F2B99"/>
    <w:rsid w:val="4A1F2687"/>
    <w:rsid w:val="4A3C70C0"/>
    <w:rsid w:val="4A521CDE"/>
    <w:rsid w:val="4A5A354D"/>
    <w:rsid w:val="4AAE5753"/>
    <w:rsid w:val="4AC10152"/>
    <w:rsid w:val="4AC52BCD"/>
    <w:rsid w:val="4B68202D"/>
    <w:rsid w:val="4BD765E4"/>
    <w:rsid w:val="4BE13106"/>
    <w:rsid w:val="4C1C62E6"/>
    <w:rsid w:val="4C7A357E"/>
    <w:rsid w:val="4CC70B54"/>
    <w:rsid w:val="4D246254"/>
    <w:rsid w:val="4D2E0486"/>
    <w:rsid w:val="4D333CEE"/>
    <w:rsid w:val="4D352719"/>
    <w:rsid w:val="4D9A7089"/>
    <w:rsid w:val="4DCF1BF1"/>
    <w:rsid w:val="4DF91039"/>
    <w:rsid w:val="4E382194"/>
    <w:rsid w:val="4E3D4F02"/>
    <w:rsid w:val="4E4F12F0"/>
    <w:rsid w:val="4E56514E"/>
    <w:rsid w:val="4E9904C8"/>
    <w:rsid w:val="4EAB0AB3"/>
    <w:rsid w:val="4EB86BA1"/>
    <w:rsid w:val="4EC531EF"/>
    <w:rsid w:val="4F3073BD"/>
    <w:rsid w:val="4F8159F3"/>
    <w:rsid w:val="4F8E615A"/>
    <w:rsid w:val="4FAA4D48"/>
    <w:rsid w:val="4FEA2911"/>
    <w:rsid w:val="50022732"/>
    <w:rsid w:val="50083210"/>
    <w:rsid w:val="500F7E96"/>
    <w:rsid w:val="508825A3"/>
    <w:rsid w:val="50B54025"/>
    <w:rsid w:val="50CE6F9F"/>
    <w:rsid w:val="51303D76"/>
    <w:rsid w:val="51531CFE"/>
    <w:rsid w:val="5154126B"/>
    <w:rsid w:val="51A46F68"/>
    <w:rsid w:val="51FC31D5"/>
    <w:rsid w:val="51FF6A04"/>
    <w:rsid w:val="522A3C4E"/>
    <w:rsid w:val="52954F12"/>
    <w:rsid w:val="529E2318"/>
    <w:rsid w:val="52D555A8"/>
    <w:rsid w:val="534D2147"/>
    <w:rsid w:val="534F73A8"/>
    <w:rsid w:val="535328DC"/>
    <w:rsid w:val="536C68B0"/>
    <w:rsid w:val="537B3C58"/>
    <w:rsid w:val="539B083F"/>
    <w:rsid w:val="53B51901"/>
    <w:rsid w:val="54144547"/>
    <w:rsid w:val="551E1924"/>
    <w:rsid w:val="552221BA"/>
    <w:rsid w:val="555626B8"/>
    <w:rsid w:val="555D3FFE"/>
    <w:rsid w:val="55767B93"/>
    <w:rsid w:val="55B23DF8"/>
    <w:rsid w:val="562E27DB"/>
    <w:rsid w:val="56930749"/>
    <w:rsid w:val="569A3F08"/>
    <w:rsid w:val="569F7483"/>
    <w:rsid w:val="56A93396"/>
    <w:rsid w:val="573828A1"/>
    <w:rsid w:val="57701F60"/>
    <w:rsid w:val="57A5067B"/>
    <w:rsid w:val="58057745"/>
    <w:rsid w:val="581F1113"/>
    <w:rsid w:val="58525432"/>
    <w:rsid w:val="585A7245"/>
    <w:rsid w:val="58806963"/>
    <w:rsid w:val="58980812"/>
    <w:rsid w:val="58C24D8B"/>
    <w:rsid w:val="58D97BD3"/>
    <w:rsid w:val="58F70DC9"/>
    <w:rsid w:val="592B61C1"/>
    <w:rsid w:val="592F609A"/>
    <w:rsid w:val="594C57C3"/>
    <w:rsid w:val="597A11C9"/>
    <w:rsid w:val="59AB032C"/>
    <w:rsid w:val="59C672CD"/>
    <w:rsid w:val="5A6E7FB4"/>
    <w:rsid w:val="5A9F1880"/>
    <w:rsid w:val="5AC6166F"/>
    <w:rsid w:val="5ACA5B7B"/>
    <w:rsid w:val="5B0017C8"/>
    <w:rsid w:val="5BF96ECA"/>
    <w:rsid w:val="5BFF3339"/>
    <w:rsid w:val="5C007CAF"/>
    <w:rsid w:val="5C4035E0"/>
    <w:rsid w:val="5C8D5CA2"/>
    <w:rsid w:val="5C930305"/>
    <w:rsid w:val="5C984DB6"/>
    <w:rsid w:val="5CA526B9"/>
    <w:rsid w:val="5CB876BF"/>
    <w:rsid w:val="5CCF0EF5"/>
    <w:rsid w:val="5CD1358A"/>
    <w:rsid w:val="5CD8555F"/>
    <w:rsid w:val="5D3834DB"/>
    <w:rsid w:val="5D6310C5"/>
    <w:rsid w:val="5D6D4555"/>
    <w:rsid w:val="5DA126A5"/>
    <w:rsid w:val="5E56213C"/>
    <w:rsid w:val="5E7D1DC4"/>
    <w:rsid w:val="5ED54C05"/>
    <w:rsid w:val="5F34068E"/>
    <w:rsid w:val="5F397AF7"/>
    <w:rsid w:val="5F462593"/>
    <w:rsid w:val="5FA11098"/>
    <w:rsid w:val="5FDD345E"/>
    <w:rsid w:val="5FE904E2"/>
    <w:rsid w:val="5FEF4B78"/>
    <w:rsid w:val="601D7464"/>
    <w:rsid w:val="60607F2B"/>
    <w:rsid w:val="6073525A"/>
    <w:rsid w:val="60DA1932"/>
    <w:rsid w:val="60FC3003"/>
    <w:rsid w:val="61674430"/>
    <w:rsid w:val="61AF0496"/>
    <w:rsid w:val="61B40D69"/>
    <w:rsid w:val="61BC02FE"/>
    <w:rsid w:val="61D05B58"/>
    <w:rsid w:val="62155B63"/>
    <w:rsid w:val="621D60B5"/>
    <w:rsid w:val="62370CCE"/>
    <w:rsid w:val="62864DD1"/>
    <w:rsid w:val="62BF13C0"/>
    <w:rsid w:val="62D653F0"/>
    <w:rsid w:val="6311541F"/>
    <w:rsid w:val="6315416A"/>
    <w:rsid w:val="63155507"/>
    <w:rsid w:val="63596B7F"/>
    <w:rsid w:val="636724EC"/>
    <w:rsid w:val="63A27F59"/>
    <w:rsid w:val="63C04DBB"/>
    <w:rsid w:val="63DE0FE6"/>
    <w:rsid w:val="64234664"/>
    <w:rsid w:val="64254DAF"/>
    <w:rsid w:val="647B7FFD"/>
    <w:rsid w:val="648B4345"/>
    <w:rsid w:val="64A80B92"/>
    <w:rsid w:val="6527773F"/>
    <w:rsid w:val="653F29E0"/>
    <w:rsid w:val="65CA20EA"/>
    <w:rsid w:val="66643EEF"/>
    <w:rsid w:val="668622DD"/>
    <w:rsid w:val="66880D2D"/>
    <w:rsid w:val="66886A01"/>
    <w:rsid w:val="672A7AB8"/>
    <w:rsid w:val="67674868"/>
    <w:rsid w:val="68C4111D"/>
    <w:rsid w:val="690A3E68"/>
    <w:rsid w:val="69444779"/>
    <w:rsid w:val="69685105"/>
    <w:rsid w:val="69763488"/>
    <w:rsid w:val="6978619E"/>
    <w:rsid w:val="699B0BB9"/>
    <w:rsid w:val="69E0645C"/>
    <w:rsid w:val="69F73693"/>
    <w:rsid w:val="69FA2C05"/>
    <w:rsid w:val="6A1C604E"/>
    <w:rsid w:val="6A346104"/>
    <w:rsid w:val="6A4A1A4B"/>
    <w:rsid w:val="6B4725E3"/>
    <w:rsid w:val="6B9F36C6"/>
    <w:rsid w:val="6BA4047A"/>
    <w:rsid w:val="6BBA68FC"/>
    <w:rsid w:val="6BCB11D0"/>
    <w:rsid w:val="6C0303C3"/>
    <w:rsid w:val="6C1059B1"/>
    <w:rsid w:val="6C180827"/>
    <w:rsid w:val="6C2E1722"/>
    <w:rsid w:val="6C612FA7"/>
    <w:rsid w:val="6C77554D"/>
    <w:rsid w:val="6CD25D40"/>
    <w:rsid w:val="6D0A79DB"/>
    <w:rsid w:val="6D392803"/>
    <w:rsid w:val="6D61716A"/>
    <w:rsid w:val="6E1F5C10"/>
    <w:rsid w:val="6E817DA2"/>
    <w:rsid w:val="6E851C97"/>
    <w:rsid w:val="6E910EE1"/>
    <w:rsid w:val="6EBD6003"/>
    <w:rsid w:val="6EEC2480"/>
    <w:rsid w:val="6EFC4430"/>
    <w:rsid w:val="6F5F11C3"/>
    <w:rsid w:val="6F806A78"/>
    <w:rsid w:val="6FC6701F"/>
    <w:rsid w:val="6FED0B7A"/>
    <w:rsid w:val="705B7ECB"/>
    <w:rsid w:val="70753FA4"/>
    <w:rsid w:val="70A248E2"/>
    <w:rsid w:val="70DE08E9"/>
    <w:rsid w:val="70E46CF0"/>
    <w:rsid w:val="712244BF"/>
    <w:rsid w:val="713D7332"/>
    <w:rsid w:val="71690146"/>
    <w:rsid w:val="71770D86"/>
    <w:rsid w:val="719738E4"/>
    <w:rsid w:val="71AA1F21"/>
    <w:rsid w:val="72295B7C"/>
    <w:rsid w:val="72595636"/>
    <w:rsid w:val="72636ACB"/>
    <w:rsid w:val="7270421B"/>
    <w:rsid w:val="72AA0928"/>
    <w:rsid w:val="72FC7004"/>
    <w:rsid w:val="73474398"/>
    <w:rsid w:val="735238B8"/>
    <w:rsid w:val="736847A9"/>
    <w:rsid w:val="73842476"/>
    <w:rsid w:val="738E5067"/>
    <w:rsid w:val="73C34BF2"/>
    <w:rsid w:val="73D2395C"/>
    <w:rsid w:val="73DA7046"/>
    <w:rsid w:val="73E831D5"/>
    <w:rsid w:val="73EF7D29"/>
    <w:rsid w:val="7426104D"/>
    <w:rsid w:val="74A4534E"/>
    <w:rsid w:val="75A44ED3"/>
    <w:rsid w:val="75FD3D03"/>
    <w:rsid w:val="763224E5"/>
    <w:rsid w:val="76CC0D21"/>
    <w:rsid w:val="76CD634D"/>
    <w:rsid w:val="7716563E"/>
    <w:rsid w:val="776C0680"/>
    <w:rsid w:val="777B743F"/>
    <w:rsid w:val="779301D4"/>
    <w:rsid w:val="77E07BA4"/>
    <w:rsid w:val="77FC2C7F"/>
    <w:rsid w:val="7803662B"/>
    <w:rsid w:val="781D4642"/>
    <w:rsid w:val="78D400CF"/>
    <w:rsid w:val="78E94B01"/>
    <w:rsid w:val="794F33AE"/>
    <w:rsid w:val="797A01B0"/>
    <w:rsid w:val="79BA4CCB"/>
    <w:rsid w:val="79DB7C29"/>
    <w:rsid w:val="79EC4872"/>
    <w:rsid w:val="7A4B2973"/>
    <w:rsid w:val="7A8A7190"/>
    <w:rsid w:val="7A950461"/>
    <w:rsid w:val="7A9A3AF1"/>
    <w:rsid w:val="7AC11632"/>
    <w:rsid w:val="7B043FDD"/>
    <w:rsid w:val="7B046715"/>
    <w:rsid w:val="7B8F7898"/>
    <w:rsid w:val="7BCC5788"/>
    <w:rsid w:val="7C644CB4"/>
    <w:rsid w:val="7C79557C"/>
    <w:rsid w:val="7CE23DFA"/>
    <w:rsid w:val="7CF13E02"/>
    <w:rsid w:val="7D142A3E"/>
    <w:rsid w:val="7D4F7CD2"/>
    <w:rsid w:val="7D957C91"/>
    <w:rsid w:val="7DBC6AE1"/>
    <w:rsid w:val="7DE94FAB"/>
    <w:rsid w:val="7DFD5140"/>
    <w:rsid w:val="7E2E3EDA"/>
    <w:rsid w:val="7E863A66"/>
    <w:rsid w:val="7E881A14"/>
    <w:rsid w:val="7E9B7F59"/>
    <w:rsid w:val="7EA6506C"/>
    <w:rsid w:val="7F043070"/>
    <w:rsid w:val="7F49284B"/>
    <w:rsid w:val="7F6026F4"/>
    <w:rsid w:val="7F6418B1"/>
    <w:rsid w:val="7F7678E7"/>
    <w:rsid w:val="7FAD6F10"/>
    <w:rsid w:val="7FB634AE"/>
    <w:rsid w:val="7FC93DF1"/>
    <w:rsid w:val="7FF65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120" w:after="60" w:line="500" w:lineRule="exact"/>
      <w:ind w:firstLine="200" w:firstLineChars="200"/>
      <w:jc w:val="left"/>
      <w:outlineLvl w:val="0"/>
    </w:pPr>
    <w:rPr>
      <w:rFonts w:eastAsia="黑体"/>
      <w:kern w:val="44"/>
      <w:sz w:val="32"/>
      <w:szCs w:val="44"/>
    </w:rPr>
  </w:style>
  <w:style w:type="paragraph" w:styleId="4">
    <w:name w:val="heading 2"/>
    <w:basedOn w:val="1"/>
    <w:next w:val="1"/>
    <w:autoRedefine/>
    <w:unhideWhenUsed/>
    <w:qFormat/>
    <w:uiPriority w:val="9"/>
    <w:pPr>
      <w:keepNext/>
      <w:keepLines/>
      <w:spacing w:before="60" w:after="60" w:line="560" w:lineRule="exact"/>
      <w:ind w:firstLine="880" w:firstLineChars="200"/>
      <w:outlineLvl w:val="1"/>
    </w:pPr>
    <w:rPr>
      <w:rFonts w:ascii="Times New Roman" w:hAnsi="Times New Roman" w:eastAsia="楷体" w:cs="黑体"/>
      <w:b/>
      <w:bCs/>
      <w:sz w:val="32"/>
      <w:szCs w:val="32"/>
    </w:rPr>
  </w:style>
  <w:style w:type="paragraph" w:styleId="5">
    <w:name w:val="heading 3"/>
    <w:basedOn w:val="1"/>
    <w:next w:val="1"/>
    <w:link w:val="46"/>
    <w:autoRedefine/>
    <w:unhideWhenUsed/>
    <w:qFormat/>
    <w:uiPriority w:val="0"/>
    <w:pPr>
      <w:keepNext/>
      <w:keepLines/>
      <w:spacing w:before="60" w:beforeLines="0" w:beforeAutospacing="0" w:after="60" w:afterLines="0" w:afterAutospacing="0" w:line="560" w:lineRule="exact"/>
      <w:ind w:firstLine="880" w:firstLineChars="200"/>
      <w:outlineLvl w:val="2"/>
    </w:pPr>
    <w:rPr>
      <w:rFonts w:ascii="Times New Roman" w:hAnsi="Times New Roman" w:eastAsia="仿宋"/>
      <w:b/>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正文文本 21"/>
    <w:basedOn w:val="1"/>
    <w:autoRedefine/>
    <w:qFormat/>
    <w:uiPriority w:val="0"/>
    <w:pPr>
      <w:spacing w:line="480" w:lineRule="auto"/>
    </w:pPr>
  </w:style>
  <w:style w:type="paragraph" w:styleId="6">
    <w:name w:val="annotation text"/>
    <w:basedOn w:val="1"/>
    <w:autoRedefine/>
    <w:qFormat/>
    <w:uiPriority w:val="0"/>
    <w:pPr>
      <w:jc w:val="left"/>
    </w:pPr>
  </w:style>
  <w:style w:type="paragraph" w:styleId="7">
    <w:name w:val="Body Text"/>
    <w:basedOn w:val="1"/>
    <w:next w:val="8"/>
    <w:autoRedefine/>
    <w:unhideWhenUsed/>
    <w:qFormat/>
    <w:uiPriority w:val="99"/>
    <w:pPr>
      <w:spacing w:after="120"/>
    </w:pPr>
  </w:style>
  <w:style w:type="paragraph" w:styleId="8">
    <w:name w:val="Body Text 2"/>
    <w:basedOn w:val="1"/>
    <w:next w:val="7"/>
    <w:autoRedefine/>
    <w:unhideWhenUsed/>
    <w:qFormat/>
    <w:uiPriority w:val="99"/>
    <w:pPr>
      <w:widowControl/>
      <w:numPr>
        <w:ilvl w:val="0"/>
        <w:numId w:val="1"/>
      </w:numPr>
      <w:spacing w:before="156" w:beforeLines="50" w:line="336" w:lineRule="auto"/>
      <w:ind w:left="0" w:firstLine="0"/>
    </w:pPr>
    <w:rPr>
      <w:rFonts w:ascii="Times New Roman" w:hAnsi="Times New Roman" w:eastAsia="黑体"/>
      <w:szCs w:val="20"/>
    </w:rPr>
  </w:style>
  <w:style w:type="paragraph" w:styleId="9">
    <w:name w:val="Body Text Indent"/>
    <w:basedOn w:val="1"/>
    <w:autoRedefine/>
    <w:unhideWhenUsed/>
    <w:qFormat/>
    <w:uiPriority w:val="99"/>
    <w:pPr>
      <w:spacing w:line="560" w:lineRule="exact"/>
      <w:ind w:firstLine="567"/>
    </w:pPr>
    <w:rPr>
      <w:rFonts w:cs="Times New Roman"/>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96"/>
      </w:tabs>
      <w:spacing w:line="500" w:lineRule="exact"/>
    </w:pPr>
    <w:rPr>
      <w:rFonts w:ascii="Times New Roman" w:hAnsi="Times New Roman" w:eastAsia="仿宋_GB2312"/>
      <w:b/>
      <w:sz w:val="28"/>
      <w:szCs w:val="28"/>
    </w:rPr>
  </w:style>
  <w:style w:type="paragraph" w:styleId="13">
    <w:name w:val="Subtitle"/>
    <w:basedOn w:val="1"/>
    <w:next w:val="1"/>
    <w:autoRedefine/>
    <w:qFormat/>
    <w:uiPriority w:val="0"/>
    <w:pPr>
      <w:widowControl/>
      <w:wordWrap w:val="0"/>
      <w:spacing w:after="60"/>
      <w:jc w:val="center"/>
    </w:pPr>
    <w:rPr>
      <w:sz w:val="24"/>
    </w:rPr>
  </w:style>
  <w:style w:type="paragraph" w:styleId="14">
    <w:name w:val="footnote text"/>
    <w:basedOn w:val="1"/>
    <w:autoRedefine/>
    <w:unhideWhenUsed/>
    <w:qFormat/>
    <w:uiPriority w:val="99"/>
    <w:pPr>
      <w:snapToGrid w:val="0"/>
      <w:jc w:val="left"/>
    </w:pPr>
    <w:rPr>
      <w:sz w:val="18"/>
      <w:szCs w:val="18"/>
    </w:rPr>
  </w:style>
  <w:style w:type="paragraph" w:styleId="15">
    <w:name w:val="toc 2"/>
    <w:basedOn w:val="1"/>
    <w:next w:val="1"/>
    <w:autoRedefine/>
    <w:unhideWhenUsed/>
    <w:qFormat/>
    <w:uiPriority w:val="39"/>
    <w:pPr>
      <w:ind w:left="420" w:leftChars="200"/>
    </w:pPr>
  </w:style>
  <w:style w:type="paragraph" w:styleId="16">
    <w:name w:val="Body Text First Indent"/>
    <w:basedOn w:val="7"/>
    <w:next w:val="17"/>
    <w:autoRedefine/>
    <w:unhideWhenUsed/>
    <w:qFormat/>
    <w:uiPriority w:val="99"/>
    <w:pPr>
      <w:ind w:firstLine="976" w:firstLineChars="200"/>
    </w:pPr>
  </w:style>
  <w:style w:type="paragraph" w:styleId="17">
    <w:name w:val="Body Text First Indent 2"/>
    <w:basedOn w:val="9"/>
    <w:autoRedefine/>
    <w:unhideWhenUsed/>
    <w:qFormat/>
    <w:uiPriority w:val="99"/>
    <w:pPr>
      <w:spacing w:after="120" w:line="360" w:lineRule="auto"/>
      <w:ind w:left="420" w:leftChars="200" w:firstLine="420"/>
    </w:pPr>
    <w:rPr>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Emphasis"/>
    <w:basedOn w:val="20"/>
    <w:qFormat/>
    <w:uiPriority w:val="20"/>
    <w:rPr>
      <w:i/>
      <w:iCs/>
    </w:rPr>
  </w:style>
  <w:style w:type="character" w:styleId="23">
    <w:name w:val="Hyperlink"/>
    <w:basedOn w:val="20"/>
    <w:unhideWhenUsed/>
    <w:qFormat/>
    <w:uiPriority w:val="99"/>
    <w:rPr>
      <w:color w:val="0563C1"/>
      <w:u w:val="single"/>
    </w:rPr>
  </w:style>
  <w:style w:type="character" w:styleId="24">
    <w:name w:val="footnote reference"/>
    <w:basedOn w:val="20"/>
    <w:autoRedefine/>
    <w:unhideWhenUsed/>
    <w:qFormat/>
    <w:uiPriority w:val="99"/>
    <w:rPr>
      <w:vertAlign w:val="superscript"/>
    </w:rPr>
  </w:style>
  <w:style w:type="paragraph" w:customStyle="1" w:styleId="25">
    <w:name w:val="Default"/>
    <w:next w:val="13"/>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6">
    <w:name w:val="报告正文"/>
    <w:basedOn w:val="1"/>
    <w:link w:val="30"/>
    <w:autoRedefine/>
    <w:qFormat/>
    <w:uiPriority w:val="0"/>
    <w:pPr>
      <w:spacing w:line="560" w:lineRule="exact"/>
      <w:ind w:firstLine="560" w:firstLineChars="200"/>
    </w:pPr>
    <w:rPr>
      <w:rFonts w:ascii="Times New Roman" w:hAnsi="Times New Roman" w:eastAsia="仿宋_GB2312" w:cs="黑体"/>
      <w:sz w:val="32"/>
      <w:szCs w:val="32"/>
    </w:rPr>
  </w:style>
  <w:style w:type="paragraph" w:customStyle="1" w:styleId="27">
    <w:name w:val="安策标题4"/>
    <w:basedOn w:val="4"/>
    <w:qFormat/>
    <w:uiPriority w:val="0"/>
    <w:pPr>
      <w:spacing w:before="120" w:after="60" w:line="560" w:lineRule="exact"/>
      <w:ind w:firstLine="200" w:firstLineChars="200"/>
      <w:jc w:val="left"/>
    </w:pPr>
    <w:rPr>
      <w:rFonts w:ascii="Times New Roman" w:hAnsi="Times New Roman" w:eastAsia="楷体" w:cs="Times New Roman"/>
      <w:kern w:val="0"/>
    </w:rPr>
  </w:style>
  <w:style w:type="paragraph" w:customStyle="1" w:styleId="28">
    <w:name w:val="安策标题5"/>
    <w:basedOn w:val="1"/>
    <w:qFormat/>
    <w:uiPriority w:val="0"/>
    <w:pPr>
      <w:spacing w:before="120" w:after="60" w:line="560" w:lineRule="exact"/>
      <w:ind w:firstLine="200" w:firstLineChars="200"/>
    </w:pPr>
    <w:rPr>
      <w:rFonts w:ascii="Times New Roman" w:hAnsi="Times New Roman" w:eastAsia="仿宋"/>
      <w:b/>
      <w:kern w:val="0"/>
      <w:sz w:val="32"/>
      <w:szCs w:val="32"/>
    </w:rPr>
  </w:style>
  <w:style w:type="paragraph" w:customStyle="1" w:styleId="29">
    <w:name w:val="安策表"/>
    <w:basedOn w:val="1"/>
    <w:qFormat/>
    <w:uiPriority w:val="0"/>
    <w:pPr>
      <w:spacing w:before="60" w:after="60"/>
      <w:jc w:val="center"/>
    </w:pPr>
    <w:rPr>
      <w:rFonts w:ascii="Times New Roman" w:hAnsi="Times New Roman" w:eastAsia="仿宋_GB2312"/>
      <w:b/>
      <w:kern w:val="0"/>
      <w:sz w:val="24"/>
      <w:szCs w:val="28"/>
      <w:lang w:val="zh-CN"/>
    </w:rPr>
  </w:style>
  <w:style w:type="character" w:customStyle="1" w:styleId="30">
    <w:name w:val="闻政正文 Char"/>
    <w:link w:val="26"/>
    <w:qFormat/>
    <w:uiPriority w:val="0"/>
    <w:rPr>
      <w:rFonts w:ascii="Times New Roman" w:hAnsi="Times New Roman" w:eastAsia="仿宋_GB2312" w:cs="黑体"/>
      <w:sz w:val="32"/>
      <w:szCs w:val="32"/>
    </w:rPr>
  </w:style>
  <w:style w:type="character" w:customStyle="1" w:styleId="31">
    <w:name w:val="font141"/>
    <w:basedOn w:val="20"/>
    <w:qFormat/>
    <w:uiPriority w:val="0"/>
    <w:rPr>
      <w:rFonts w:hint="eastAsia" w:ascii="仿宋_GB2312" w:eastAsia="仿宋_GB2312" w:cs="仿宋_GB2312"/>
      <w:color w:val="000000"/>
      <w:sz w:val="20"/>
      <w:szCs w:val="20"/>
      <w:u w:val="none"/>
    </w:rPr>
  </w:style>
  <w:style w:type="character" w:customStyle="1" w:styleId="32">
    <w:name w:val="font101"/>
    <w:basedOn w:val="20"/>
    <w:qFormat/>
    <w:uiPriority w:val="0"/>
    <w:rPr>
      <w:rFonts w:hint="eastAsia" w:ascii="仿宋_GB2312" w:eastAsia="仿宋_GB2312" w:cs="仿宋_GB2312"/>
      <w:color w:val="000000"/>
      <w:sz w:val="22"/>
      <w:szCs w:val="22"/>
      <w:u w:val="none"/>
    </w:rPr>
  </w:style>
  <w:style w:type="character" w:customStyle="1" w:styleId="33">
    <w:name w:val="font131"/>
    <w:basedOn w:val="20"/>
    <w:qFormat/>
    <w:uiPriority w:val="0"/>
    <w:rPr>
      <w:rFonts w:hint="eastAsia" w:ascii="仿宋_GB2312" w:eastAsia="仿宋_GB2312" w:cs="仿宋_GB2312"/>
      <w:color w:val="000000"/>
      <w:sz w:val="20"/>
      <w:szCs w:val="20"/>
      <w:u w:val="none"/>
    </w:rPr>
  </w:style>
  <w:style w:type="character" w:customStyle="1" w:styleId="34">
    <w:name w:val="font41"/>
    <w:basedOn w:val="20"/>
    <w:qFormat/>
    <w:uiPriority w:val="0"/>
    <w:rPr>
      <w:rFonts w:hint="default" w:ascii="Times New Roman" w:hAnsi="Times New Roman" w:cs="Times New Roman"/>
      <w:color w:val="000000"/>
      <w:sz w:val="20"/>
      <w:szCs w:val="20"/>
      <w:u w:val="none"/>
    </w:rPr>
  </w:style>
  <w:style w:type="character" w:customStyle="1" w:styleId="35">
    <w:name w:val="font112"/>
    <w:basedOn w:val="20"/>
    <w:qFormat/>
    <w:uiPriority w:val="0"/>
    <w:rPr>
      <w:rFonts w:hint="eastAsia" w:ascii="仿宋_GB2312" w:eastAsia="仿宋_GB2312" w:cs="仿宋_GB2312"/>
      <w:color w:val="000000"/>
      <w:sz w:val="22"/>
      <w:szCs w:val="22"/>
      <w:u w:val="none"/>
    </w:rPr>
  </w:style>
  <w:style w:type="character" w:customStyle="1" w:styleId="36">
    <w:name w:val="font31"/>
    <w:basedOn w:val="20"/>
    <w:qFormat/>
    <w:uiPriority w:val="0"/>
    <w:rPr>
      <w:rFonts w:hint="default" w:ascii="Times New Roman" w:hAnsi="Times New Roman" w:cs="Times New Roman"/>
      <w:color w:val="000000"/>
      <w:sz w:val="20"/>
      <w:szCs w:val="20"/>
      <w:u w:val="none"/>
    </w:rPr>
  </w:style>
  <w:style w:type="character" w:customStyle="1" w:styleId="37">
    <w:name w:val="font11"/>
    <w:basedOn w:val="20"/>
    <w:qFormat/>
    <w:uiPriority w:val="0"/>
    <w:rPr>
      <w:rFonts w:hint="default" w:ascii="Times New Roman" w:hAnsi="Times New Roman" w:cs="Times New Roman"/>
      <w:color w:val="000000"/>
      <w:sz w:val="22"/>
      <w:szCs w:val="22"/>
      <w:u w:val="none"/>
    </w:rPr>
  </w:style>
  <w:style w:type="character" w:customStyle="1" w:styleId="38">
    <w:name w:val="font51"/>
    <w:basedOn w:val="20"/>
    <w:qFormat/>
    <w:uiPriority w:val="0"/>
    <w:rPr>
      <w:rFonts w:hint="eastAsia" w:ascii="仿宋_GB2312" w:eastAsia="仿宋_GB2312" w:cs="仿宋_GB2312"/>
      <w:color w:val="000000"/>
      <w:sz w:val="22"/>
      <w:szCs w:val="22"/>
      <w:u w:val="none"/>
    </w:rPr>
  </w:style>
  <w:style w:type="character" w:customStyle="1" w:styleId="39">
    <w:name w:val="font61"/>
    <w:basedOn w:val="20"/>
    <w:qFormat/>
    <w:uiPriority w:val="0"/>
    <w:rPr>
      <w:rFonts w:hint="eastAsia" w:ascii="仿宋_GB2312" w:eastAsia="仿宋_GB2312" w:cs="仿宋_GB2312"/>
      <w:color w:val="000000"/>
      <w:sz w:val="22"/>
      <w:szCs w:val="22"/>
      <w:u w:val="none"/>
    </w:rPr>
  </w:style>
  <w:style w:type="character" w:customStyle="1" w:styleId="40">
    <w:name w:val="font01"/>
    <w:basedOn w:val="20"/>
    <w:qFormat/>
    <w:uiPriority w:val="0"/>
    <w:rPr>
      <w:rFonts w:hint="default" w:ascii="Times New Roman" w:hAnsi="Times New Roman" w:cs="Times New Roman"/>
      <w:color w:val="000000"/>
      <w:sz w:val="22"/>
      <w:szCs w:val="22"/>
      <w:u w:val="none"/>
    </w:rPr>
  </w:style>
  <w:style w:type="character" w:customStyle="1" w:styleId="41">
    <w:name w:val="font81"/>
    <w:basedOn w:val="20"/>
    <w:qFormat/>
    <w:uiPriority w:val="0"/>
    <w:rPr>
      <w:rFonts w:hint="eastAsia" w:ascii="仿宋_GB2312" w:eastAsia="仿宋_GB2312" w:cs="仿宋_GB2312"/>
      <w:color w:val="000000"/>
      <w:sz w:val="22"/>
      <w:szCs w:val="22"/>
      <w:u w:val="none"/>
    </w:rPr>
  </w:style>
  <w:style w:type="character" w:customStyle="1" w:styleId="42">
    <w:name w:val="font121"/>
    <w:basedOn w:val="20"/>
    <w:qFormat/>
    <w:uiPriority w:val="0"/>
    <w:rPr>
      <w:rFonts w:hint="default" w:ascii="Times New Roman" w:hAnsi="Times New Roman" w:cs="Times New Roman"/>
      <w:color w:val="000000"/>
      <w:sz w:val="22"/>
      <w:szCs w:val="22"/>
      <w:u w:val="none"/>
    </w:rPr>
  </w:style>
  <w:style w:type="character" w:customStyle="1" w:styleId="43">
    <w:name w:val="font71"/>
    <w:basedOn w:val="20"/>
    <w:qFormat/>
    <w:uiPriority w:val="0"/>
    <w:rPr>
      <w:rFonts w:hint="eastAsia" w:ascii="仿宋_GB2312" w:eastAsia="仿宋_GB2312" w:cs="仿宋_GB2312"/>
      <w:color w:val="000000"/>
      <w:sz w:val="22"/>
      <w:szCs w:val="22"/>
      <w:u w:val="none"/>
    </w:rPr>
  </w:style>
  <w:style w:type="character" w:customStyle="1" w:styleId="44">
    <w:name w:val="font91"/>
    <w:basedOn w:val="20"/>
    <w:qFormat/>
    <w:uiPriority w:val="0"/>
    <w:rPr>
      <w:rFonts w:hint="default" w:ascii="Times New Roman" w:hAnsi="Times New Roman" w:cs="Times New Roman"/>
      <w:color w:val="000000"/>
      <w:sz w:val="22"/>
      <w:szCs w:val="22"/>
      <w:u w:val="none"/>
    </w:rPr>
  </w:style>
  <w:style w:type="character" w:customStyle="1" w:styleId="45">
    <w:name w:val="font21"/>
    <w:basedOn w:val="20"/>
    <w:qFormat/>
    <w:uiPriority w:val="0"/>
    <w:rPr>
      <w:rFonts w:hint="eastAsia" w:ascii="仿宋_GB2312" w:eastAsia="仿宋_GB2312" w:cs="仿宋_GB2312"/>
      <w:b/>
      <w:color w:val="000000"/>
      <w:sz w:val="22"/>
      <w:szCs w:val="22"/>
      <w:u w:val="none"/>
    </w:rPr>
  </w:style>
  <w:style w:type="character" w:customStyle="1" w:styleId="46">
    <w:name w:val="标题 3 Char"/>
    <w:link w:val="5"/>
    <w:qFormat/>
    <w:uiPriority w:val="0"/>
    <w:rPr>
      <w:rFonts w:ascii="Times New Roman" w:hAnsi="Times New Roman" w:eastAsia="仿宋"/>
      <w:b/>
      <w:sz w:val="32"/>
      <w:szCs w:val="32"/>
    </w:rPr>
  </w:style>
  <w:style w:type="table" w:customStyle="1" w:styleId="47">
    <w:name w:val="wz表内容1"/>
    <w:basedOn w:val="18"/>
    <w:qFormat/>
    <w:uiPriority w:val="99"/>
    <w:pPr>
      <w:spacing w:line="300" w:lineRule="exact"/>
      <w:jc w:val="center"/>
    </w:pPr>
    <w:rPr>
      <w:rFonts w:ascii="Times New Roman" w:hAnsi="Times New Roman" w:eastAsia="仿宋_GB2312"/>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15840</Words>
  <Characters>17720</Characters>
  <Lines>0</Lines>
  <Paragraphs>0</Paragraphs>
  <TotalTime>43</TotalTime>
  <ScaleCrop>false</ScaleCrop>
  <LinksUpToDate>false</LinksUpToDate>
  <CharactersWithSpaces>17811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2020-10-30T02:56:00Z</dcterms:created>
  <dc:creator>Administrator</dc:creator>
  <cp:lastModifiedBy>悦朝胜</cp:lastModifiedBy>
  <dcterms:modified xsi:type="dcterms:W3CDTF">2024-12-30T07:41:29Z</dcterms:modified>
  <dc:title>2022年度滑县统筹整合财政涉农资金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33BC64E39ADA4DEEB5144F29F9710693</vt:lpwstr>
  </property>
  <property fmtid="{D5CDD505-2E9C-101B-9397-08002B2CF9AE}" pid="4" name="KSOTemplateDocerSaveRecord">
    <vt:lpwstr>eyJoZGlkIjoiYTQ5ZTk3NGEwYjU5NTRjMGMyYTY3YmRhYjE4MGNkNDYiLCJ1c2VySWQiOiI0OTc1NjQ4ODAifQ==</vt:lpwstr>
  </property>
</Properties>
</file>