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EFC59">
      <w:pPr>
        <w:adjustRightInd w:val="0"/>
        <w:snapToGrid w:val="0"/>
        <w:spacing w:line="240" w:lineRule="auto"/>
        <w:ind w:firstLine="0" w:firstLineChars="0"/>
        <w:jc w:val="center"/>
        <w:outlineLvl w:val="0"/>
        <w:rPr>
          <w:rFonts w:hint="default" w:ascii="Times New Roman" w:hAnsi="Times New Roman" w:eastAsia="宋体" w:cs="Times New Roman"/>
          <w:bCs/>
          <w:color w:val="auto"/>
          <w:sz w:val="72"/>
          <w:szCs w:val="72"/>
        </w:rPr>
      </w:pPr>
    </w:p>
    <w:p w14:paraId="0C17AE48">
      <w:pPr>
        <w:adjustRightInd w:val="0"/>
        <w:snapToGrid w:val="0"/>
        <w:spacing w:line="240" w:lineRule="auto"/>
        <w:ind w:firstLine="0" w:firstLineChars="0"/>
        <w:jc w:val="center"/>
        <w:outlineLvl w:val="0"/>
        <w:rPr>
          <w:rFonts w:hint="default" w:ascii="Times New Roman" w:hAnsi="Times New Roman" w:eastAsia="宋体" w:cs="Times New Roman"/>
          <w:bCs/>
          <w:color w:val="auto"/>
          <w:sz w:val="72"/>
          <w:szCs w:val="72"/>
        </w:rPr>
      </w:pPr>
    </w:p>
    <w:p w14:paraId="46CF28C9">
      <w:pPr>
        <w:adjustRightInd w:val="0"/>
        <w:snapToGrid w:val="0"/>
        <w:spacing w:line="240" w:lineRule="auto"/>
        <w:ind w:firstLine="0" w:firstLineChars="0"/>
        <w:jc w:val="center"/>
        <w:outlineLvl w:val="0"/>
        <w:rPr>
          <w:rFonts w:hint="default" w:ascii="Times New Roman" w:hAnsi="Times New Roman" w:eastAsia="宋体" w:cs="Times New Roman"/>
          <w:bCs/>
          <w:color w:val="auto"/>
          <w:sz w:val="72"/>
          <w:szCs w:val="72"/>
        </w:rPr>
      </w:pPr>
      <w:r>
        <w:rPr>
          <w:rFonts w:hint="default" w:ascii="Times New Roman" w:hAnsi="Times New Roman" w:eastAsia="宋体" w:cs="Times New Roman"/>
          <w:bCs/>
          <w:color w:val="auto"/>
          <w:sz w:val="72"/>
          <w:szCs w:val="72"/>
        </w:rPr>
        <w:t>建设项目环境影响报告表</w:t>
      </w:r>
    </w:p>
    <w:p w14:paraId="72067155">
      <w:pPr>
        <w:adjustRightInd w:val="0"/>
        <w:snapToGrid w:val="0"/>
        <w:spacing w:before="192" w:beforeLines="8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683B99E6">
      <w:pPr>
        <w:adjustRightInd w:val="0"/>
        <w:snapToGrid w:val="0"/>
        <w:spacing w:line="288" w:lineRule="auto"/>
        <w:jc w:val="center"/>
        <w:outlineLvl w:val="0"/>
        <w:rPr>
          <w:rFonts w:hint="default" w:ascii="Times New Roman" w:hAnsi="Times New Roman" w:eastAsia="宋体" w:cs="Times New Roman"/>
          <w:color w:val="auto"/>
          <w:kern w:val="44"/>
          <w:sz w:val="44"/>
          <w:szCs w:val="44"/>
        </w:rPr>
      </w:pPr>
    </w:p>
    <w:p w14:paraId="2FA0D972">
      <w:pPr>
        <w:jc w:val="center"/>
        <w:rPr>
          <w:rFonts w:hint="default" w:ascii="Times New Roman" w:hAnsi="Times New Roman" w:eastAsia="宋体" w:cs="Times New Roman"/>
          <w:color w:val="auto"/>
          <w:sz w:val="52"/>
          <w:szCs w:val="52"/>
        </w:rPr>
      </w:pPr>
    </w:p>
    <w:p w14:paraId="7C9CA6E0">
      <w:pPr>
        <w:rPr>
          <w:rFonts w:hint="default" w:ascii="Times New Roman" w:hAnsi="Times New Roman" w:eastAsia="宋体" w:cs="Times New Roman"/>
          <w:color w:val="auto"/>
          <w:sz w:val="44"/>
          <w:szCs w:val="44"/>
        </w:rPr>
      </w:pPr>
    </w:p>
    <w:p w14:paraId="6CF5D579">
      <w:pPr>
        <w:ind w:firstLine="1040"/>
        <w:rPr>
          <w:rFonts w:hint="default" w:ascii="Times New Roman" w:hAnsi="Times New Roman" w:eastAsia="宋体" w:cs="Times New Roman"/>
          <w:color w:val="auto"/>
          <w:sz w:val="44"/>
          <w:szCs w:val="44"/>
        </w:rPr>
      </w:pPr>
    </w:p>
    <w:p w14:paraId="1174B964">
      <w:pPr>
        <w:pStyle w:val="4"/>
        <w:rPr>
          <w:rFonts w:hint="default" w:ascii="Times New Roman" w:hAnsi="Times New Roman" w:eastAsia="宋体" w:cs="Times New Roman"/>
          <w:color w:val="auto"/>
          <w:sz w:val="44"/>
          <w:szCs w:val="44"/>
        </w:rPr>
      </w:pPr>
    </w:p>
    <w:p w14:paraId="11B3C953">
      <w:pPr>
        <w:rPr>
          <w:rFonts w:hint="default" w:ascii="Times New Roman" w:hAnsi="Times New Roman" w:eastAsia="宋体" w:cs="Times New Roman"/>
          <w:color w:val="auto"/>
        </w:rPr>
      </w:pPr>
    </w:p>
    <w:p w14:paraId="57BCBB89">
      <w:pPr>
        <w:rPr>
          <w:rFonts w:hint="default" w:ascii="Times New Roman" w:hAnsi="Times New Roman" w:eastAsia="宋体" w:cs="Times New Roman"/>
          <w:color w:val="auto"/>
          <w:sz w:val="44"/>
          <w:szCs w:val="44"/>
        </w:rPr>
      </w:pPr>
    </w:p>
    <w:p w14:paraId="2C4DAB6A">
      <w:pPr>
        <w:rPr>
          <w:rFonts w:hint="default" w:ascii="Times New Roman" w:hAnsi="Times New Roman" w:eastAsia="宋体" w:cs="Times New Roman"/>
          <w:color w:val="auto"/>
        </w:rPr>
      </w:pPr>
    </w:p>
    <w:p w14:paraId="292E1BE3">
      <w:pPr>
        <w:rPr>
          <w:rFonts w:hint="default" w:ascii="Times New Roman" w:hAnsi="Times New Roman" w:eastAsia="宋体" w:cs="Times New Roman"/>
          <w:color w:val="auto"/>
        </w:rPr>
      </w:pPr>
    </w:p>
    <w:p w14:paraId="72435AF4">
      <w:pPr>
        <w:adjustRightInd w:val="0"/>
        <w:snapToGrid w:val="0"/>
        <w:spacing w:line="288" w:lineRule="auto"/>
        <w:ind w:firstLine="723" w:firstLineChars="200"/>
        <w:jc w:val="both"/>
        <w:rPr>
          <w:rFonts w:hint="default" w:ascii="Times New Roman" w:hAnsi="Times New Roman" w:eastAsia="宋体" w:cs="Times New Roman"/>
          <w:b/>
          <w:bCs/>
          <w:color w:val="auto"/>
          <w:sz w:val="36"/>
          <w:szCs w:val="36"/>
          <w:u w:val="single"/>
          <w:lang w:val="en-US" w:eastAsia="zh-CN"/>
        </w:rPr>
      </w:pPr>
      <w:r>
        <w:rPr>
          <w:rFonts w:hint="default" w:ascii="Times New Roman" w:hAnsi="Times New Roman" w:eastAsia="宋体" w:cs="Times New Roman"/>
          <w:b/>
          <w:bCs/>
          <w:color w:val="auto"/>
          <w:sz w:val="36"/>
          <w:szCs w:val="36"/>
        </w:rPr>
        <w:t>项目名称：</w:t>
      </w:r>
      <w:r>
        <w:rPr>
          <w:rFonts w:hint="default" w:ascii="Times New Roman" w:hAnsi="Times New Roman" w:eastAsia="宋体" w:cs="Times New Roman"/>
          <w:b/>
          <w:bCs/>
          <w:color w:val="auto"/>
          <w:sz w:val="36"/>
          <w:szCs w:val="36"/>
          <w:u w:val="single"/>
          <w:lang w:val="en-US" w:eastAsia="zh-CN"/>
        </w:rPr>
        <w:t xml:space="preserve">年产500吨淀粉糖品生产制造项目   </w:t>
      </w:r>
    </w:p>
    <w:p w14:paraId="1BDAF97E">
      <w:pPr>
        <w:adjustRightInd w:val="0"/>
        <w:snapToGrid w:val="0"/>
        <w:spacing w:line="288" w:lineRule="auto"/>
        <w:ind w:firstLine="723" w:firstLineChars="200"/>
        <w:rPr>
          <w:rFonts w:hint="default" w:ascii="Times New Roman" w:hAnsi="Times New Roman" w:eastAsia="宋体" w:cs="Times New Roman"/>
          <w:b/>
          <w:bCs/>
          <w:color w:val="auto"/>
          <w:sz w:val="36"/>
          <w:szCs w:val="36"/>
          <w:u w:val="single"/>
          <w:lang w:val="en-US" w:eastAsia="zh-CN"/>
        </w:rPr>
      </w:pPr>
      <w:r>
        <w:rPr>
          <w:rFonts w:hint="default" w:ascii="Times New Roman" w:hAnsi="Times New Roman" w:eastAsia="宋体" w:cs="Times New Roman"/>
          <w:b/>
          <w:bCs/>
          <w:color w:val="auto"/>
          <w:sz w:val="36"/>
          <w:szCs w:val="36"/>
        </w:rPr>
        <w:t>建设单位（盖章）：</w:t>
      </w:r>
      <w:r>
        <w:rPr>
          <w:rFonts w:hint="default" w:ascii="Times New Roman" w:hAnsi="Times New Roman" w:eastAsia="宋体" w:cs="Times New Roman"/>
          <w:b/>
          <w:bCs/>
          <w:color w:val="auto"/>
          <w:sz w:val="36"/>
          <w:szCs w:val="36"/>
          <w:u w:val="single"/>
          <w:lang w:val="en-US" w:eastAsia="zh-CN"/>
        </w:rPr>
        <w:t xml:space="preserve"> 河南博技农业发展有限公司</w:t>
      </w:r>
    </w:p>
    <w:p w14:paraId="76ED01F0">
      <w:pPr>
        <w:adjustRightInd w:val="0"/>
        <w:snapToGrid w:val="0"/>
        <w:spacing w:line="288" w:lineRule="auto"/>
        <w:ind w:firstLine="723" w:firstLineChars="200"/>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z w:val="36"/>
          <w:szCs w:val="36"/>
        </w:rPr>
        <w:t xml:space="preserve">编制日期： </w:t>
      </w:r>
      <w:r>
        <w:rPr>
          <w:rFonts w:hint="default" w:ascii="Times New Roman" w:hAnsi="Times New Roman" w:eastAsia="宋体" w:cs="Times New Roman"/>
          <w:b/>
          <w:bCs/>
          <w:color w:val="auto"/>
          <w:sz w:val="36"/>
          <w:szCs w:val="36"/>
          <w:u w:val="single"/>
          <w:lang w:val="en-US" w:eastAsia="zh-CN"/>
        </w:rPr>
        <w:t xml:space="preserve">             二〇二四年十</w:t>
      </w:r>
      <w:r>
        <w:rPr>
          <w:rFonts w:hint="default" w:ascii="Times New Roman" w:hAnsi="Times New Roman" w:cs="Times New Roman"/>
          <w:b/>
          <w:bCs/>
          <w:color w:val="auto"/>
          <w:sz w:val="36"/>
          <w:szCs w:val="36"/>
          <w:u w:val="single"/>
          <w:lang w:val="en-US" w:eastAsia="zh-CN"/>
        </w:rPr>
        <w:t>二</w:t>
      </w:r>
      <w:r>
        <w:rPr>
          <w:rFonts w:hint="default" w:ascii="Times New Roman" w:hAnsi="Times New Roman" w:eastAsia="宋体" w:cs="Times New Roman"/>
          <w:b/>
          <w:bCs/>
          <w:color w:val="auto"/>
          <w:sz w:val="36"/>
          <w:szCs w:val="36"/>
          <w:u w:val="single"/>
          <w:lang w:val="en-US" w:eastAsia="zh-CN"/>
        </w:rPr>
        <w:t xml:space="preserve">月   </w:t>
      </w:r>
      <w:r>
        <w:rPr>
          <w:rFonts w:hint="default" w:ascii="Times New Roman" w:hAnsi="Times New Roman" w:eastAsia="宋体" w:cs="Times New Roman"/>
          <w:b/>
          <w:bCs/>
          <w:color w:val="auto"/>
          <w:sz w:val="36"/>
          <w:szCs w:val="36"/>
        </w:rPr>
        <w:t xml:space="preserve">    </w:t>
      </w:r>
    </w:p>
    <w:p w14:paraId="2C2F84A4">
      <w:pPr>
        <w:pStyle w:val="18"/>
        <w:tabs>
          <w:tab w:val="left" w:pos="210"/>
        </w:tabs>
        <w:rPr>
          <w:rFonts w:hint="default" w:ascii="Times New Roman" w:hAnsi="Times New Roman" w:eastAsia="宋体" w:cs="Times New Roman"/>
          <w:color w:val="auto"/>
          <w:lang w:val="en-US" w:eastAsia="zh-CN"/>
        </w:rPr>
      </w:pPr>
    </w:p>
    <w:p w14:paraId="3EB3CACC">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0" w:name="_Hlk57884087"/>
    </w:p>
    <w:p w14:paraId="4F8076DE">
      <w:pPr>
        <w:adjustRightInd w:val="0"/>
        <w:snapToGrid w:val="0"/>
        <w:spacing w:line="288" w:lineRule="auto"/>
        <w:rPr>
          <w:rFonts w:hint="default" w:ascii="Times New Roman" w:hAnsi="Times New Roman" w:eastAsia="宋体" w:cs="Times New Roman"/>
          <w:color w:val="auto"/>
          <w:sz w:val="36"/>
          <w:szCs w:val="36"/>
        </w:rPr>
      </w:pPr>
    </w:p>
    <w:p w14:paraId="5CC84A40">
      <w:pPr>
        <w:adjustRightInd w:val="0"/>
        <w:snapToGrid w:val="0"/>
        <w:spacing w:line="288" w:lineRule="auto"/>
        <w:rPr>
          <w:rFonts w:hint="default" w:ascii="Times New Roman" w:hAnsi="Times New Roman" w:eastAsia="宋体" w:cs="Times New Roman"/>
          <w:color w:val="auto"/>
          <w:sz w:val="36"/>
          <w:szCs w:val="36"/>
        </w:rPr>
      </w:pPr>
    </w:p>
    <w:bookmarkEnd w:id="0"/>
    <w:p w14:paraId="21B12569">
      <w:pPr>
        <w:adjustRightInd w:val="0"/>
        <w:snapToGrid w:val="0"/>
        <w:spacing w:line="288" w:lineRule="auto"/>
        <w:ind w:firstLine="720" w:firstLineChars="200"/>
        <w:jc w:val="center"/>
        <w:rPr>
          <w:rFonts w:hint="default" w:ascii="Times New Roman" w:hAnsi="Times New Roman" w:eastAsia="宋体" w:cs="Times New Roman"/>
          <w:b/>
          <w:bCs/>
          <w:color w:val="auto"/>
          <w:sz w:val="28"/>
          <w:szCs w:val="28"/>
          <w:lang w:val="en-US" w:eastAsia="zh-CN"/>
        </w:rPr>
        <w:sectPr>
          <w:footerReference r:id="rId3" w:type="default"/>
          <w:pgSz w:w="11906" w:h="16838"/>
          <w:pgMar w:top="1440" w:right="918" w:bottom="1440" w:left="119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color w:val="auto"/>
          <w:sz w:val="36"/>
          <w:szCs w:val="36"/>
        </w:rPr>
        <w:t>中华人民共和国生</w:t>
      </w:r>
      <w:r>
        <w:rPr>
          <w:rFonts w:hint="default" w:ascii="Times New Roman" w:hAnsi="Times New Roman" w:eastAsia="宋体" w:cs="Times New Roman"/>
          <w:color w:val="auto"/>
          <w:sz w:val="36"/>
          <w:szCs w:val="36"/>
          <w:lang w:eastAsia="zh-CN"/>
        </w:rPr>
        <w:t>态环境部</w:t>
      </w:r>
      <w:bookmarkStart w:id="5" w:name="_GoBack"/>
      <w:bookmarkEnd w:id="5"/>
    </w:p>
    <w:p w14:paraId="05571DDB">
      <w:pPr>
        <w:spacing w:before="228" w:line="229"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eastAsia="zh-CN"/>
        </w:rPr>
        <w:t>一、</w:t>
      </w:r>
      <w:r>
        <w:rPr>
          <w:rFonts w:hint="default" w:ascii="Times New Roman" w:hAnsi="Times New Roman" w:eastAsia="宋体" w:cs="Times New Roman"/>
          <w:color w:val="auto"/>
          <w:sz w:val="28"/>
          <w:szCs w:val="28"/>
        </w:rPr>
        <w:t>建设项目基本情况</w:t>
      </w:r>
    </w:p>
    <w:tbl>
      <w:tblPr>
        <w:tblStyle w:val="19"/>
        <w:tblW w:w="9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3127"/>
        <w:gridCol w:w="1246"/>
        <w:gridCol w:w="3896"/>
      </w:tblGrid>
      <w:tr w14:paraId="7648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val="0"/>
            <w:vAlign w:val="center"/>
          </w:tcPr>
          <w:p w14:paraId="1CD3A235">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w:t>
            </w:r>
          </w:p>
        </w:tc>
        <w:tc>
          <w:tcPr>
            <w:tcW w:w="8269" w:type="dxa"/>
            <w:gridSpan w:val="3"/>
            <w:noWrap w:val="0"/>
            <w:vAlign w:val="center"/>
          </w:tcPr>
          <w:p w14:paraId="297FD44F">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年产500吨淀粉糖品生产制造项目</w:t>
            </w:r>
          </w:p>
        </w:tc>
      </w:tr>
      <w:tr w14:paraId="08DB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3" w:type="dxa"/>
            <w:noWrap w:val="0"/>
            <w:vAlign w:val="center"/>
          </w:tcPr>
          <w:p w14:paraId="720DD30C">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项目代码</w:t>
            </w:r>
          </w:p>
        </w:tc>
        <w:tc>
          <w:tcPr>
            <w:tcW w:w="8269" w:type="dxa"/>
            <w:gridSpan w:val="3"/>
            <w:noWrap w:val="0"/>
            <w:vAlign w:val="center"/>
          </w:tcPr>
          <w:p w14:paraId="1ABB7780">
            <w:pPr>
              <w:spacing w:line="240" w:lineRule="auto"/>
              <w:jc w:val="center"/>
              <w:rPr>
                <w:rFonts w:hint="default" w:ascii="Times New Roman" w:hAnsi="Times New Roman" w:eastAsia="宋体" w:cs="Times New Roman"/>
                <w:color w:val="auto"/>
                <w:sz w:val="24"/>
                <w:szCs w:val="24"/>
                <w:lang w:val="en-US"/>
              </w:rPr>
            </w:pPr>
            <w:r>
              <w:rPr>
                <w:rFonts w:hint="default" w:ascii="Times New Roman" w:hAnsi="Times New Roman" w:cs="Times New Roman"/>
                <w:color w:val="auto"/>
                <w:spacing w:val="-10"/>
                <w:sz w:val="24"/>
                <w:szCs w:val="24"/>
                <w:lang w:val="en-US" w:eastAsia="zh-CN"/>
              </w:rPr>
              <w:t>2409</w:t>
            </w:r>
            <w:r>
              <w:rPr>
                <w:rFonts w:hint="default" w:ascii="Times New Roman" w:hAnsi="Times New Roman" w:eastAsia="宋体" w:cs="Times New Roman"/>
                <w:color w:val="auto"/>
                <w:spacing w:val="-10"/>
                <w:sz w:val="24"/>
                <w:szCs w:val="24"/>
                <w:lang w:val="en-US" w:eastAsia="zh-CN"/>
              </w:rPr>
              <w:t>-</w:t>
            </w:r>
            <w:r>
              <w:rPr>
                <w:rFonts w:hint="default" w:ascii="Times New Roman" w:hAnsi="Times New Roman" w:cs="Times New Roman"/>
                <w:color w:val="auto"/>
                <w:spacing w:val="-10"/>
                <w:sz w:val="24"/>
                <w:szCs w:val="24"/>
                <w:lang w:val="en-US" w:eastAsia="zh-CN"/>
              </w:rPr>
              <w:t>410526</w:t>
            </w:r>
            <w:r>
              <w:rPr>
                <w:rFonts w:hint="default" w:ascii="Times New Roman" w:hAnsi="Times New Roman" w:eastAsia="宋体" w:cs="Times New Roman"/>
                <w:color w:val="auto"/>
                <w:spacing w:val="-10"/>
                <w:sz w:val="24"/>
                <w:szCs w:val="24"/>
                <w:lang w:val="en-US" w:eastAsia="zh-CN"/>
              </w:rPr>
              <w:t>-04-01-</w:t>
            </w:r>
            <w:r>
              <w:rPr>
                <w:rFonts w:hint="default" w:ascii="Times New Roman" w:hAnsi="Times New Roman" w:cs="Times New Roman"/>
                <w:color w:val="auto"/>
                <w:spacing w:val="-10"/>
                <w:sz w:val="24"/>
                <w:szCs w:val="24"/>
                <w:lang w:val="en-US" w:eastAsia="zh-CN"/>
              </w:rPr>
              <w:t>184678</w:t>
            </w:r>
          </w:p>
        </w:tc>
      </w:tr>
      <w:tr w14:paraId="341F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213" w:type="dxa"/>
            <w:noWrap w:val="0"/>
            <w:vAlign w:val="center"/>
          </w:tcPr>
          <w:p w14:paraId="3CA5AA4C">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建设单位联系人</w:t>
            </w:r>
          </w:p>
        </w:tc>
        <w:tc>
          <w:tcPr>
            <w:tcW w:w="3127" w:type="dxa"/>
            <w:noWrap w:val="0"/>
            <w:vAlign w:val="center"/>
          </w:tcPr>
          <w:p w14:paraId="169EA3BA">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周鹏冲</w:t>
            </w:r>
          </w:p>
        </w:tc>
        <w:tc>
          <w:tcPr>
            <w:tcW w:w="1246" w:type="dxa"/>
            <w:noWrap w:val="0"/>
            <w:vAlign w:val="center"/>
          </w:tcPr>
          <w:p w14:paraId="2A8E7A35">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联系电话</w:t>
            </w:r>
          </w:p>
        </w:tc>
        <w:tc>
          <w:tcPr>
            <w:tcW w:w="3896" w:type="dxa"/>
            <w:noWrap w:val="0"/>
            <w:vAlign w:val="center"/>
          </w:tcPr>
          <w:p w14:paraId="3B3B913E">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18937207717</w:t>
            </w:r>
          </w:p>
        </w:tc>
      </w:tr>
      <w:tr w14:paraId="08C2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213" w:type="dxa"/>
            <w:noWrap w:val="0"/>
            <w:vAlign w:val="center"/>
          </w:tcPr>
          <w:p w14:paraId="4E613A3B">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8269" w:type="dxa"/>
            <w:gridSpan w:val="3"/>
            <w:noWrap w:val="0"/>
            <w:vAlign w:val="center"/>
          </w:tcPr>
          <w:p w14:paraId="7CC6F09E">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滑县新区漓江路与古城路北2号</w:t>
            </w:r>
          </w:p>
        </w:tc>
      </w:tr>
      <w:tr w14:paraId="7266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213" w:type="dxa"/>
            <w:noWrap w:val="0"/>
            <w:vAlign w:val="center"/>
          </w:tcPr>
          <w:p w14:paraId="0601DAA5">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地理坐标</w:t>
            </w:r>
          </w:p>
        </w:tc>
        <w:tc>
          <w:tcPr>
            <w:tcW w:w="8269" w:type="dxa"/>
            <w:gridSpan w:val="3"/>
            <w:noWrap w:val="0"/>
            <w:vAlign w:val="center"/>
          </w:tcPr>
          <w:p w14:paraId="3B1C6FBC">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i w:val="0"/>
                <w:iCs w:val="0"/>
                <w:caps w:val="0"/>
                <w:color w:val="auto"/>
                <w:spacing w:val="0"/>
                <w:sz w:val="24"/>
                <w:szCs w:val="24"/>
                <w:shd w:val="clear" w:fill="FFFFFF"/>
              </w:rPr>
              <w:t>114</w:t>
            </w:r>
            <w:r>
              <w:rPr>
                <w:rFonts w:hint="default" w:ascii="Times New Roman" w:hAnsi="Times New Roman" w:cs="Times New Roman"/>
                <w:i w:val="0"/>
                <w:iCs w:val="0"/>
                <w:caps w:val="0"/>
                <w:color w:val="auto"/>
                <w:spacing w:val="0"/>
                <w:sz w:val="24"/>
                <w:szCs w:val="24"/>
                <w:shd w:val="clear" w:fill="FFFFFF"/>
                <w:lang w:eastAsia="zh-CN"/>
              </w:rPr>
              <w:t>度</w:t>
            </w:r>
            <w:r>
              <w:rPr>
                <w:rFonts w:hint="default" w:ascii="Times New Roman" w:hAnsi="Times New Roman" w:eastAsia="宋体" w:cs="Times New Roman"/>
                <w:i w:val="0"/>
                <w:iCs w:val="0"/>
                <w:caps w:val="0"/>
                <w:color w:val="auto"/>
                <w:spacing w:val="0"/>
                <w:sz w:val="24"/>
                <w:szCs w:val="24"/>
                <w:shd w:val="clear" w:fill="FFFFFF"/>
              </w:rPr>
              <w:t>33</w:t>
            </w:r>
            <w:r>
              <w:rPr>
                <w:rFonts w:hint="default" w:ascii="Times New Roman" w:hAnsi="Times New Roman" w:cs="Times New Roman"/>
                <w:i w:val="0"/>
                <w:iCs w:val="0"/>
                <w:caps w:val="0"/>
                <w:color w:val="auto"/>
                <w:spacing w:val="0"/>
                <w:sz w:val="24"/>
                <w:szCs w:val="24"/>
                <w:shd w:val="clear" w:fill="FFFFFF"/>
                <w:lang w:eastAsia="zh-CN"/>
              </w:rPr>
              <w:t>分</w:t>
            </w:r>
            <w:r>
              <w:rPr>
                <w:rFonts w:hint="default" w:ascii="Times New Roman" w:hAnsi="Times New Roman" w:eastAsia="宋体" w:cs="Times New Roman"/>
                <w:i w:val="0"/>
                <w:iCs w:val="0"/>
                <w:caps w:val="0"/>
                <w:color w:val="auto"/>
                <w:spacing w:val="0"/>
                <w:sz w:val="24"/>
                <w:szCs w:val="24"/>
                <w:shd w:val="clear" w:fill="FFFFFF"/>
              </w:rPr>
              <w:t>6.9</w:t>
            </w:r>
            <w:r>
              <w:rPr>
                <w:rFonts w:hint="eastAsia" w:cs="Times New Roman"/>
                <w:i w:val="0"/>
                <w:iCs w:val="0"/>
                <w:caps w:val="0"/>
                <w:color w:val="auto"/>
                <w:spacing w:val="0"/>
                <w:sz w:val="24"/>
                <w:szCs w:val="24"/>
                <w:shd w:val="clear" w:fill="FFFFFF"/>
                <w:lang w:eastAsia="zh-CN"/>
              </w:rPr>
              <w:t>4</w:t>
            </w:r>
            <w:r>
              <w:rPr>
                <w:rFonts w:hint="default" w:ascii="Times New Roman" w:hAnsi="Times New Roman" w:cs="Times New Roman"/>
                <w:i w:val="0"/>
                <w:iCs w:val="0"/>
                <w:caps w:val="0"/>
                <w:color w:val="auto"/>
                <w:spacing w:val="0"/>
                <w:sz w:val="24"/>
                <w:szCs w:val="24"/>
                <w:shd w:val="clear" w:fill="FFFFFF"/>
                <w:lang w:eastAsia="zh-CN"/>
              </w:rPr>
              <w:t>秒</w:t>
            </w:r>
            <w:r>
              <w:rPr>
                <w:rFonts w:hint="default" w:ascii="Times New Roman" w:hAnsi="Times New Roman" w:eastAsia="宋体" w:cs="Times New Roman"/>
                <w:color w:val="auto"/>
                <w:sz w:val="24"/>
                <w:szCs w:val="24"/>
              </w:rPr>
              <w:t>，</w:t>
            </w:r>
            <w:r>
              <w:rPr>
                <w:rFonts w:hint="default" w:ascii="Times New Roman" w:hAnsi="Times New Roman" w:eastAsia="宋体" w:cs="Times New Roman"/>
                <w:i w:val="0"/>
                <w:iCs w:val="0"/>
                <w:caps w:val="0"/>
                <w:color w:val="auto"/>
                <w:spacing w:val="0"/>
                <w:sz w:val="24"/>
                <w:szCs w:val="24"/>
                <w:shd w:val="clear" w:fill="FFFFFF"/>
              </w:rPr>
              <w:t>35</w:t>
            </w:r>
            <w:r>
              <w:rPr>
                <w:rFonts w:hint="default" w:ascii="Times New Roman" w:hAnsi="Times New Roman" w:cs="Times New Roman"/>
                <w:i w:val="0"/>
                <w:iCs w:val="0"/>
                <w:caps w:val="0"/>
                <w:color w:val="auto"/>
                <w:spacing w:val="0"/>
                <w:sz w:val="24"/>
                <w:szCs w:val="24"/>
                <w:shd w:val="clear" w:fill="FFFFFF"/>
                <w:lang w:eastAsia="zh-CN"/>
              </w:rPr>
              <w:t>度</w:t>
            </w:r>
            <w:r>
              <w:rPr>
                <w:rFonts w:hint="default" w:ascii="Times New Roman" w:hAnsi="Times New Roman" w:eastAsia="宋体" w:cs="Times New Roman"/>
                <w:i w:val="0"/>
                <w:iCs w:val="0"/>
                <w:caps w:val="0"/>
                <w:color w:val="auto"/>
                <w:spacing w:val="0"/>
                <w:sz w:val="24"/>
                <w:szCs w:val="24"/>
                <w:shd w:val="clear" w:fill="FFFFFF"/>
              </w:rPr>
              <w:t>31</w:t>
            </w:r>
            <w:r>
              <w:rPr>
                <w:rFonts w:hint="default" w:ascii="Times New Roman" w:hAnsi="Times New Roman" w:cs="Times New Roman"/>
                <w:i w:val="0"/>
                <w:iCs w:val="0"/>
                <w:caps w:val="0"/>
                <w:color w:val="auto"/>
                <w:spacing w:val="0"/>
                <w:sz w:val="24"/>
                <w:szCs w:val="24"/>
                <w:shd w:val="clear" w:fill="FFFFFF"/>
                <w:lang w:eastAsia="zh-CN"/>
              </w:rPr>
              <w:t>分</w:t>
            </w:r>
            <w:r>
              <w:rPr>
                <w:rFonts w:hint="default" w:ascii="Times New Roman" w:hAnsi="Times New Roman" w:eastAsia="宋体" w:cs="Times New Roman"/>
                <w:i w:val="0"/>
                <w:iCs w:val="0"/>
                <w:caps w:val="0"/>
                <w:color w:val="auto"/>
                <w:spacing w:val="0"/>
                <w:sz w:val="24"/>
                <w:szCs w:val="24"/>
                <w:shd w:val="clear" w:fill="FFFFFF"/>
              </w:rPr>
              <w:t>58.55</w:t>
            </w:r>
            <w:r>
              <w:rPr>
                <w:rFonts w:hint="default" w:ascii="Times New Roman" w:hAnsi="Times New Roman" w:cs="Times New Roman"/>
                <w:i w:val="0"/>
                <w:iCs w:val="0"/>
                <w:caps w:val="0"/>
                <w:color w:val="auto"/>
                <w:spacing w:val="0"/>
                <w:sz w:val="24"/>
                <w:szCs w:val="24"/>
                <w:shd w:val="clear" w:fill="FFFFFF"/>
                <w:lang w:eastAsia="zh-CN"/>
              </w:rPr>
              <w:t>秒</w:t>
            </w:r>
            <w:r>
              <w:rPr>
                <w:rFonts w:hint="default" w:ascii="Times New Roman" w:hAnsi="Times New Roman" w:eastAsia="宋体" w:cs="Times New Roman"/>
                <w:color w:val="auto"/>
                <w:sz w:val="24"/>
                <w:szCs w:val="24"/>
              </w:rPr>
              <w:t>）</w:t>
            </w:r>
          </w:p>
        </w:tc>
      </w:tr>
      <w:tr w14:paraId="63CC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213" w:type="dxa"/>
            <w:noWrap w:val="0"/>
            <w:vAlign w:val="center"/>
          </w:tcPr>
          <w:p w14:paraId="6EBE358C">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国民经济行业类别</w:t>
            </w:r>
          </w:p>
        </w:tc>
        <w:tc>
          <w:tcPr>
            <w:tcW w:w="3127" w:type="dxa"/>
            <w:noWrap w:val="0"/>
            <w:vAlign w:val="center"/>
          </w:tcPr>
          <w:p w14:paraId="2084D284">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C1391淀粉及淀粉制品制造</w:t>
            </w:r>
          </w:p>
        </w:tc>
        <w:tc>
          <w:tcPr>
            <w:tcW w:w="1246" w:type="dxa"/>
            <w:noWrap w:val="0"/>
            <w:vAlign w:val="center"/>
          </w:tcPr>
          <w:p w14:paraId="14147D54">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72C89424">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3896" w:type="dxa"/>
            <w:noWrap w:val="0"/>
            <w:vAlign w:val="center"/>
          </w:tcPr>
          <w:p w14:paraId="0EF4FC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十、农副食品加工业13-20其他农副食品加工139*</w:t>
            </w:r>
          </w:p>
        </w:tc>
      </w:tr>
      <w:tr w14:paraId="3A95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213" w:type="dxa"/>
            <w:noWrap w:val="0"/>
            <w:vAlign w:val="center"/>
          </w:tcPr>
          <w:p w14:paraId="13687AC2">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3127" w:type="dxa"/>
            <w:noWrap w:val="0"/>
            <w:vAlign w:val="center"/>
          </w:tcPr>
          <w:p w14:paraId="28E8532A">
            <w:pPr>
              <w:keepNext w:val="0"/>
              <w:keepLines w:val="0"/>
              <w:pageBreakBefore w:val="0"/>
              <w:widowControl w:val="0"/>
              <w:kinsoku/>
              <w:wordWrap/>
              <w:overflowPunct/>
              <w:topLinePunct w:val="0"/>
              <w:bidi w:val="0"/>
              <w:spacing w:line="240" w:lineRule="auto"/>
              <w:ind w:firstLine="0" w:firstLineChars="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sym w:font="Wingdings 2" w:char="0052"/>
            </w:r>
            <w:r>
              <w:rPr>
                <w:rFonts w:hint="default" w:ascii="Times New Roman" w:hAnsi="Times New Roman" w:eastAsia="宋体" w:cs="Times New Roman"/>
                <w:b w:val="0"/>
                <w:bCs w:val="0"/>
                <w:color w:val="auto"/>
                <w:sz w:val="24"/>
                <w:szCs w:val="24"/>
              </w:rPr>
              <w:t>新建（迁建）</w:t>
            </w:r>
          </w:p>
          <w:p w14:paraId="14567995">
            <w:pPr>
              <w:keepNext w:val="0"/>
              <w:keepLines w:val="0"/>
              <w:pageBreakBefore w:val="0"/>
              <w:widowControl w:val="0"/>
              <w:kinsoku/>
              <w:wordWrap/>
              <w:overflowPunct/>
              <w:topLinePunct w:val="0"/>
              <w:bidi w:val="0"/>
              <w:spacing w:line="240" w:lineRule="auto"/>
              <w:ind w:firstLine="0" w:firstLineChars="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sym w:font="Wingdings 2" w:char="00A3"/>
            </w:r>
            <w:r>
              <w:rPr>
                <w:rFonts w:hint="default" w:ascii="Times New Roman" w:hAnsi="Times New Roman" w:eastAsia="宋体" w:cs="Times New Roman"/>
                <w:b w:val="0"/>
                <w:bCs w:val="0"/>
                <w:color w:val="auto"/>
                <w:sz w:val="24"/>
                <w:szCs w:val="24"/>
              </w:rPr>
              <w:t>改建</w:t>
            </w:r>
          </w:p>
          <w:p w14:paraId="483A3C39">
            <w:pPr>
              <w:keepNext w:val="0"/>
              <w:keepLines w:val="0"/>
              <w:pageBreakBefore w:val="0"/>
              <w:widowControl w:val="0"/>
              <w:kinsoku/>
              <w:wordWrap/>
              <w:overflowPunct/>
              <w:topLinePunct w:val="0"/>
              <w:bidi w:val="0"/>
              <w:spacing w:line="240" w:lineRule="auto"/>
              <w:ind w:firstLine="0" w:firstLineChars="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sym w:font="Wingdings 2" w:char="00A3"/>
            </w:r>
            <w:r>
              <w:rPr>
                <w:rFonts w:hint="default" w:ascii="Times New Roman" w:hAnsi="Times New Roman" w:eastAsia="宋体" w:cs="Times New Roman"/>
                <w:b w:val="0"/>
                <w:bCs w:val="0"/>
                <w:color w:val="auto"/>
                <w:sz w:val="24"/>
                <w:szCs w:val="24"/>
              </w:rPr>
              <w:t>扩建</w:t>
            </w:r>
          </w:p>
          <w:p w14:paraId="4AAC3272">
            <w:pPr>
              <w:keepNext w:val="0"/>
              <w:keepLines w:val="0"/>
              <w:pageBreakBefore w:val="0"/>
              <w:widowControl w:val="0"/>
              <w:kinsoku/>
              <w:wordWrap/>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rPr>
              <w:sym w:font="Wingdings 2" w:char="00A3"/>
            </w:r>
            <w:r>
              <w:rPr>
                <w:rFonts w:hint="default" w:ascii="Times New Roman" w:hAnsi="Times New Roman" w:eastAsia="宋体" w:cs="Times New Roman"/>
                <w:b w:val="0"/>
                <w:bCs w:val="0"/>
                <w:color w:val="auto"/>
                <w:sz w:val="24"/>
                <w:szCs w:val="24"/>
              </w:rPr>
              <w:t>技术改造</w:t>
            </w:r>
          </w:p>
        </w:tc>
        <w:tc>
          <w:tcPr>
            <w:tcW w:w="1246" w:type="dxa"/>
            <w:noWrap w:val="0"/>
            <w:vAlign w:val="center"/>
          </w:tcPr>
          <w:p w14:paraId="7F8D6B1B">
            <w:pPr>
              <w:spacing w:line="24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6E387736">
            <w:pPr>
              <w:spacing w:line="24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3896" w:type="dxa"/>
            <w:noWrap w:val="0"/>
            <w:vAlign w:val="center"/>
          </w:tcPr>
          <w:p w14:paraId="67B0CD6B">
            <w:pPr>
              <w:spacing w:line="240" w:lineRule="auto"/>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sym w:font="Wingdings 2" w:char="0052"/>
            </w:r>
            <w:r>
              <w:rPr>
                <w:rFonts w:hint="default" w:ascii="Times New Roman" w:hAnsi="Times New Roman" w:eastAsia="宋体" w:cs="Times New Roman"/>
                <w:bCs/>
                <w:color w:val="auto"/>
                <w:sz w:val="24"/>
                <w:szCs w:val="24"/>
              </w:rPr>
              <w:t>首次申报项目</w:t>
            </w:r>
          </w:p>
          <w:p w14:paraId="393FE4F5">
            <w:pPr>
              <w:spacing w:line="240" w:lineRule="auto"/>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 w:val="0"/>
                <w:bCs w:val="0"/>
                <w:color w:val="auto"/>
                <w:sz w:val="24"/>
                <w:szCs w:val="24"/>
              </w:rPr>
              <w:sym w:font="Wingdings 2" w:char="00A3"/>
            </w:r>
            <w:r>
              <w:rPr>
                <w:rFonts w:hint="default" w:ascii="Times New Roman" w:hAnsi="Times New Roman" w:eastAsia="宋体" w:cs="Times New Roman"/>
                <w:bCs/>
                <w:color w:val="auto"/>
                <w:sz w:val="24"/>
                <w:szCs w:val="24"/>
              </w:rPr>
              <w:t>不予批准后再次申报项目</w:t>
            </w:r>
          </w:p>
          <w:p w14:paraId="63FEE1EE">
            <w:pPr>
              <w:spacing w:line="240" w:lineRule="auto"/>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 w:val="0"/>
                <w:bCs w:val="0"/>
                <w:color w:val="auto"/>
                <w:sz w:val="24"/>
                <w:szCs w:val="24"/>
              </w:rPr>
              <w:sym w:font="Wingdings 2" w:char="00A3"/>
            </w:r>
            <w:r>
              <w:rPr>
                <w:rFonts w:hint="default" w:ascii="Times New Roman" w:hAnsi="Times New Roman" w:eastAsia="宋体" w:cs="Times New Roman"/>
                <w:bCs/>
                <w:color w:val="auto"/>
                <w:sz w:val="24"/>
                <w:szCs w:val="24"/>
              </w:rPr>
              <w:t>超五年重新审核项目</w:t>
            </w:r>
          </w:p>
          <w:p w14:paraId="399973D9">
            <w:pPr>
              <w:spacing w:line="240" w:lineRule="auto"/>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 w:val="0"/>
                <w:bCs w:val="0"/>
                <w:color w:val="auto"/>
                <w:sz w:val="24"/>
                <w:szCs w:val="24"/>
              </w:rPr>
              <w:sym w:font="Wingdings 2" w:char="00A3"/>
            </w:r>
            <w:r>
              <w:rPr>
                <w:rFonts w:hint="default" w:ascii="Times New Roman" w:hAnsi="Times New Roman" w:eastAsia="宋体" w:cs="Times New Roman"/>
                <w:bCs/>
                <w:color w:val="auto"/>
                <w:sz w:val="24"/>
                <w:szCs w:val="24"/>
              </w:rPr>
              <w:t>重大变动重新报批项</w:t>
            </w:r>
            <w:r>
              <w:rPr>
                <w:rFonts w:hint="default" w:ascii="Times New Roman" w:hAnsi="Times New Roman" w:eastAsia="宋体" w:cs="Times New Roman"/>
                <w:bCs/>
                <w:color w:val="auto"/>
                <w:sz w:val="24"/>
                <w:szCs w:val="24"/>
                <w:lang w:eastAsia="zh-CN"/>
              </w:rPr>
              <w:t>目</w:t>
            </w:r>
            <w:r>
              <w:rPr>
                <w:rFonts w:hint="default" w:ascii="Times New Roman" w:hAnsi="Times New Roman" w:eastAsia="宋体" w:cs="Times New Roman"/>
                <w:bCs/>
                <w:color w:val="auto"/>
                <w:sz w:val="24"/>
                <w:szCs w:val="24"/>
              </w:rPr>
              <w:t></w:t>
            </w:r>
          </w:p>
        </w:tc>
      </w:tr>
      <w:tr w14:paraId="7AEF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213" w:type="dxa"/>
            <w:noWrap w:val="0"/>
            <w:vAlign w:val="center"/>
          </w:tcPr>
          <w:p w14:paraId="1873DF63">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审批部门</w:t>
            </w:r>
          </w:p>
        </w:tc>
        <w:tc>
          <w:tcPr>
            <w:tcW w:w="3127" w:type="dxa"/>
            <w:noWrap w:val="0"/>
            <w:vAlign w:val="center"/>
          </w:tcPr>
          <w:p w14:paraId="726FC5D4">
            <w:pPr>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lang w:eastAsia="zh-CN"/>
              </w:rPr>
              <w:t>滑县发展和改革委员会</w:t>
            </w:r>
          </w:p>
        </w:tc>
        <w:tc>
          <w:tcPr>
            <w:tcW w:w="1246" w:type="dxa"/>
            <w:noWrap w:val="0"/>
            <w:vAlign w:val="center"/>
          </w:tcPr>
          <w:p w14:paraId="60FEC38A">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项目审批</w:t>
            </w:r>
            <w:r>
              <w:rPr>
                <w:rFonts w:hint="default" w:ascii="Times New Roman" w:hAnsi="Times New Roman" w:eastAsia="宋体" w:cs="Times New Roman"/>
                <w:color w:val="auto"/>
                <w:sz w:val="24"/>
                <w:szCs w:val="24"/>
              </w:rPr>
              <w:t>文号</w:t>
            </w:r>
          </w:p>
        </w:tc>
        <w:tc>
          <w:tcPr>
            <w:tcW w:w="3896" w:type="dxa"/>
            <w:noWrap w:val="0"/>
            <w:vAlign w:val="center"/>
          </w:tcPr>
          <w:p w14:paraId="3BFEC593">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10"/>
                <w:sz w:val="24"/>
                <w:szCs w:val="24"/>
                <w:lang w:val="en-US" w:eastAsia="zh-CN"/>
              </w:rPr>
              <w:t>2409-410526-04-01-184678</w:t>
            </w:r>
          </w:p>
        </w:tc>
      </w:tr>
      <w:tr w14:paraId="4EB0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3" w:type="dxa"/>
            <w:noWrap w:val="0"/>
            <w:vAlign w:val="center"/>
          </w:tcPr>
          <w:p w14:paraId="31188FED">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w:t>
            </w:r>
          </w:p>
          <w:p w14:paraId="64497301">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3127" w:type="dxa"/>
            <w:noWrap w:val="0"/>
            <w:vAlign w:val="center"/>
          </w:tcPr>
          <w:p w14:paraId="766856BB">
            <w:pPr>
              <w:spacing w:line="240" w:lineRule="auto"/>
              <w:jc w:val="center"/>
              <w:rPr>
                <w:rFonts w:hint="default" w:ascii="Times New Roman" w:hAnsi="Times New Roman" w:eastAsia="宋体" w:cs="Times New Roman"/>
                <w:color w:val="auto"/>
                <w:sz w:val="24"/>
                <w:szCs w:val="24"/>
                <w:lang w:val="en-US"/>
              </w:rPr>
            </w:pP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000</w:t>
            </w:r>
          </w:p>
        </w:tc>
        <w:tc>
          <w:tcPr>
            <w:tcW w:w="1246" w:type="dxa"/>
            <w:noWrap w:val="0"/>
            <w:vAlign w:val="center"/>
          </w:tcPr>
          <w:p w14:paraId="60C71833">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环保投资(万元)</w:t>
            </w:r>
          </w:p>
        </w:tc>
        <w:tc>
          <w:tcPr>
            <w:tcW w:w="3896" w:type="dxa"/>
            <w:noWrap w:val="0"/>
            <w:vAlign w:val="center"/>
          </w:tcPr>
          <w:p w14:paraId="2912EC1C">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30</w:t>
            </w:r>
          </w:p>
        </w:tc>
      </w:tr>
      <w:tr w14:paraId="35F0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3" w:type="dxa"/>
            <w:noWrap w:val="0"/>
            <w:vAlign w:val="center"/>
          </w:tcPr>
          <w:p w14:paraId="4E0B8EEC">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环保投资占比（</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p>
        </w:tc>
        <w:tc>
          <w:tcPr>
            <w:tcW w:w="3127" w:type="dxa"/>
            <w:noWrap w:val="0"/>
            <w:vAlign w:val="center"/>
          </w:tcPr>
          <w:p w14:paraId="3A248A8F">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0.</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p>
        </w:tc>
        <w:tc>
          <w:tcPr>
            <w:tcW w:w="1246" w:type="dxa"/>
            <w:noWrap w:val="0"/>
            <w:vAlign w:val="center"/>
          </w:tcPr>
          <w:p w14:paraId="2ED30FA9">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施工工期</w:t>
            </w:r>
          </w:p>
        </w:tc>
        <w:tc>
          <w:tcPr>
            <w:tcW w:w="3896" w:type="dxa"/>
            <w:noWrap w:val="0"/>
            <w:vAlign w:val="center"/>
          </w:tcPr>
          <w:p w14:paraId="3E6A5FC5">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3个月</w:t>
            </w:r>
          </w:p>
        </w:tc>
      </w:tr>
      <w:tr w14:paraId="2775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3" w:type="dxa"/>
            <w:noWrap w:val="0"/>
            <w:vAlign w:val="center"/>
          </w:tcPr>
          <w:p w14:paraId="51E2DED7">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是否开工建设</w:t>
            </w:r>
          </w:p>
        </w:tc>
        <w:tc>
          <w:tcPr>
            <w:tcW w:w="3127" w:type="dxa"/>
            <w:noWrap w:val="0"/>
            <w:vAlign w:val="center"/>
          </w:tcPr>
          <w:p w14:paraId="5BBD396F">
            <w:pPr>
              <w:keepNext w:val="0"/>
              <w:keepLines w:val="0"/>
              <w:pageBreakBefore w:val="0"/>
              <w:widowControl w:val="0"/>
              <w:kinsoku/>
              <w:wordWrap/>
              <w:overflowPunct/>
              <w:topLinePunct w:val="0"/>
              <w:bidi w:val="0"/>
              <w:spacing w:line="240" w:lineRule="auto"/>
              <w:ind w:firstLine="0" w:firstLineChars="0"/>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lang w:eastAsia="zh-CN"/>
              </w:rPr>
              <w:t>否</w:t>
            </w:r>
          </w:p>
          <w:p w14:paraId="3CEB452B">
            <w:pPr>
              <w:spacing w:line="24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rPr>
              <w:sym w:font="Wingdings 2" w:char="00A3"/>
            </w:r>
            <w:r>
              <w:rPr>
                <w:rFonts w:hint="default" w:ascii="Times New Roman" w:hAnsi="Times New Roman" w:eastAsia="宋体" w:cs="Times New Roman"/>
                <w:b w:val="0"/>
                <w:bCs w:val="0"/>
                <w:color w:val="auto"/>
                <w:sz w:val="24"/>
                <w:szCs w:val="24"/>
                <w:lang w:eastAsia="zh-CN"/>
              </w:rPr>
              <w:t>是：</w:t>
            </w:r>
          </w:p>
        </w:tc>
        <w:tc>
          <w:tcPr>
            <w:tcW w:w="1246" w:type="dxa"/>
            <w:noWrap w:val="0"/>
            <w:vAlign w:val="center"/>
          </w:tcPr>
          <w:p w14:paraId="669B2BCC">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用地</w:t>
            </w:r>
            <w:r>
              <w:rPr>
                <w:rFonts w:hint="default" w:ascii="Times New Roman" w:hAnsi="Times New Roman" w:eastAsia="宋体" w:cs="Times New Roman"/>
                <w:color w:val="auto"/>
                <w:sz w:val="24"/>
                <w:szCs w:val="24"/>
              </w:rPr>
              <w:t>面积</w:t>
            </w:r>
          </w:p>
          <w:p w14:paraId="4933572E">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(平方米)</w:t>
            </w:r>
          </w:p>
        </w:tc>
        <w:tc>
          <w:tcPr>
            <w:tcW w:w="3896" w:type="dxa"/>
            <w:noWrap w:val="0"/>
            <w:vAlign w:val="center"/>
          </w:tcPr>
          <w:p w14:paraId="3419AC86">
            <w:pPr>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17512.23</w:t>
            </w:r>
          </w:p>
        </w:tc>
      </w:tr>
      <w:tr w14:paraId="009B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13" w:type="dxa"/>
            <w:noWrap w:val="0"/>
            <w:vAlign w:val="center"/>
          </w:tcPr>
          <w:p w14:paraId="0C0BD4AA">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专项评价设置情况</w:t>
            </w:r>
          </w:p>
        </w:tc>
        <w:tc>
          <w:tcPr>
            <w:tcW w:w="8269" w:type="dxa"/>
            <w:gridSpan w:val="3"/>
            <w:noWrap w:val="0"/>
            <w:vAlign w:val="center"/>
          </w:tcPr>
          <w:p w14:paraId="577CE6CF">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14:paraId="3D11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val="0"/>
            <w:vAlign w:val="center"/>
          </w:tcPr>
          <w:p w14:paraId="2662522F">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规划情况</w:t>
            </w:r>
          </w:p>
        </w:tc>
        <w:tc>
          <w:tcPr>
            <w:tcW w:w="8269" w:type="dxa"/>
            <w:gridSpan w:val="3"/>
            <w:noWrap w:val="0"/>
            <w:vAlign w:val="center"/>
          </w:tcPr>
          <w:p w14:paraId="6287EB89">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1、规划名称：《滑县产业集聚区发展规划（2013-2020）调整方案》</w:t>
            </w:r>
          </w:p>
          <w:p w14:paraId="1E5EF296">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审批机关：滑县人民政府</w:t>
            </w:r>
          </w:p>
          <w:p w14:paraId="593B147C">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审批文件名称：《滑县人民政府关于滑县产业集聚区发展规划（2013-2020）调整方案的批复》</w:t>
            </w:r>
          </w:p>
          <w:p w14:paraId="4260E990">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审批文件文号：滑政文[2018]92号</w:t>
            </w:r>
          </w:p>
          <w:p w14:paraId="45D59627">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2、规划名称：《滑县先进制造业开发区发展规划(2022-2035年)》</w:t>
            </w:r>
          </w:p>
          <w:p w14:paraId="4C1D48F7">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2022年2月《河南省</w:t>
            </w:r>
            <w:r>
              <w:rPr>
                <w:rFonts w:hint="default" w:ascii="Times New Roman" w:hAnsi="Times New Roman" w:cs="Times New Roman"/>
                <w:color w:val="auto"/>
                <w:kern w:val="0"/>
                <w:sz w:val="24"/>
                <w:lang w:eastAsia="zh-CN"/>
              </w:rPr>
              <w:t>发展和改革委员会</w:t>
            </w:r>
            <w:r>
              <w:rPr>
                <w:rFonts w:hint="default" w:ascii="Times New Roman" w:hAnsi="Times New Roman" w:cs="Times New Roman"/>
                <w:color w:val="auto"/>
                <w:kern w:val="0"/>
                <w:sz w:val="24"/>
              </w:rPr>
              <w:t>关于同意安阳市开发区整合方案的函》（豫发改工业函[2022]40 号）中，同意以滑县产业集聚区作为整合范围组建滑县先进制造业开发区，并成立了滑县先进制造业开发区管理委员会。2022年11月，依据省开发区建设工作领导小组文件《关于开展开发区发展规划编制工作的通知》（豫开[2022]8号）和《安阳市开发区建设工作领导小组文件》（安开[2022]2 号）要求，《滑县先进制造业开发区发展规划（2022-2035 年）》编制工作正式启动。</w:t>
            </w:r>
          </w:p>
          <w:p w14:paraId="531B906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rPr>
              <w:t>目前，《滑县先进制造业开发区发展规划（2022-2035年）》处于编制阶段，尚未审批。</w:t>
            </w:r>
          </w:p>
        </w:tc>
      </w:tr>
      <w:tr w14:paraId="00C1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213" w:type="dxa"/>
            <w:noWrap w:val="0"/>
            <w:vAlign w:val="center"/>
          </w:tcPr>
          <w:p w14:paraId="0E3446AC">
            <w:pPr>
              <w:spacing w:line="6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规划环</w:t>
            </w:r>
          </w:p>
          <w:p w14:paraId="7521B4DD">
            <w:pPr>
              <w:spacing w:line="6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境影响</w:t>
            </w:r>
          </w:p>
          <w:p w14:paraId="35341C89">
            <w:pPr>
              <w:spacing w:line="6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评价情</w:t>
            </w:r>
          </w:p>
          <w:p w14:paraId="2BD8988C">
            <w:pPr>
              <w:spacing w:line="6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况</w:t>
            </w:r>
          </w:p>
          <w:p w14:paraId="23BB45EA">
            <w:pPr>
              <w:spacing w:line="600" w:lineRule="exact"/>
              <w:jc w:val="center"/>
              <w:rPr>
                <w:rFonts w:hint="default" w:ascii="Times New Roman" w:hAnsi="Times New Roman" w:eastAsia="宋体" w:cs="Times New Roman"/>
                <w:color w:val="auto"/>
                <w:sz w:val="24"/>
                <w:szCs w:val="24"/>
                <w:lang w:eastAsia="zh-CN"/>
              </w:rPr>
            </w:pPr>
          </w:p>
        </w:tc>
        <w:tc>
          <w:tcPr>
            <w:tcW w:w="8269" w:type="dxa"/>
            <w:gridSpan w:val="3"/>
            <w:noWrap w:val="0"/>
            <w:vAlign w:val="center"/>
          </w:tcPr>
          <w:p w14:paraId="357609A2">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1、规划环境影响评价文件名称：《滑县产业集聚区发展规划（2013-2020）调整方案环境影响报告书》</w:t>
            </w:r>
          </w:p>
          <w:p w14:paraId="32788D19">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召集审查机关：河南省环境保护厅</w:t>
            </w:r>
          </w:p>
          <w:p w14:paraId="741547C2">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审查文件名称：《河南省环境保护厅关于滑县产业集聚区发展规划（2013-2020）调整方案环境影响报告书的审查意见》</w:t>
            </w:r>
          </w:p>
          <w:p w14:paraId="3E8083F4">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审查文件文号：豫环函﹝2019﹞19号</w:t>
            </w:r>
          </w:p>
          <w:p w14:paraId="0444D85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rPr>
              <w:t>2、《滑县先进制造业开发区发展规划（2022-2035年）环境影响报告书》处于编制阶段，尚未审批。</w:t>
            </w:r>
          </w:p>
        </w:tc>
      </w:tr>
      <w:tr w14:paraId="7D36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val="0"/>
            <w:vAlign w:val="center"/>
          </w:tcPr>
          <w:p w14:paraId="1D8D834B">
            <w:pPr>
              <w:spacing w:line="600" w:lineRule="exact"/>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规划及规划环境影响评价符合性分析</w:t>
            </w:r>
          </w:p>
          <w:p w14:paraId="46065CCE">
            <w:pPr>
              <w:spacing w:line="600" w:lineRule="exact"/>
              <w:jc w:val="center"/>
              <w:rPr>
                <w:rFonts w:hint="default" w:ascii="Times New Roman" w:hAnsi="Times New Roman" w:eastAsia="宋体" w:cs="Times New Roman"/>
                <w:color w:val="auto"/>
                <w:sz w:val="24"/>
                <w:lang w:eastAsia="zh-CN"/>
              </w:rPr>
            </w:pPr>
          </w:p>
        </w:tc>
        <w:tc>
          <w:tcPr>
            <w:tcW w:w="8269" w:type="dxa"/>
            <w:gridSpan w:val="3"/>
            <w:noWrap w:val="0"/>
            <w:vAlign w:val="center"/>
          </w:tcPr>
          <w:p w14:paraId="4AD6D22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1、与《滑县产业集聚区发展规划（2013-2020）调整方案》符合性分析</w:t>
            </w:r>
          </w:p>
          <w:p w14:paraId="1D92076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（1）规划范围</w:t>
            </w:r>
          </w:p>
          <w:p w14:paraId="07AEE70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滑县产业集聚区规划区北起新鑫路，南至大广高速快速通道，东至东环路，西以大宫河为界，东西长约8km，南北宽约3.5km，规划面积24.2km</w:t>
            </w:r>
            <w:r>
              <w:rPr>
                <w:rFonts w:hint="default" w:ascii="Times New Roman" w:hAnsi="Times New Roman" w:eastAsia="宋体" w:cs="Times New Roman"/>
                <w:color w:val="auto"/>
                <w:kern w:val="0"/>
                <w:sz w:val="24"/>
                <w:vertAlign w:val="superscript"/>
              </w:rPr>
              <w:t>2</w:t>
            </w:r>
            <w:r>
              <w:rPr>
                <w:rFonts w:hint="default" w:ascii="Times New Roman" w:hAnsi="Times New Roman" w:eastAsia="宋体" w:cs="Times New Roman"/>
                <w:color w:val="auto"/>
                <w:kern w:val="0"/>
                <w:sz w:val="24"/>
              </w:rPr>
              <w:t>。</w:t>
            </w:r>
          </w:p>
          <w:p w14:paraId="772A7DB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（2）规划期限</w:t>
            </w:r>
          </w:p>
          <w:p w14:paraId="4FFD43F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近期：2018~2020年。</w:t>
            </w:r>
          </w:p>
          <w:p w14:paraId="20E0C23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（3）产业定位</w:t>
            </w:r>
          </w:p>
          <w:p w14:paraId="22420D6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调整后规划以农副产品加工、装备制造业为主导产业，煤化工和服装纺织业为辅助产业，其他产业为基础产业。</w:t>
            </w:r>
          </w:p>
          <w:p w14:paraId="1703149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①农副产品加工：支持农产品精深加工，提高农产品加工能力，延长农业产业链条，挖掘农产品增值潜力，结合滑县农产品资源丰富优势，确定农副食品加工为产业集聚区的首选主导产业。滑县素有</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豫北粮仓</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的美誉，同时，滑县养殖业也具有一定的基础，这些都为农副食品加工业提供了很好的发展条件。农副食品加工中，主推道口烧鸡的生产加工。道口烧鸡历史悠久，具有明显的地域特色，已成为滑县的名片和招牌产业，与周边县市产业没有重复，具有极大的潜在经济效益。同时拉长农副食品加工产业链条，进一步带动种植、养殖、饲料加工、食品加工、相关制造业、运输等配套产业的协调发展。</w:t>
            </w:r>
          </w:p>
          <w:p w14:paraId="7B4F267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装备制造业：装备制造业发展水平是一个国家和地区综合实力的重要体现，国家重大装备制造更是事关国家经济安全、国防安全的战略性产业。滑县具有一定的机械制造业基础，应当合理整合集聚区装备制造业资源，培育产业龙头，提高创新和带动能力，拓宽产品链条，提高产品附加值，促进全县装备制造业的壮大提升。调整后规划滑县产业集聚区装备制造业发展方向为金属制品、通用设备制造业、专用设备制造业、交通运输设备制造业、电气机械及器材制造业、通信设备、计算机及其他电子设备制造业、仪器仪表及文化办公用机械制造业和金属制品、机械和设备修理业。</w:t>
            </w:r>
          </w:p>
          <w:p w14:paraId="7D1FF8A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③煤化工产业：依然以河南中科辉煌化工有限公司年产60万吨尿素项目和河南滑浚热电联产项目为依托，引进下游废物回收及综合利用企业，形成热电及煤化工产业集群。</w:t>
            </w:r>
          </w:p>
          <w:p w14:paraId="5616125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④服装纺织业：滑县以优势的棉花生产和棉纺织业为基础，已发展成为豫北地区较大规模、技术较为先进的服装纺织业基地，按照河南省服装纺织基地定位，滑县将服装纺织业作为单独划分一个功能区。</w:t>
            </w:r>
          </w:p>
          <w:p w14:paraId="07278C3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⑤其他产业：按照滑县总体发展要求和产业集聚区发展现状，对滑县鼓励</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退城入园</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项目留出空间，同时对光伏高科、物流商务等基础产业保留发展空间。</w:t>
            </w:r>
          </w:p>
          <w:p w14:paraId="4E569D6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本项目位于</w:t>
            </w:r>
            <w:r>
              <w:rPr>
                <w:rFonts w:hint="default" w:ascii="Times New Roman" w:hAnsi="Times New Roman" w:eastAsia="宋体" w:cs="Times New Roman"/>
                <w:color w:val="auto"/>
                <w:sz w:val="24"/>
              </w:rPr>
              <w:t>河南省安阳市</w:t>
            </w:r>
            <w:r>
              <w:rPr>
                <w:rFonts w:hint="default" w:ascii="Times New Roman" w:hAnsi="Times New Roman" w:cs="Times New Roman"/>
                <w:color w:val="auto"/>
                <w:sz w:val="24"/>
                <w:szCs w:val="24"/>
                <w:lang w:eastAsia="zh-CN"/>
              </w:rPr>
              <w:t>滑县新区漓江路与古城路北2号</w:t>
            </w:r>
            <w:r>
              <w:rPr>
                <w:rFonts w:hint="default" w:ascii="Times New Roman" w:hAnsi="Times New Roman" w:eastAsia="宋体" w:cs="Times New Roman"/>
                <w:color w:val="auto"/>
                <w:kern w:val="0"/>
                <w:sz w:val="24"/>
              </w:rPr>
              <w:t>，项目用地为规划的二类工业用地，用地性质符合规划要求。根据滑县先进制造业开发区管理委员会出具的入驻证明（附件</w:t>
            </w:r>
            <w:r>
              <w:rPr>
                <w:rFonts w:hint="default" w:ascii="Times New Roman" w:hAnsi="Times New Roman" w:cs="Times New Roman"/>
                <w:color w:val="auto"/>
                <w:kern w:val="0"/>
                <w:sz w:val="24"/>
                <w:lang w:val="en-US" w:eastAsia="zh-CN"/>
              </w:rPr>
              <w:t>三</w:t>
            </w:r>
            <w:r>
              <w:rPr>
                <w:rFonts w:hint="default" w:ascii="Times New Roman" w:hAnsi="Times New Roman" w:eastAsia="宋体" w:cs="Times New Roman"/>
                <w:color w:val="auto"/>
                <w:kern w:val="0"/>
                <w:sz w:val="24"/>
              </w:rPr>
              <w:t>），本项目符合滑县先进制造业开发区产业规划布局，同意入驻滑县先进制造业开发区。综上，项目符合《滑县产业集聚区发展规划（2013-2020）调整方案》要求。</w:t>
            </w:r>
          </w:p>
          <w:p w14:paraId="57B331CC">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2、与《滑县产业集聚区发展规划（2013-2020）调整方案环境影响报告书》评价结论及审查意见符合性分析</w:t>
            </w:r>
          </w:p>
          <w:p w14:paraId="4F22E8B9">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（1）环保准入门槛：</w:t>
            </w:r>
          </w:p>
          <w:p w14:paraId="311F90FE">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1）产业：根据滑县产业集聚区的产业定位以及资源承载力分析，综合考虑国家政策、滑县地域品牌优势及集聚区现状，建议产业集聚区以农副食品加工、装备制造业为主导产业，并优先发展其相关配套产业。</w:t>
            </w:r>
          </w:p>
          <w:p w14:paraId="1363C58B">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2）生产规模和工艺先进性要求</w:t>
            </w:r>
          </w:p>
          <w:p w14:paraId="4622B7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生产规模应符合国家产业政策的最小经济规模要求；工艺水平达到国内同行业领先水平。</w:t>
            </w:r>
          </w:p>
          <w:p w14:paraId="083879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3）清洁生产水平：符合国家和行业的环境保护标准和清洁生产标准要求。</w:t>
            </w:r>
          </w:p>
          <w:p w14:paraId="684552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4）污染物排放总量控制</w:t>
            </w:r>
          </w:p>
          <w:p w14:paraId="720AAA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按照</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减量置换</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或</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等量替换</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的原则，对重点重金属和VOCs进行控制。新建指标的SO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、NOx和COD、NH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-N必须在滑县现有工业企业污染负荷消减或城市污染负荷消减量中调剂；搬迁项目的SO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、NOx和COD、NH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-N不能超过搬迁前的污染物排放量。</w:t>
            </w:r>
          </w:p>
          <w:p w14:paraId="468B82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5）土地投资强度：满足河南省国土资源厅《关于调整河南省工业项目建设用地控制指标的通知》要求。</w:t>
            </w:r>
          </w:p>
          <w:p w14:paraId="672D28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（2）鼓励引进的项目和优先发展的行业</w:t>
            </w:r>
          </w:p>
          <w:p w14:paraId="1F1F9B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1）农副食品加工业</w:t>
            </w:r>
          </w:p>
          <w:p w14:paraId="685B60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利用滑县自身具有的农业优势及农副食品加工业也已有一定的产业基础，现有的永达实业、河南蓝宇啤酒、神华面业、诚润食品等企业均有良好运营，借助滑县</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道口烧鸡</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品牌所具有的极大潜在效益，鼓励集聚区大力发展滑县烧鸡产业链，鼓励引进粮食存储、烧鸡加工、冷鲜肉储存、熟肉制品加工等项目。</w:t>
            </w:r>
          </w:p>
          <w:p w14:paraId="285126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2）装备制造业</w:t>
            </w:r>
          </w:p>
          <w:p w14:paraId="410C87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装备制造业依托现有机械装备制造企业，向金属制品、通用设备制造业、专用设备制造业、交通运输设备制造业、电气机械及器材制造业、通信设备、计算机及其他电子设备制造业、仪器仪表及文化办公用机械制造业和金属制品、机械和设备修理业等方向拓展。促进装备制造业内工业技术与信息技术的有机融合，一方面产生新的技术，另一方面推动技术创新。将信息技术或产品渗透到装备类产品中，增加其技术含量。将信息技术应用到管理流程、业务流程和设计、制造的各个环节，推动装备制造业企业业务创新和管理升级。将滑县装备制造业发展至高端装备水平，淘汰落后产能，加快产业转型升级。</w:t>
            </w:r>
          </w:p>
          <w:p w14:paraId="043B5A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3）煤化工</w:t>
            </w:r>
          </w:p>
          <w:p w14:paraId="02F715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依托为河南中科辉煌化工有限公司年产60万吨尿素项目和河南滑浚热电联产项目，引进下游废物回收及综合利用企业，形成煤化工产业集群。</w:t>
            </w:r>
          </w:p>
          <w:p w14:paraId="0116BC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rPr>
              <w:t>4）服装纺织业：依托已入驻的玉花纺织、常青服饰、波司登等大型企业，进一步发展上下游产业，要求入驻企业需具备高端技术装备，善于开发新产品，提高服装纺织标准。要求入驻企业拥有较高的品牌理念，有先进的企业管理方式。</w:t>
            </w:r>
          </w:p>
          <w:p w14:paraId="042E81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具体引进的企业在属于上述行业外，还需要遵循以下原则：</w:t>
            </w:r>
          </w:p>
          <w:p w14:paraId="47E7EB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①项目应是科技含量高的，产品附加值大的项目。</w:t>
            </w:r>
          </w:p>
          <w:p w14:paraId="444A90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②项目生产工艺、设备和环保设施应达到同类国内先进水平。</w:t>
            </w:r>
          </w:p>
          <w:p w14:paraId="187B6F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③污染物排放能实现达标排放。</w:t>
            </w:r>
          </w:p>
          <w:p w14:paraId="12325C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④采用了有效的回收、回用技术，包括物料回收套用、各类废水回用等。</w:t>
            </w:r>
          </w:p>
          <w:p w14:paraId="70BDCD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（3）限制和禁止入驻项目</w:t>
            </w:r>
          </w:p>
          <w:p w14:paraId="77FAC4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①不符合国家及河南省相关产业政策的项目，以及与产业集聚区产业定位相冲突的项目；</w:t>
            </w:r>
          </w:p>
          <w:p w14:paraId="71D5CB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②排放废水中含</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三致</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污染物且通过环保措施不能消除其污染，或废水中含有高浓度盐分且没有有效环保措施消减盐分的项目；</w:t>
            </w:r>
          </w:p>
          <w:p w14:paraId="0E7E19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③排放恶臭气体且无有效防护措施的项目；</w:t>
            </w:r>
          </w:p>
          <w:p w14:paraId="5F57D7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④不能通过有效技术手段提高企业用水重复利用率的高耗水项目；</w:t>
            </w:r>
          </w:p>
          <w:p w14:paraId="58772D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⑤采用落后生产工艺和设备，清洁生产水平低下的项目；</w:t>
            </w:r>
          </w:p>
          <w:p w14:paraId="530242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⑥含有一类污染物且没有可靠消减措施的项目；</w:t>
            </w:r>
          </w:p>
          <w:p w14:paraId="6897B2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⑦污染严重的</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十五小</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及</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新五小</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企业；</w:t>
            </w:r>
          </w:p>
          <w:p w14:paraId="5CF8C4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⑧符合产业定位，但属于大气、水污染严重的企业，且没有可靠的治理措施消减其污染的项目。</w:t>
            </w:r>
          </w:p>
          <w:p w14:paraId="3AFF34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⑨违反国家及河南省相关控制建设要求的煤化工项目。</w:t>
            </w:r>
          </w:p>
          <w:p w14:paraId="24318C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cs="Times New Roman"/>
                <w:color w:val="000000"/>
                <w:kern w:val="0"/>
                <w:sz w:val="24"/>
              </w:rPr>
              <w:t>本项目属于鼓励引进的项目和优先发展的行业，不属于限制和禁止入驻项目，与产业集聚区产业定位不冲突，增加了区域产业多元化。项目的建设满足滑县产业集聚区环保准入门槛</w:t>
            </w:r>
            <w:r>
              <w:rPr>
                <w:rFonts w:hint="default" w:ascii="Times New Roman" w:hAnsi="Times New Roman" w:cs="Times New Roman"/>
                <w:color w:val="000000"/>
                <w:kern w:val="0"/>
                <w:sz w:val="24"/>
                <w:lang w:eastAsia="zh-CN"/>
              </w:rPr>
              <w:t>。</w:t>
            </w:r>
            <w:r>
              <w:rPr>
                <w:rFonts w:hint="default" w:ascii="Times New Roman" w:hAnsi="Times New Roman" w:eastAsia="宋体" w:cs="Times New Roman"/>
                <w:color w:val="auto"/>
                <w:kern w:val="0"/>
                <w:sz w:val="24"/>
              </w:rPr>
              <w:t>根据滑县先进制造业开发区管理委员会出具的</w:t>
            </w:r>
            <w:r>
              <w:rPr>
                <w:rFonts w:hint="default" w:ascii="Times New Roman" w:hAnsi="Times New Roman" w:cs="Times New Roman"/>
                <w:color w:val="auto"/>
                <w:kern w:val="0"/>
                <w:sz w:val="24"/>
                <w:lang w:eastAsia="zh-CN"/>
              </w:rPr>
              <w:t>情况说明（附件三）</w:t>
            </w:r>
            <w:r>
              <w:rPr>
                <w:rFonts w:hint="default" w:ascii="Times New Roman" w:hAnsi="Times New Roman" w:eastAsia="宋体" w:cs="Times New Roman"/>
                <w:color w:val="auto"/>
                <w:kern w:val="0"/>
                <w:sz w:val="24"/>
              </w:rPr>
              <w:t>，</w:t>
            </w:r>
            <w:r>
              <w:rPr>
                <w:rFonts w:hint="default" w:ascii="Times New Roman" w:hAnsi="Times New Roman" w:cs="Times New Roman"/>
                <w:color w:val="auto"/>
                <w:kern w:val="0"/>
                <w:sz w:val="24"/>
                <w:lang w:eastAsia="zh-CN"/>
              </w:rPr>
              <w:t>本项目是滑县招商引资项目，经</w:t>
            </w:r>
            <w:r>
              <w:rPr>
                <w:rFonts w:hint="default" w:ascii="Times New Roman" w:hAnsi="Times New Roman" w:cs="Times New Roman"/>
                <w:color w:val="auto"/>
                <w:kern w:val="0"/>
                <w:sz w:val="24"/>
                <w:lang w:val="en-US" w:eastAsia="zh-CN"/>
              </w:rPr>
              <w:t>综合研判</w:t>
            </w:r>
            <w:r>
              <w:rPr>
                <w:rFonts w:hint="default" w:ascii="Times New Roman" w:hAnsi="Times New Roman" w:cs="Times New Roman"/>
                <w:color w:val="auto"/>
                <w:kern w:val="0"/>
                <w:sz w:val="24"/>
                <w:lang w:eastAsia="zh-CN"/>
              </w:rPr>
              <w:t>分析，符合产业定位，</w:t>
            </w:r>
            <w:r>
              <w:rPr>
                <w:rFonts w:hint="default" w:ascii="Times New Roman" w:hAnsi="Times New Roman" w:cs="Times New Roman"/>
                <w:color w:val="auto"/>
                <w:kern w:val="0"/>
                <w:sz w:val="24"/>
                <w:lang w:val="en-US" w:eastAsia="zh-CN"/>
              </w:rPr>
              <w:t>选址位置</w:t>
            </w:r>
            <w:r>
              <w:rPr>
                <w:rFonts w:hint="default" w:ascii="Times New Roman" w:hAnsi="Times New Roman" w:cs="Times New Roman"/>
                <w:color w:val="auto"/>
                <w:kern w:val="0"/>
                <w:sz w:val="24"/>
                <w:lang w:eastAsia="zh-CN"/>
              </w:rPr>
              <w:t>符合滑县先进制造业开发区总体规划、功能区规划和环境功能区规划，</w:t>
            </w:r>
            <w:r>
              <w:rPr>
                <w:rFonts w:hint="default" w:ascii="Times New Roman" w:hAnsi="Times New Roman" w:eastAsia="宋体" w:cs="Times New Roman"/>
                <w:color w:val="auto"/>
                <w:kern w:val="0"/>
                <w:sz w:val="24"/>
              </w:rPr>
              <w:t>同意入驻滑县先进制造业开发区。</w:t>
            </w:r>
          </w:p>
          <w:p w14:paraId="59935A9D">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3、与《滑县先进制造业开发区发展规划（2022-2035年）》相符性分析</w:t>
            </w:r>
          </w:p>
          <w:p w14:paraId="5D1BA2DE">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2022年11月，依据省开发区建设工作领导小组文件《关于开展开发区发展规划编制工作的通知》（豫开[2022]8号）和《安阳市开发区建设工作领导小组文件》（安开[2022]2号）要求，目前，《滑县先进制造业开发区发展规划（2022-2035年）》和《滑县先进制造业开发区发展规划（2022-2035年）环境影响报告书》处于编制阶段，尚未审批。根据规划和规划环评征求意见稿可知，先进制造业开发区规划范围面积为1199.87公顷，分为两个片区，其中西侧为片区1（简称“西片区”），规划面积为576.35公顷，四至范围为：东至文明大道、滑台路，西至政通大道、水厂路，南至长虹大道、农村道路，北至长江路、黄河路、同心湖南侧；东侧为片区2（简称“东片区”），规划面积为623.52公顷，四至范围为：东至东环，西至万顺路，南至长虹大道，北至湘江路、祥光路。</w:t>
            </w:r>
          </w:p>
          <w:p w14:paraId="7D59624E">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规划期限：2022-2035年，其中近期为2022-2025年，远期为2026-2035年。</w:t>
            </w:r>
          </w:p>
          <w:p w14:paraId="7D145791">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发展定位：立足区域实际，结合新时期承担省市新使命的发展要求以及当前产业发展新特色和新趋势，打造空间布局合理、产业集群发展、资源集约利用、特色优势鲜明、发展动能强劲的开发区。努力建设成为全国农副产品精深加工示范区、全省绿色能源新材料创新引领区、豫北智能装备制造核心承载区和产业生态优化典范区。</w:t>
            </w:r>
          </w:p>
          <w:p w14:paraId="156CC8EA">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产业发展定位：按照主导产业集群选择原则及依据，结合滑县产业发展重点领域，根据《安阳市开发区整合方案》并结合有关产业发展态势和开发区的产业基础，确定滑县先进制造业开发区主导产业如下：</w:t>
            </w:r>
          </w:p>
          <w:p w14:paraId="5D0C4689">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①农副产品深加工产业：重点发展农副产品深加工、肉制品加工、闲食品加工、高端食品加工等。</w:t>
            </w:r>
          </w:p>
          <w:p w14:paraId="52A4C09E">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②能源新材料产业：重点发展高端化工制品，合成纤维产业，绿色环保及建材材料，炭基、硅基制品及先进碳硅材料等。</w:t>
            </w:r>
          </w:p>
          <w:p w14:paraId="69C1C8D1">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③智能装备产业：重点发展机械装备智能化制造、粮油机械装备制造、医疗器械装备制造、3C 电子科技产品制造、数字创意产品制造等。产业布局：形成“一区两园五组团”空间布局结构。</w:t>
            </w:r>
          </w:p>
          <w:p w14:paraId="237EF223">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“一区”：即滑县先进制造业开发区。</w:t>
            </w:r>
          </w:p>
          <w:p w14:paraId="5363FF72">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“两园”：即先进制造业开发区东西两个园区。</w:t>
            </w:r>
          </w:p>
          <w:p w14:paraId="1E090BE0">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滑县先进制造业西园：文明大道、滑台路以西区域，用地面积576.35公顷，以农副食品深加工、智能装备制造产业为主。</w:t>
            </w:r>
          </w:p>
          <w:p w14:paraId="1EB7B927">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滑县先进制造业东园：万顺路以东区域，用地面积623.52公顷，以能源新材料、智能装备制造产业为主。</w:t>
            </w:r>
          </w:p>
          <w:p w14:paraId="600C4861">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“五组团”：分别为农副食品深加工组团，农业产业融合发展组团，西园智能装备制造组团，东园智能装备制造组团、能源新材料综合组团。</w:t>
            </w:r>
          </w:p>
          <w:p w14:paraId="2C2E4B8C">
            <w:pPr>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color w:val="auto"/>
                <w:kern w:val="0"/>
                <w:sz w:val="24"/>
              </w:rPr>
              <w:t>根据《滑县先进制造业开发区发展规划（2022-2035年）-用地功能布局图》（附图</w:t>
            </w:r>
            <w:r>
              <w:rPr>
                <w:rFonts w:hint="default" w:ascii="Times New Roman" w:hAnsi="Times New Roman" w:cs="Times New Roman"/>
                <w:color w:val="auto"/>
                <w:kern w:val="0"/>
                <w:sz w:val="24"/>
                <w:lang w:val="en-US" w:eastAsia="zh-CN"/>
              </w:rPr>
              <w:t>四</w:t>
            </w:r>
            <w:r>
              <w:rPr>
                <w:rFonts w:hint="default" w:ascii="Times New Roman" w:hAnsi="Times New Roman" w:cs="Times New Roman"/>
                <w:color w:val="auto"/>
                <w:kern w:val="0"/>
                <w:sz w:val="24"/>
              </w:rPr>
              <w:t>），项目用地性质为二类工业用地；对照《滑县先进制造业开发区总体发展规划（2022-2035）—产业空间布局规划图》</w:t>
            </w:r>
            <w:r>
              <w:rPr>
                <w:rFonts w:hint="default" w:ascii="Times New Roman" w:hAnsi="Times New Roman" w:cs="Times New Roman"/>
                <w:color w:val="auto"/>
                <w:kern w:val="0"/>
                <w:sz w:val="24"/>
                <w:lang w:eastAsia="zh-CN"/>
              </w:rPr>
              <w:t>（附图</w:t>
            </w:r>
            <w:r>
              <w:rPr>
                <w:rFonts w:hint="default" w:ascii="Times New Roman" w:hAnsi="Times New Roman" w:cs="Times New Roman"/>
                <w:color w:val="auto"/>
                <w:kern w:val="0"/>
                <w:sz w:val="24"/>
                <w:lang w:val="en-US" w:eastAsia="zh-CN"/>
              </w:rPr>
              <w:t>五</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eastAsia="zh-CN"/>
              </w:rPr>
              <w:t>项目</w:t>
            </w:r>
            <w:r>
              <w:rPr>
                <w:rFonts w:hint="eastAsia" w:cs="Times New Roman"/>
                <w:color w:val="auto"/>
                <w:kern w:val="0"/>
                <w:sz w:val="24"/>
                <w:lang w:eastAsia="zh-CN"/>
              </w:rPr>
              <w:t>属于</w:t>
            </w:r>
            <w:r>
              <w:rPr>
                <w:rFonts w:hint="default" w:ascii="Times New Roman" w:hAnsi="Times New Roman" w:cs="Times New Roman"/>
                <w:color w:val="auto"/>
                <w:kern w:val="0"/>
                <w:sz w:val="24"/>
                <w:lang w:eastAsia="zh-CN"/>
              </w:rPr>
              <w:t>农副食品深加工，但</w:t>
            </w:r>
            <w:r>
              <w:rPr>
                <w:rFonts w:hint="default" w:ascii="Times New Roman" w:hAnsi="Times New Roman" w:cs="Times New Roman"/>
                <w:color w:val="auto"/>
                <w:kern w:val="0"/>
                <w:sz w:val="24"/>
              </w:rPr>
              <w:t>根据滑</w:t>
            </w:r>
            <w:r>
              <w:rPr>
                <w:rFonts w:hint="default" w:ascii="Times New Roman" w:hAnsi="Times New Roman" w:eastAsia="宋体" w:cs="Times New Roman"/>
                <w:color w:val="auto"/>
                <w:kern w:val="0"/>
                <w:sz w:val="24"/>
              </w:rPr>
              <w:t>县先进制造业开发区管理委员会出具的</w:t>
            </w:r>
            <w:r>
              <w:rPr>
                <w:rFonts w:hint="default" w:ascii="Times New Roman" w:hAnsi="Times New Roman" w:cs="Times New Roman"/>
                <w:color w:val="auto"/>
                <w:kern w:val="0"/>
                <w:sz w:val="24"/>
                <w:lang w:eastAsia="zh-CN"/>
              </w:rPr>
              <w:t>情况说明（附件三）</w:t>
            </w:r>
            <w:r>
              <w:rPr>
                <w:rFonts w:hint="default" w:ascii="Times New Roman" w:hAnsi="Times New Roman" w:eastAsia="宋体" w:cs="Times New Roman"/>
                <w:color w:val="auto"/>
                <w:kern w:val="0"/>
                <w:sz w:val="24"/>
              </w:rPr>
              <w:t>，</w:t>
            </w:r>
            <w:r>
              <w:rPr>
                <w:rFonts w:hint="default" w:ascii="Times New Roman" w:hAnsi="Times New Roman" w:cs="Times New Roman"/>
                <w:color w:val="auto"/>
                <w:kern w:val="0"/>
                <w:sz w:val="24"/>
                <w:lang w:eastAsia="zh-CN"/>
              </w:rPr>
              <w:t>本项目是滑县招商引资项目，经</w:t>
            </w:r>
            <w:r>
              <w:rPr>
                <w:rFonts w:hint="default" w:ascii="Times New Roman" w:hAnsi="Times New Roman" w:cs="Times New Roman"/>
                <w:color w:val="auto"/>
                <w:kern w:val="0"/>
                <w:sz w:val="24"/>
                <w:lang w:val="en-US" w:eastAsia="zh-CN"/>
              </w:rPr>
              <w:t>综合研判</w:t>
            </w:r>
            <w:r>
              <w:rPr>
                <w:rFonts w:hint="default" w:ascii="Times New Roman" w:hAnsi="Times New Roman" w:cs="Times New Roman"/>
                <w:color w:val="auto"/>
                <w:kern w:val="0"/>
                <w:sz w:val="24"/>
                <w:lang w:eastAsia="zh-CN"/>
              </w:rPr>
              <w:t>分析，符合产业定位，</w:t>
            </w:r>
            <w:r>
              <w:rPr>
                <w:rFonts w:hint="default" w:ascii="Times New Roman" w:hAnsi="Times New Roman" w:cs="Times New Roman"/>
                <w:color w:val="auto"/>
                <w:kern w:val="0"/>
                <w:sz w:val="24"/>
                <w:lang w:val="en-US" w:eastAsia="zh-CN"/>
              </w:rPr>
              <w:t>选址位置</w:t>
            </w:r>
            <w:r>
              <w:rPr>
                <w:rFonts w:hint="default" w:ascii="Times New Roman" w:hAnsi="Times New Roman" w:cs="Times New Roman"/>
                <w:color w:val="auto"/>
                <w:kern w:val="0"/>
                <w:sz w:val="24"/>
                <w:lang w:eastAsia="zh-CN"/>
              </w:rPr>
              <w:t>符合滑县先进制造业开发区总体规划、功能区规划和环境功能区规划，</w:t>
            </w:r>
            <w:r>
              <w:rPr>
                <w:rFonts w:hint="default" w:ascii="Times New Roman" w:hAnsi="Times New Roman" w:eastAsia="宋体" w:cs="Times New Roman"/>
                <w:color w:val="auto"/>
                <w:kern w:val="0"/>
                <w:sz w:val="24"/>
              </w:rPr>
              <w:t>同意入驻滑县先进制造业开发区。</w:t>
            </w:r>
          </w:p>
        </w:tc>
      </w:tr>
      <w:tr w14:paraId="0EA6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val="0"/>
            <w:vAlign w:val="center"/>
          </w:tcPr>
          <w:p w14:paraId="67EA224E">
            <w:pPr>
              <w:spacing w:line="600" w:lineRule="exact"/>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其</w:t>
            </w:r>
          </w:p>
          <w:p w14:paraId="350E8EE7">
            <w:pPr>
              <w:spacing w:line="600" w:lineRule="exact"/>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他</w:t>
            </w:r>
          </w:p>
          <w:p w14:paraId="5A55222A">
            <w:pPr>
              <w:spacing w:line="600" w:lineRule="exact"/>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符</w:t>
            </w:r>
          </w:p>
          <w:p w14:paraId="2CB35756">
            <w:pPr>
              <w:spacing w:line="600" w:lineRule="exact"/>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合</w:t>
            </w:r>
          </w:p>
          <w:p w14:paraId="4F089845">
            <w:pPr>
              <w:spacing w:line="600" w:lineRule="exact"/>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性</w:t>
            </w:r>
          </w:p>
          <w:p w14:paraId="0DD1421F">
            <w:pPr>
              <w:spacing w:line="600" w:lineRule="exact"/>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分</w:t>
            </w:r>
          </w:p>
          <w:p w14:paraId="2B95A938">
            <w:pPr>
              <w:spacing w:line="600" w:lineRule="exact"/>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析</w:t>
            </w:r>
          </w:p>
          <w:p w14:paraId="2B26B3D6">
            <w:pPr>
              <w:spacing w:line="600" w:lineRule="exact"/>
              <w:jc w:val="center"/>
              <w:rPr>
                <w:rFonts w:hint="default" w:ascii="Times New Roman" w:hAnsi="Times New Roman" w:eastAsia="宋体" w:cs="Times New Roman"/>
                <w:color w:val="auto"/>
                <w:sz w:val="24"/>
                <w:lang w:eastAsia="zh-CN"/>
              </w:rPr>
            </w:pPr>
          </w:p>
        </w:tc>
        <w:tc>
          <w:tcPr>
            <w:tcW w:w="8269" w:type="dxa"/>
            <w:gridSpan w:val="3"/>
            <w:noWrap w:val="0"/>
            <w:vAlign w:val="center"/>
          </w:tcPr>
          <w:p w14:paraId="086B1AE2">
            <w:pPr>
              <w:pStyle w:val="24"/>
              <w:keepNext w:val="0"/>
              <w:keepLines w:val="0"/>
              <w:pageBreakBefore w:val="0"/>
              <w:widowControl w:val="0"/>
              <w:kinsoku/>
              <w:wordWrap/>
              <w:overflowPunct/>
              <w:topLinePunct w:val="0"/>
              <w:bidi w:val="0"/>
              <w:spacing w:line="360" w:lineRule="auto"/>
              <w:ind w:firstLine="482" w:firstLineChars="200"/>
              <w:jc w:val="left"/>
              <w:textAlignment w:val="auto"/>
              <w:rPr>
                <w:rFonts w:hint="default" w:ascii="Times New Roman" w:hAnsi="Times New Roman" w:eastAsia="宋体" w:cs="Times New Roman"/>
                <w:b/>
                <w:bCs/>
                <w:color w:val="auto"/>
                <w:sz w:val="24"/>
                <w:lang w:val="en-US" w:bidi="ar-SA"/>
              </w:rPr>
            </w:pPr>
            <w:r>
              <w:rPr>
                <w:rFonts w:hint="default" w:ascii="Times New Roman" w:hAnsi="Times New Roman" w:eastAsia="宋体" w:cs="Times New Roman"/>
                <w:b/>
                <w:bCs/>
                <w:color w:val="auto"/>
                <w:sz w:val="24"/>
                <w:lang w:val="en-US" w:eastAsia="zh-CN" w:bidi="ar-SA"/>
              </w:rPr>
              <w:t>1、与</w:t>
            </w:r>
            <w:r>
              <w:rPr>
                <w:rFonts w:hint="default" w:ascii="Times New Roman" w:hAnsi="Times New Roman" w:eastAsia="宋体" w:cs="Times New Roman"/>
                <w:b/>
                <w:bCs/>
                <w:color w:val="auto"/>
                <w:sz w:val="24"/>
                <w:lang w:val="en-US" w:bidi="ar-SA"/>
              </w:rPr>
              <w:t>“三线一单”相符性分析</w:t>
            </w:r>
          </w:p>
          <w:p w14:paraId="0CB4E14A">
            <w:pPr>
              <w:pStyle w:val="2"/>
              <w:keepNext w:val="0"/>
              <w:keepLines w:val="0"/>
              <w:pageBreakBefore w:val="0"/>
              <w:widowControl w:val="0"/>
              <w:kinsoku/>
              <w:wordWrap/>
              <w:overflowPunct/>
              <w:topLinePunct w:val="0"/>
              <w:bidi w:val="0"/>
              <w:spacing w:before="0" w:line="360" w:lineRule="auto"/>
              <w:ind w:left="91"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本项目位于河南省安阳市</w:t>
            </w:r>
            <w:r>
              <w:rPr>
                <w:rFonts w:hint="default" w:ascii="Times New Roman" w:hAnsi="Times New Roman" w:cs="Times New Roman"/>
                <w:color w:val="auto"/>
                <w:sz w:val="24"/>
                <w:lang w:eastAsia="zh-CN"/>
              </w:rPr>
              <w:t>滑县新区漓江路与古城路北2号</w:t>
            </w:r>
            <w:r>
              <w:rPr>
                <w:rFonts w:hint="default" w:ascii="Times New Roman" w:hAnsi="Times New Roman" w:eastAsia="宋体" w:cs="Times New Roman"/>
                <w:color w:val="auto"/>
                <w:sz w:val="24"/>
              </w:rPr>
              <w:t>，根据《河南省三线一单综合信息应用平台》的查询结果，项目所在区域属于划定的重点管控单元。本项目</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三线一单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相符性分析如下：</w:t>
            </w:r>
          </w:p>
          <w:p w14:paraId="2F1A33FC">
            <w:pPr>
              <w:pStyle w:val="2"/>
              <w:keepNext w:val="0"/>
              <w:keepLines w:val="0"/>
              <w:pageBreakBefore w:val="0"/>
              <w:widowControl w:val="0"/>
              <w:kinsoku/>
              <w:wordWrap/>
              <w:overflowPunct/>
              <w:topLinePunct w:val="0"/>
              <w:bidi w:val="0"/>
              <w:spacing w:before="0" w:line="360" w:lineRule="auto"/>
              <w:ind w:left="91"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（1）生态保护红线</w:t>
            </w:r>
          </w:p>
          <w:p w14:paraId="2BBD58E2">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依据《河南省生态保护红线划定方案》，安阳市生态红线为两大类：太行山水土保持生态保护红线和南水北调中线水源涵养生态保护红线。未纳入生态保护红线的各级各类法定保护地，生态公益林、重要湖库、极小种群物种分布栖息地、重要湿地滩涂等其他生态保护区划入一般生态空间。</w:t>
            </w:r>
          </w:p>
          <w:p w14:paraId="2097B077">
            <w:pPr>
              <w:pStyle w:val="2"/>
              <w:keepNext w:val="0"/>
              <w:keepLines w:val="0"/>
              <w:pageBreakBefore w:val="0"/>
              <w:widowControl w:val="0"/>
              <w:kinsoku/>
              <w:wordWrap/>
              <w:overflowPunct/>
              <w:topLinePunct w:val="0"/>
              <w:bidi w:val="0"/>
              <w:spacing w:before="0" w:line="360" w:lineRule="auto"/>
              <w:ind w:left="91"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根据《河南省三线一单综合信息应用平台》的查询结果，项目占地范围不涉及水源地、湿地公园、风景名胜区、森林公园、自然保护区等环境敏感区，不在生态保护红线内，符合要求。</w:t>
            </w:r>
          </w:p>
          <w:p w14:paraId="60B5D373">
            <w:pPr>
              <w:pStyle w:val="2"/>
              <w:keepNext w:val="0"/>
              <w:keepLines w:val="0"/>
              <w:pageBreakBefore w:val="0"/>
              <w:widowControl w:val="0"/>
              <w:kinsoku/>
              <w:wordWrap/>
              <w:overflowPunct/>
              <w:topLinePunct w:val="0"/>
              <w:bidi w:val="0"/>
              <w:spacing w:before="0" w:line="360" w:lineRule="auto"/>
              <w:ind w:left="91"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（2）环境质量底线</w:t>
            </w:r>
          </w:p>
          <w:p w14:paraId="54655B3A">
            <w:pPr>
              <w:pStyle w:val="2"/>
              <w:keepNext w:val="0"/>
              <w:keepLines w:val="0"/>
              <w:pageBreakBefore w:val="0"/>
              <w:widowControl w:val="0"/>
              <w:kinsoku/>
              <w:wordWrap/>
              <w:overflowPunct/>
              <w:topLinePunct w:val="0"/>
              <w:autoSpaceDE w:val="0"/>
              <w:autoSpaceDN w:val="0"/>
              <w:bidi w:val="0"/>
              <w:adjustRightInd w:val="0"/>
              <w:snapToGrid/>
              <w:spacing w:before="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依据安阳市生态环境局滑县分局公布的《2023年滑县生态环境状况公报》：滑县常规大气污染物中SO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年均浓度、CO</w:t>
            </w:r>
            <w:r>
              <w:rPr>
                <w:rFonts w:hint="default" w:ascii="Times New Roman" w:hAnsi="Times New Roman" w:eastAsia="宋体" w:cs="Times New Roman"/>
                <w:color w:val="auto"/>
                <w:sz w:val="24"/>
                <w:vertAlign w:val="subscript"/>
              </w:rPr>
              <w:t>24</w:t>
            </w:r>
            <w:r>
              <w:rPr>
                <w:rFonts w:hint="default" w:ascii="Times New Roman" w:hAnsi="Times New Roman" w:eastAsia="宋体" w:cs="Times New Roman"/>
                <w:color w:val="auto"/>
                <w:sz w:val="24"/>
              </w:rPr>
              <w:t>小时平均浓度第95百分位数，满足《环境空气质量标准》（GB 3095-2012）二级标准，PM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年均浓度、O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日最大8小时平均浓度第90百分位数超标，PM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为影响该区域空气质量的首要污染物。本项目所在区域滑县的环境空气质量为不达标区。本项目运营期废气经治理后均达标排放，对项目区域环境空气影响较小，不会改变项目所在区域的大气环境功能。</w:t>
            </w:r>
          </w:p>
          <w:p w14:paraId="08181F15">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依据安阳市生态环境局滑县分局公布的《2023年滑县生态环境状况公报》中金堤河大韩桥自动站断面监测数据，项目所在区域地表水不满足《地表水环境质量标准》（GB3838-2002）Ⅲ类标准，为不达标区。</w:t>
            </w:r>
            <w:r>
              <w:rPr>
                <w:rFonts w:hint="default" w:ascii="Times New Roman" w:hAnsi="Times New Roman" w:cs="Times New Roman"/>
                <w:color w:val="auto"/>
                <w:kern w:val="0"/>
                <w:sz w:val="24"/>
                <w:szCs w:val="24"/>
                <w:lang w:val="en-US" w:eastAsia="zh-CN" w:bidi="ar-SA"/>
              </w:rPr>
              <w:t>生活污水和地面冲洗废水、设备清洗废水，产生量很小，</w:t>
            </w:r>
            <w:r>
              <w:rPr>
                <w:rFonts w:hint="default" w:ascii="Times New Roman" w:hAnsi="Times New Roman" w:eastAsia="宋体" w:cs="Times New Roman"/>
                <w:color w:val="auto"/>
                <w:kern w:val="0"/>
                <w:sz w:val="24"/>
                <w:szCs w:val="24"/>
                <w:lang w:val="en-US" w:eastAsia="zh-CN" w:bidi="ar-SA"/>
              </w:rPr>
              <w:t>对项目区域水环境质量影响较小，不会改变项目所在区域的水环境功能。</w:t>
            </w:r>
          </w:p>
          <w:p w14:paraId="1A9246B5">
            <w:pPr>
              <w:pStyle w:val="2"/>
              <w:keepNext w:val="0"/>
              <w:keepLines w:val="0"/>
              <w:pageBreakBefore w:val="0"/>
              <w:widowControl w:val="0"/>
              <w:kinsoku/>
              <w:wordWrap/>
              <w:overflowPunct/>
              <w:topLinePunct w:val="0"/>
              <w:autoSpaceDE w:val="0"/>
              <w:autoSpaceDN w:val="0"/>
              <w:bidi w:val="0"/>
              <w:adjustRightInd w:val="0"/>
              <w:snapToGrid/>
              <w:spacing w:before="0" w:line="360" w:lineRule="auto"/>
              <w:ind w:left="91" w:right="6"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2"/>
              </w:rPr>
              <w:t xml:space="preserve">项目所在区域声环境质量现状情况较好，项目所在区域声环境质量现状能满足《声环境质量标准》（GB3096-2008）中 </w:t>
            </w:r>
            <w:r>
              <w:rPr>
                <w:rFonts w:hint="default" w:ascii="Times New Roman" w:hAnsi="Times New Roman" w:cs="Times New Roman"/>
                <w:color w:val="auto"/>
                <w:sz w:val="24"/>
                <w:szCs w:val="22"/>
                <w:lang w:val="en-US" w:eastAsia="zh-CN"/>
              </w:rPr>
              <w:t>3</w:t>
            </w:r>
            <w:r>
              <w:rPr>
                <w:rFonts w:hint="default" w:ascii="Times New Roman" w:hAnsi="Times New Roman" w:eastAsia="宋体" w:cs="Times New Roman"/>
                <w:color w:val="auto"/>
                <w:sz w:val="24"/>
                <w:szCs w:val="22"/>
              </w:rPr>
              <w:t xml:space="preserve"> 类区标准要求</w:t>
            </w:r>
            <w:r>
              <w:rPr>
                <w:rFonts w:hint="default" w:ascii="Times New Roman" w:hAnsi="Times New Roman" w:cs="Times New Roman"/>
                <w:color w:val="auto"/>
                <w:sz w:val="24"/>
                <w:szCs w:val="22"/>
                <w:lang w:eastAsia="zh-CN"/>
              </w:rPr>
              <w:t>。</w:t>
            </w:r>
            <w:r>
              <w:rPr>
                <w:rFonts w:hint="default" w:ascii="Times New Roman" w:hAnsi="Times New Roman" w:eastAsia="宋体" w:cs="Times New Roman"/>
                <w:color w:val="auto"/>
                <w:sz w:val="24"/>
                <w:szCs w:val="22"/>
              </w:rPr>
              <w:t>项目厂界外50米范围内</w:t>
            </w:r>
            <w:r>
              <w:rPr>
                <w:rFonts w:hint="default" w:ascii="Times New Roman" w:hAnsi="Times New Roman" w:eastAsia="宋体" w:cs="Times New Roman"/>
                <w:color w:val="auto"/>
                <w:sz w:val="24"/>
                <w:szCs w:val="22"/>
                <w:lang w:eastAsia="zh-CN"/>
              </w:rPr>
              <w:t>存在</w:t>
            </w:r>
            <w:r>
              <w:rPr>
                <w:rFonts w:hint="default" w:ascii="Times New Roman" w:hAnsi="Times New Roman" w:eastAsia="宋体" w:cs="Times New Roman"/>
                <w:color w:val="auto"/>
                <w:sz w:val="24"/>
                <w:szCs w:val="22"/>
              </w:rPr>
              <w:t>声环境保护目标，项目</w:t>
            </w:r>
            <w:r>
              <w:rPr>
                <w:rFonts w:hint="default" w:ascii="Times New Roman" w:hAnsi="Times New Roman" w:eastAsia="宋体" w:cs="Times New Roman"/>
                <w:bCs/>
                <w:color w:val="auto"/>
                <w:spacing w:val="-2"/>
                <w:sz w:val="24"/>
              </w:rPr>
              <w:t>运营过程中产生的噪声经治理后可达标排放，对项目区域声环境影响较小，不会改变项目所在区域的</w:t>
            </w:r>
            <w:r>
              <w:rPr>
                <w:rFonts w:hint="default" w:ascii="Times New Roman" w:hAnsi="Times New Roman" w:eastAsia="宋体" w:cs="Times New Roman"/>
                <w:color w:val="auto"/>
                <w:sz w:val="24"/>
              </w:rPr>
              <w:t>声</w:t>
            </w:r>
            <w:r>
              <w:rPr>
                <w:rFonts w:hint="default" w:ascii="Times New Roman" w:hAnsi="Times New Roman" w:eastAsia="宋体" w:cs="Times New Roman"/>
                <w:bCs/>
                <w:color w:val="auto"/>
                <w:spacing w:val="-2"/>
                <w:sz w:val="24"/>
              </w:rPr>
              <w:t>环境功能。</w:t>
            </w:r>
          </w:p>
          <w:p w14:paraId="028B723D">
            <w:pPr>
              <w:pStyle w:val="2"/>
              <w:keepNext w:val="0"/>
              <w:keepLines w:val="0"/>
              <w:pageBreakBefore w:val="0"/>
              <w:widowControl w:val="0"/>
              <w:kinsoku/>
              <w:wordWrap/>
              <w:overflowPunct/>
              <w:topLinePunct w:val="0"/>
              <w:bidi w:val="0"/>
              <w:spacing w:before="0" w:line="360" w:lineRule="auto"/>
              <w:ind w:left="91"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w:t>由上可得，本项目废水、废气、噪声采取有效措施治理后，均达标排放，对区域环境质量影响较小，不会改变区域环境质量等级，符合环境质量底线的相关要求。</w:t>
            </w:r>
          </w:p>
          <w:p w14:paraId="464F001C">
            <w:pPr>
              <w:pStyle w:val="2"/>
              <w:keepNext w:val="0"/>
              <w:keepLines w:val="0"/>
              <w:pageBreakBefore w:val="0"/>
              <w:widowControl w:val="0"/>
              <w:kinsoku/>
              <w:wordWrap/>
              <w:overflowPunct/>
              <w:topLinePunct w:val="0"/>
              <w:bidi w:val="0"/>
              <w:spacing w:before="0" w:line="360" w:lineRule="auto"/>
              <w:ind w:left="91"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（3）资源利用上线</w:t>
            </w:r>
          </w:p>
          <w:p w14:paraId="0FBB8121">
            <w:pPr>
              <w:pStyle w:val="2"/>
              <w:keepNext w:val="0"/>
              <w:keepLines w:val="0"/>
              <w:pageBreakBefore w:val="0"/>
              <w:widowControl w:val="0"/>
              <w:kinsoku/>
              <w:wordWrap/>
              <w:overflowPunct/>
              <w:topLinePunct w:val="0"/>
              <w:bidi w:val="0"/>
              <w:spacing w:before="0" w:line="360" w:lineRule="auto"/>
              <w:ind w:left="91" w:firstLine="47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pacing w:val="-2"/>
                <w:sz w:val="24"/>
              </w:rPr>
              <w:t>本项目采用的能源主要为水和电，原辅材料均外购，项目建成运行后通过内部管理、设备选择、原辅材料的选用和管理、固废合理处置，符合清洁生产的要求。项目对资源的使用较少、利用率较高，不触及资源利用上线</w:t>
            </w:r>
            <w:r>
              <w:rPr>
                <w:rFonts w:hint="default" w:ascii="Times New Roman" w:hAnsi="Times New Roman" w:eastAsia="宋体" w:cs="Times New Roman"/>
                <w:color w:val="auto"/>
                <w:sz w:val="24"/>
              </w:rPr>
              <w:t>。</w:t>
            </w:r>
          </w:p>
          <w:p w14:paraId="62B82F22">
            <w:pPr>
              <w:pStyle w:val="2"/>
              <w:keepNext w:val="0"/>
              <w:keepLines w:val="0"/>
              <w:pageBreakBefore w:val="0"/>
              <w:widowControl w:val="0"/>
              <w:kinsoku/>
              <w:wordWrap/>
              <w:overflowPunct/>
              <w:topLinePunct w:val="0"/>
              <w:bidi w:val="0"/>
              <w:spacing w:before="0" w:line="360" w:lineRule="auto"/>
              <w:ind w:left="91"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（4）生态环境准入清单</w:t>
            </w:r>
          </w:p>
          <w:p w14:paraId="177AD0F2">
            <w:pPr>
              <w:pStyle w:val="2"/>
              <w:keepNext w:val="0"/>
              <w:keepLines w:val="0"/>
              <w:pageBreakBefore w:val="0"/>
              <w:widowControl w:val="0"/>
              <w:kinsoku/>
              <w:wordWrap/>
              <w:overflowPunct/>
              <w:topLinePunct w:val="0"/>
              <w:bidi w:val="0"/>
              <w:spacing w:before="0" w:line="360" w:lineRule="auto"/>
              <w:ind w:left="91"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w:t>本项目《河南省三线一单综合信息应用平台》的查询结果，详见附图</w:t>
            </w:r>
            <w:r>
              <w:rPr>
                <w:rFonts w:hint="default" w:ascii="Times New Roman" w:hAnsi="Times New Roman" w:cs="Times New Roman"/>
                <w:color w:val="auto"/>
                <w:sz w:val="24"/>
                <w:lang w:val="en-US" w:eastAsia="zh-CN"/>
              </w:rPr>
              <w:t>六</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三线一单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相符性分析如下：</w:t>
            </w:r>
          </w:p>
          <w:p w14:paraId="2D53BDF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w:t>表1-1</w:t>
            </w:r>
            <w:r>
              <w:rPr>
                <w:rFonts w:hint="default" w:ascii="Times New Roman" w:hAnsi="Times New Roman" w:eastAsia="宋体" w:cs="Times New Roman"/>
                <w:color w:val="auto"/>
                <w:kern w:val="0"/>
                <w:sz w:val="24"/>
              </w:rPr>
              <w:t xml:space="preserve">    </w:t>
            </w:r>
            <w:r>
              <w:rPr>
                <w:rFonts w:hint="default" w:ascii="Times New Roman" w:hAnsi="Times New Roman" w:eastAsia="宋体" w:cs="Times New Roman"/>
                <w:color w:val="auto"/>
                <w:sz w:val="24"/>
              </w:rPr>
              <w:t>与</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三线一单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相符性分析一览表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5"/>
              <w:gridCol w:w="263"/>
              <w:gridCol w:w="244"/>
              <w:gridCol w:w="244"/>
              <w:gridCol w:w="234"/>
              <w:gridCol w:w="237"/>
              <w:gridCol w:w="2957"/>
              <w:gridCol w:w="1900"/>
              <w:gridCol w:w="519"/>
            </w:tblGrid>
            <w:tr w14:paraId="03D4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93" w:type="dxa"/>
                  <w:vMerge w:val="restart"/>
                  <w:noWrap w:val="0"/>
                  <w:vAlign w:val="center"/>
                </w:tcPr>
                <w:p w14:paraId="63182244">
                  <w:pPr>
                    <w:pStyle w:val="34"/>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环境管控单元编码</w:t>
                  </w:r>
                </w:p>
              </w:tc>
              <w:tc>
                <w:tcPr>
                  <w:tcW w:w="326" w:type="dxa"/>
                  <w:vMerge w:val="restart"/>
                  <w:noWrap w:val="0"/>
                  <w:vAlign w:val="center"/>
                </w:tcPr>
                <w:p w14:paraId="31D9A5BA">
                  <w:pPr>
                    <w:pStyle w:val="34"/>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环境管控单元名称</w:t>
                  </w:r>
                </w:p>
              </w:tc>
              <w:tc>
                <w:tcPr>
                  <w:tcW w:w="279" w:type="dxa"/>
                  <w:vMerge w:val="restart"/>
                  <w:noWrap w:val="0"/>
                  <w:vAlign w:val="center"/>
                </w:tcPr>
                <w:p w14:paraId="582DF0BF">
                  <w:pPr>
                    <w:pStyle w:val="34"/>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管控单元分类</w:t>
                  </w:r>
                </w:p>
              </w:tc>
              <w:tc>
                <w:tcPr>
                  <w:tcW w:w="532" w:type="dxa"/>
                  <w:gridSpan w:val="2"/>
                  <w:noWrap w:val="0"/>
                  <w:vAlign w:val="center"/>
                </w:tcPr>
                <w:p w14:paraId="62571438">
                  <w:pPr>
                    <w:pStyle w:val="34"/>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行政区划</w:t>
                  </w:r>
                </w:p>
              </w:tc>
              <w:tc>
                <w:tcPr>
                  <w:tcW w:w="4812" w:type="dxa"/>
                  <w:gridSpan w:val="2"/>
                  <w:vMerge w:val="restart"/>
                  <w:noWrap w:val="0"/>
                  <w:vAlign w:val="center"/>
                </w:tcPr>
                <w:p w14:paraId="1FDFD45D">
                  <w:pPr>
                    <w:pStyle w:val="34"/>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管控要求</w:t>
                  </w:r>
                </w:p>
              </w:tc>
              <w:tc>
                <w:tcPr>
                  <w:tcW w:w="1276" w:type="dxa"/>
                  <w:vMerge w:val="restart"/>
                  <w:noWrap w:val="0"/>
                  <w:vAlign w:val="center"/>
                </w:tcPr>
                <w:p w14:paraId="7E8AFBC8">
                  <w:pPr>
                    <w:pStyle w:val="34"/>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本项目情况</w:t>
                  </w:r>
                </w:p>
              </w:tc>
              <w:tc>
                <w:tcPr>
                  <w:tcW w:w="799" w:type="dxa"/>
                  <w:vMerge w:val="restart"/>
                  <w:noWrap w:val="0"/>
                  <w:vAlign w:val="center"/>
                </w:tcPr>
                <w:p w14:paraId="7A898A01">
                  <w:pPr>
                    <w:pStyle w:val="34"/>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相符性分析</w:t>
                  </w:r>
                </w:p>
              </w:tc>
            </w:tr>
            <w:tr w14:paraId="65C1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93" w:type="dxa"/>
                  <w:vMerge w:val="continue"/>
                  <w:noWrap w:val="0"/>
                  <w:vAlign w:val="center"/>
                </w:tcPr>
                <w:p w14:paraId="7CF4349C">
                  <w:pPr>
                    <w:pStyle w:val="34"/>
                    <w:jc w:val="center"/>
                    <w:rPr>
                      <w:rFonts w:hint="default" w:ascii="Times New Roman" w:hAnsi="Times New Roman" w:eastAsia="宋体" w:cs="Times New Roman"/>
                      <w:color w:val="auto"/>
                      <w:szCs w:val="21"/>
                    </w:rPr>
                  </w:pPr>
                </w:p>
              </w:tc>
              <w:tc>
                <w:tcPr>
                  <w:tcW w:w="326" w:type="dxa"/>
                  <w:vMerge w:val="continue"/>
                  <w:noWrap w:val="0"/>
                  <w:vAlign w:val="center"/>
                </w:tcPr>
                <w:p w14:paraId="39572508">
                  <w:pPr>
                    <w:pStyle w:val="34"/>
                    <w:jc w:val="center"/>
                    <w:rPr>
                      <w:rFonts w:hint="default" w:ascii="Times New Roman" w:hAnsi="Times New Roman" w:eastAsia="宋体" w:cs="Times New Roman"/>
                      <w:color w:val="auto"/>
                      <w:szCs w:val="21"/>
                    </w:rPr>
                  </w:pPr>
                </w:p>
              </w:tc>
              <w:tc>
                <w:tcPr>
                  <w:tcW w:w="279" w:type="dxa"/>
                  <w:vMerge w:val="continue"/>
                  <w:noWrap w:val="0"/>
                  <w:vAlign w:val="center"/>
                </w:tcPr>
                <w:p w14:paraId="255DCBFE">
                  <w:pPr>
                    <w:pStyle w:val="34"/>
                    <w:jc w:val="center"/>
                    <w:rPr>
                      <w:rFonts w:hint="default" w:ascii="Times New Roman" w:hAnsi="Times New Roman" w:eastAsia="宋体" w:cs="Times New Roman"/>
                      <w:color w:val="auto"/>
                      <w:szCs w:val="21"/>
                    </w:rPr>
                  </w:pPr>
                </w:p>
              </w:tc>
              <w:tc>
                <w:tcPr>
                  <w:tcW w:w="279" w:type="dxa"/>
                  <w:noWrap w:val="0"/>
                  <w:vAlign w:val="center"/>
                </w:tcPr>
                <w:p w14:paraId="404E3ED2">
                  <w:pPr>
                    <w:pStyle w:val="34"/>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区县</w:t>
                  </w:r>
                </w:p>
              </w:tc>
              <w:tc>
                <w:tcPr>
                  <w:tcW w:w="253" w:type="dxa"/>
                  <w:noWrap w:val="0"/>
                  <w:vAlign w:val="center"/>
                </w:tcPr>
                <w:p w14:paraId="6EAA50A4">
                  <w:pPr>
                    <w:pStyle w:val="34"/>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乡镇</w:t>
                  </w:r>
                </w:p>
              </w:tc>
              <w:tc>
                <w:tcPr>
                  <w:tcW w:w="4812" w:type="dxa"/>
                  <w:gridSpan w:val="2"/>
                  <w:vMerge w:val="continue"/>
                  <w:noWrap w:val="0"/>
                  <w:vAlign w:val="center"/>
                </w:tcPr>
                <w:p w14:paraId="08544B58">
                  <w:pPr>
                    <w:pStyle w:val="34"/>
                    <w:jc w:val="center"/>
                    <w:rPr>
                      <w:rFonts w:hint="default" w:ascii="Times New Roman" w:hAnsi="Times New Roman" w:eastAsia="宋体" w:cs="Times New Roman"/>
                      <w:b/>
                      <w:color w:val="auto"/>
                      <w:szCs w:val="21"/>
                    </w:rPr>
                  </w:pPr>
                </w:p>
              </w:tc>
              <w:tc>
                <w:tcPr>
                  <w:tcW w:w="1276" w:type="dxa"/>
                  <w:vMerge w:val="continue"/>
                  <w:noWrap w:val="0"/>
                  <w:vAlign w:val="center"/>
                </w:tcPr>
                <w:p w14:paraId="4D195D61">
                  <w:pPr>
                    <w:pStyle w:val="34"/>
                    <w:jc w:val="center"/>
                    <w:rPr>
                      <w:rFonts w:hint="default" w:ascii="Times New Roman" w:hAnsi="Times New Roman" w:eastAsia="宋体" w:cs="Times New Roman"/>
                      <w:b/>
                      <w:color w:val="auto"/>
                      <w:szCs w:val="21"/>
                    </w:rPr>
                  </w:pPr>
                </w:p>
              </w:tc>
              <w:tc>
                <w:tcPr>
                  <w:tcW w:w="799" w:type="dxa"/>
                  <w:vMerge w:val="continue"/>
                  <w:noWrap w:val="0"/>
                  <w:vAlign w:val="center"/>
                </w:tcPr>
                <w:p w14:paraId="56F9ED6E">
                  <w:pPr>
                    <w:pStyle w:val="34"/>
                    <w:jc w:val="center"/>
                    <w:rPr>
                      <w:rFonts w:hint="default" w:ascii="Times New Roman" w:hAnsi="Times New Roman" w:eastAsia="宋体" w:cs="Times New Roman"/>
                      <w:b/>
                      <w:color w:val="auto"/>
                      <w:szCs w:val="21"/>
                    </w:rPr>
                  </w:pPr>
                </w:p>
              </w:tc>
            </w:tr>
            <w:tr w14:paraId="2A7A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3" w:type="dxa"/>
                  <w:vMerge w:val="restart"/>
                  <w:noWrap w:val="0"/>
                  <w:vAlign w:val="center"/>
                </w:tcPr>
                <w:p w14:paraId="0D8C5D86">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ZH41052620001</w:t>
                  </w:r>
                </w:p>
              </w:tc>
              <w:tc>
                <w:tcPr>
                  <w:tcW w:w="326" w:type="dxa"/>
                  <w:vMerge w:val="restart"/>
                  <w:noWrap w:val="0"/>
                  <w:vAlign w:val="center"/>
                </w:tcPr>
                <w:p w14:paraId="18D1D22D">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滑县先进制造业开发区</w:t>
                  </w:r>
                </w:p>
              </w:tc>
              <w:tc>
                <w:tcPr>
                  <w:tcW w:w="279" w:type="dxa"/>
                  <w:vMerge w:val="restart"/>
                  <w:noWrap w:val="0"/>
                  <w:vAlign w:val="center"/>
                </w:tcPr>
                <w:p w14:paraId="09596CF3">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重点管控单元</w:t>
                  </w:r>
                </w:p>
              </w:tc>
              <w:tc>
                <w:tcPr>
                  <w:tcW w:w="279" w:type="dxa"/>
                  <w:vMerge w:val="restart"/>
                  <w:noWrap w:val="0"/>
                  <w:vAlign w:val="center"/>
                </w:tcPr>
                <w:p w14:paraId="033A8B66">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河南省安阳市滑县</w:t>
                  </w:r>
                </w:p>
              </w:tc>
              <w:tc>
                <w:tcPr>
                  <w:tcW w:w="253" w:type="dxa"/>
                  <w:vMerge w:val="restart"/>
                  <w:noWrap w:val="0"/>
                  <w:vAlign w:val="center"/>
                </w:tcPr>
                <w:p w14:paraId="703CC0D7">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62" w:type="dxa"/>
                  <w:noWrap w:val="0"/>
                  <w:vAlign w:val="center"/>
                </w:tcPr>
                <w:p w14:paraId="1C224BFE">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空间布局约束</w:t>
                  </w:r>
                </w:p>
              </w:tc>
              <w:tc>
                <w:tcPr>
                  <w:tcW w:w="4550" w:type="dxa"/>
                  <w:noWrap w:val="0"/>
                  <w:vAlign w:val="center"/>
                </w:tcPr>
                <w:p w14:paraId="207B1E65">
                  <w:pPr>
                    <w:pStyle w:val="34"/>
                    <w:jc w:val="center"/>
                    <w:rPr>
                      <w:rFonts w:hint="default" w:ascii="Times New Roman" w:hAnsi="Times New Roman" w:eastAsia="宋体" w:cs="Times New Roman"/>
                      <w:snapToGrid w:val="0"/>
                      <w:color w:val="auto"/>
                      <w:szCs w:val="21"/>
                    </w:rPr>
                  </w:pPr>
                  <w:r>
                    <w:rPr>
                      <w:rFonts w:hint="default" w:ascii="Times New Roman" w:hAnsi="Times New Roman" w:eastAsia="宋体" w:cs="Times New Roman"/>
                      <w:color w:val="auto"/>
                      <w:szCs w:val="21"/>
                    </w:rPr>
                    <w:t>1、空间布局要求以产业开发区规划环评批复文件为主，禁止新建不符合开发区规划和规划环评要求的建设项目。其中位于煤化工产业园的，应符合煤化工产业园产业定位、规划环评和规划环评批复文件的相关要求。 2、禁止新建、改建及扩建高排放、高污染项目，包括钢铁、有色、水泥、化工、平板玻璃、建筑陶瓷等工业项目（符合园区产业定位的项目除外）。 3、禁止新建、扩建燃用高污染燃料的设施。拆除现有已建成的燃用高污染燃料的设施。 4、严格落实规划环评及批复文件要求，规划调整修编时应同步开展规划环评。 5、新建、改建、扩建“两高”项目须符合生态环境保护法律法规和相关法定规划，满足重点污染物排放总量控制、碳排放达峰目标、生态环境准入清单、相关规划环评和相应行业建设项目环境准入条件、环评文件审批原则要求。 6、鼓励粮油加工、肉制品加工；服装制造业、纺织织造产业；现代农机制造、医疗器械；高性能复合材料、先进碳材料相关产业入驻。 7、入驻项目应符合园区规划或规划环评的要求。</w:t>
                  </w:r>
                </w:p>
              </w:tc>
              <w:tc>
                <w:tcPr>
                  <w:tcW w:w="1276" w:type="dxa"/>
                  <w:noWrap w:val="0"/>
                  <w:vAlign w:val="center"/>
                </w:tcPr>
                <w:p w14:paraId="56A3D6AD">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1、根据滑县先进制造业开发区管理委员会出具的</w:t>
                  </w:r>
                  <w:r>
                    <w:rPr>
                      <w:rFonts w:hint="default" w:ascii="Times New Roman" w:hAnsi="Times New Roman" w:cs="Times New Roman"/>
                      <w:color w:val="auto"/>
                      <w:szCs w:val="21"/>
                      <w:lang w:eastAsia="zh-CN"/>
                    </w:rPr>
                    <w:t>情况说明</w:t>
                  </w:r>
                  <w:r>
                    <w:rPr>
                      <w:rFonts w:hint="default" w:ascii="Times New Roman" w:hAnsi="Times New Roman" w:eastAsia="宋体" w:cs="Times New Roman"/>
                      <w:color w:val="auto"/>
                      <w:szCs w:val="21"/>
                    </w:rPr>
                    <w:t>，本项目符合滑县先进制造业开发区产业规划布局，同意入驻滑县先进制造业开发区。</w:t>
                  </w:r>
                </w:p>
                <w:p w14:paraId="45E3FE88">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2、本项目不属于高排放、高污染项目。</w:t>
                  </w:r>
                </w:p>
                <w:p w14:paraId="49E661AC">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3、本项目不使用高污染燃料。</w:t>
                  </w:r>
                </w:p>
                <w:p w14:paraId="0CF1BE34">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4、不涉及。</w:t>
                  </w:r>
                </w:p>
                <w:p w14:paraId="6B84D57E">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5、本项目不属于“两高”项目。</w:t>
                  </w:r>
                </w:p>
                <w:p w14:paraId="1F26E4AA">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6、本项目</w:t>
                  </w:r>
                  <w:r>
                    <w:rPr>
                      <w:rFonts w:hint="default" w:ascii="Times New Roman" w:hAnsi="Times New Roman" w:eastAsia="宋体" w:cs="Times New Roman"/>
                      <w:color w:val="auto"/>
                      <w:szCs w:val="21"/>
                      <w:lang w:eastAsia="zh-CN"/>
                    </w:rPr>
                    <w:t>淀粉制品生产</w:t>
                  </w:r>
                  <w:r>
                    <w:rPr>
                      <w:rFonts w:hint="default" w:ascii="Times New Roman" w:hAnsi="Times New Roman" w:eastAsia="宋体" w:cs="Times New Roman"/>
                      <w:color w:val="auto"/>
                      <w:szCs w:val="21"/>
                    </w:rPr>
                    <w:t>，根据滑县先进制造业开发区管理委员会出具</w:t>
                  </w:r>
                  <w:r>
                    <w:rPr>
                      <w:rFonts w:hint="default" w:ascii="Times New Roman" w:hAnsi="Times New Roman" w:cs="Times New Roman"/>
                      <w:color w:val="auto"/>
                      <w:szCs w:val="21"/>
                      <w:lang w:eastAsia="zh-CN"/>
                    </w:rPr>
                    <w:t>情况说明</w:t>
                  </w:r>
                  <w:r>
                    <w:rPr>
                      <w:rFonts w:hint="default" w:ascii="Times New Roman" w:hAnsi="Times New Roman" w:eastAsia="宋体" w:cs="Times New Roman"/>
                      <w:color w:val="auto"/>
                      <w:szCs w:val="21"/>
                    </w:rPr>
                    <w:t>，本项目符合滑县先进制造业开发区产业规划布局，同意入驻滑县先进制造业开发区。</w:t>
                  </w:r>
                </w:p>
                <w:p w14:paraId="509FFAC6">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7、根据滑县先进制造业开发区管理委员会出具</w:t>
                  </w:r>
                  <w:r>
                    <w:rPr>
                      <w:rFonts w:hint="default" w:ascii="Times New Roman" w:hAnsi="Times New Roman" w:cs="Times New Roman"/>
                      <w:color w:val="auto"/>
                      <w:szCs w:val="21"/>
                      <w:lang w:eastAsia="zh-CN"/>
                    </w:rPr>
                    <w:t>情况说明</w:t>
                  </w:r>
                  <w:r>
                    <w:rPr>
                      <w:rFonts w:hint="default" w:ascii="Times New Roman" w:hAnsi="Times New Roman" w:eastAsia="宋体" w:cs="Times New Roman"/>
                      <w:color w:val="auto"/>
                      <w:szCs w:val="21"/>
                    </w:rPr>
                    <w:t>，本项目符合滑县先进制造业开发区产业规划布局，同意入驻滑县先进制造业开发区。</w:t>
                  </w:r>
                </w:p>
              </w:tc>
              <w:tc>
                <w:tcPr>
                  <w:tcW w:w="799" w:type="dxa"/>
                  <w:noWrap w:val="0"/>
                  <w:vAlign w:val="center"/>
                </w:tcPr>
                <w:p w14:paraId="6C561208">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30FF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3" w:type="dxa"/>
                  <w:vMerge w:val="continue"/>
                  <w:noWrap w:val="0"/>
                  <w:vAlign w:val="center"/>
                </w:tcPr>
                <w:p w14:paraId="00826471">
                  <w:pPr>
                    <w:pStyle w:val="34"/>
                    <w:jc w:val="center"/>
                    <w:rPr>
                      <w:rFonts w:hint="default" w:ascii="Times New Roman" w:hAnsi="Times New Roman" w:eastAsia="宋体" w:cs="Times New Roman"/>
                      <w:color w:val="auto"/>
                      <w:szCs w:val="21"/>
                    </w:rPr>
                  </w:pPr>
                </w:p>
              </w:tc>
              <w:tc>
                <w:tcPr>
                  <w:tcW w:w="326" w:type="dxa"/>
                  <w:vMerge w:val="continue"/>
                  <w:noWrap w:val="0"/>
                  <w:vAlign w:val="center"/>
                </w:tcPr>
                <w:p w14:paraId="0CA290D6">
                  <w:pPr>
                    <w:pStyle w:val="34"/>
                    <w:jc w:val="center"/>
                    <w:rPr>
                      <w:rFonts w:hint="default" w:ascii="Times New Roman" w:hAnsi="Times New Roman" w:eastAsia="宋体" w:cs="Times New Roman"/>
                      <w:color w:val="auto"/>
                      <w:szCs w:val="21"/>
                    </w:rPr>
                  </w:pPr>
                </w:p>
              </w:tc>
              <w:tc>
                <w:tcPr>
                  <w:tcW w:w="279" w:type="dxa"/>
                  <w:vMerge w:val="continue"/>
                  <w:noWrap w:val="0"/>
                  <w:vAlign w:val="center"/>
                </w:tcPr>
                <w:p w14:paraId="4A19840C">
                  <w:pPr>
                    <w:pStyle w:val="34"/>
                    <w:jc w:val="center"/>
                    <w:rPr>
                      <w:rFonts w:hint="default" w:ascii="Times New Roman" w:hAnsi="Times New Roman" w:eastAsia="宋体" w:cs="Times New Roman"/>
                      <w:color w:val="auto"/>
                      <w:szCs w:val="21"/>
                    </w:rPr>
                  </w:pPr>
                </w:p>
              </w:tc>
              <w:tc>
                <w:tcPr>
                  <w:tcW w:w="279" w:type="dxa"/>
                  <w:vMerge w:val="continue"/>
                  <w:noWrap w:val="0"/>
                  <w:vAlign w:val="center"/>
                </w:tcPr>
                <w:p w14:paraId="19FB36C3">
                  <w:pPr>
                    <w:pStyle w:val="34"/>
                    <w:jc w:val="center"/>
                    <w:rPr>
                      <w:rFonts w:hint="default" w:ascii="Times New Roman" w:hAnsi="Times New Roman" w:eastAsia="宋体" w:cs="Times New Roman"/>
                      <w:color w:val="auto"/>
                      <w:szCs w:val="21"/>
                    </w:rPr>
                  </w:pPr>
                </w:p>
              </w:tc>
              <w:tc>
                <w:tcPr>
                  <w:tcW w:w="253" w:type="dxa"/>
                  <w:vMerge w:val="continue"/>
                  <w:noWrap w:val="0"/>
                  <w:vAlign w:val="center"/>
                </w:tcPr>
                <w:p w14:paraId="46A5269C">
                  <w:pPr>
                    <w:pStyle w:val="34"/>
                    <w:jc w:val="center"/>
                    <w:rPr>
                      <w:rFonts w:hint="default" w:ascii="Times New Roman" w:hAnsi="Times New Roman" w:eastAsia="宋体" w:cs="Times New Roman"/>
                      <w:color w:val="auto"/>
                      <w:szCs w:val="21"/>
                    </w:rPr>
                  </w:pPr>
                </w:p>
              </w:tc>
              <w:tc>
                <w:tcPr>
                  <w:tcW w:w="262" w:type="dxa"/>
                  <w:noWrap w:val="0"/>
                  <w:vAlign w:val="center"/>
                </w:tcPr>
                <w:p w14:paraId="530F930E">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污染物排放管控</w:t>
                  </w:r>
                </w:p>
              </w:tc>
              <w:tc>
                <w:tcPr>
                  <w:tcW w:w="4550" w:type="dxa"/>
                  <w:noWrap w:val="0"/>
                  <w:vAlign w:val="center"/>
                </w:tcPr>
                <w:p w14:paraId="3222480E">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1、开发区内企业废水必须实现全收集、全处理。 2、排入开发区集中污水处理厂的企业废水执行相关行业标准，并同时满足符合集中处理设施的接纳标准。集中污水处理厂尾水排放必须满足《河南省黄河流域水污染物排放标准》（DB41/2087-2021）的要求达标排放。 3、对于国家排放标准中已规定大气污染物特别排放限值的行业及锅炉，应执行大气污染物特别排放限值。河南省出台更严格排放标准的，应按照河南省有关规定执行。 4、禁止销售、使用煤等高污染燃料，现有使用高污染燃料的单位和个人，应当按照市、县（市）人民政府规定的期限改用清洁能源或拆除使用高污染燃料的设施。 5、新建“两高”项目应按照《关于加强重点行业建设项目区域削减措施监督管理的通知》要求，依据区域环境质量改善目标，制定配套区域污染物削减方案，采取有效的污染物区域削减措施，腾出足够的环境容量。已出台超低排放要求的</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两高</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行业建设项目应满足超低排放要求。 6、新建耗煤项目还应严格按规定采取煤炭消费减量替代措施，不得使用高污染燃料作为煤炭减量替代措施。 7、化工园区应按照分类收集、分质处理的要求，配备专业化工生产废水集中处理设施（独立建设或依托骨干企业）及专管或明管输送的配套管网，园区内废水做到应纳尽纳、集中处理和达标排放。</w:t>
                  </w:r>
                </w:p>
              </w:tc>
              <w:tc>
                <w:tcPr>
                  <w:tcW w:w="1276" w:type="dxa"/>
                  <w:noWrap w:val="0"/>
                  <w:vAlign w:val="center"/>
                </w:tcPr>
                <w:p w14:paraId="7DFCCD80">
                  <w:pPr>
                    <w:pStyle w:val="34"/>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1、本项目位于滑县产业集聚区污水处理厂收水范围内，周边污水管网已铺设</w:t>
                  </w:r>
                  <w:r>
                    <w:rPr>
                      <w:rFonts w:hint="eastAsia" w:ascii="Times New Roman" w:hAnsi="Times New Roman" w:cs="Times New Roman"/>
                      <w:color w:val="auto"/>
                      <w:szCs w:val="21"/>
                      <w:lang w:eastAsia="zh-CN"/>
                    </w:rPr>
                    <w:t>。</w:t>
                  </w:r>
                </w:p>
                <w:p w14:paraId="45E580BD">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r>
                    <w:rPr>
                      <w:rFonts w:hint="default" w:ascii="Times New Roman" w:hAnsi="Times New Roman" w:eastAsia="宋体" w:cs="Times New Roman"/>
                      <w:bCs/>
                      <w:color w:val="auto"/>
                      <w:szCs w:val="21"/>
                    </w:rPr>
                    <w:t>本项目</w:t>
                  </w:r>
                  <w:r>
                    <w:rPr>
                      <w:rFonts w:hint="default" w:ascii="Times New Roman" w:hAnsi="Times New Roman" w:eastAsia="宋体" w:cs="Times New Roman"/>
                      <w:bCs/>
                      <w:color w:val="000000"/>
                      <w:szCs w:val="21"/>
                      <w:lang w:eastAsia="zh-CN"/>
                    </w:rPr>
                    <w:t>废水经</w:t>
                  </w:r>
                  <w:r>
                    <w:rPr>
                      <w:rFonts w:hint="default"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化粪池+一体化污水处理设施</w:t>
                  </w:r>
                  <w:r>
                    <w:rPr>
                      <w:rFonts w:hint="eastAsia"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处理后，</w:t>
                  </w:r>
                  <w:r>
                    <w:rPr>
                      <w:rFonts w:hint="default" w:ascii="Times New Roman" w:hAnsi="Times New Roman" w:cs="Times New Roman"/>
                      <w:color w:val="auto"/>
                      <w:kern w:val="2"/>
                      <w:sz w:val="21"/>
                      <w:szCs w:val="21"/>
                      <w:highlight w:val="none"/>
                      <w:vertAlign w:val="baseline"/>
                      <w:lang w:val="en-US" w:eastAsia="zh-CN" w:bidi="zh-CN"/>
                    </w:rPr>
                    <w:t>经市政管网排入滑县产业集聚区污水处理厂，</w:t>
                  </w:r>
                  <w:r>
                    <w:rPr>
                      <w:rFonts w:hint="default" w:ascii="Times New Roman" w:hAnsi="Times New Roman" w:eastAsia="宋体" w:cs="Times New Roman"/>
                      <w:color w:val="auto"/>
                      <w:szCs w:val="21"/>
                    </w:rPr>
                    <w:t>符合集中处理设施的接纳标准。集中污水处理厂尾水排放</w:t>
                  </w:r>
                  <w:r>
                    <w:rPr>
                      <w:rFonts w:hint="eastAsia" w:ascii="Times New Roman" w:hAnsi="Times New Roman" w:cs="Times New Roman"/>
                      <w:color w:val="auto"/>
                      <w:szCs w:val="21"/>
                      <w:lang w:val="en-US" w:eastAsia="zh-CN"/>
                    </w:rPr>
                    <w:t>，</w:t>
                  </w:r>
                  <w:r>
                    <w:rPr>
                      <w:rFonts w:hint="default" w:ascii="Times New Roman" w:hAnsi="Times New Roman" w:eastAsia="宋体" w:cs="Times New Roman"/>
                      <w:color w:val="auto"/>
                      <w:szCs w:val="21"/>
                    </w:rPr>
                    <w:t>满足《河南省黄河流域水污染物排放标准》（DB41/2087-2021）的要求达标排放.。3、项目执行大气污染物特别排放限值及</w:t>
                  </w:r>
                  <w:r>
                    <w:rPr>
                      <w:rFonts w:hint="default" w:ascii="Times New Roman" w:hAnsi="Times New Roman" w:eastAsia="宋体" w:cs="Times New Roman"/>
                      <w:color w:val="auto"/>
                      <w:szCs w:val="21"/>
                      <w:lang w:eastAsia="zh-CN"/>
                    </w:rPr>
                    <w:t>安阳市</w:t>
                  </w:r>
                  <w:r>
                    <w:rPr>
                      <w:rFonts w:hint="default" w:ascii="Times New Roman" w:hAnsi="Times New Roman" w:eastAsia="宋体" w:cs="Times New Roman"/>
                      <w:color w:val="auto"/>
                      <w:szCs w:val="21"/>
                    </w:rPr>
                    <w:t>出台的更严格的排放标准。</w:t>
                  </w:r>
                </w:p>
                <w:p w14:paraId="60CECCD5">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4、不涉及。</w:t>
                  </w:r>
                </w:p>
                <w:p w14:paraId="508EC0AF">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5、本项目不属于“两高”项目。</w:t>
                  </w:r>
                </w:p>
                <w:p w14:paraId="7E755339">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6.不涉及。</w:t>
                  </w:r>
                </w:p>
                <w:p w14:paraId="6D4E9D8F">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r>
                    <w:rPr>
                      <w:rFonts w:hint="default" w:ascii="Times New Roman" w:hAnsi="Times New Roman" w:eastAsia="宋体" w:cs="Times New Roman"/>
                      <w:bCs/>
                      <w:color w:val="auto"/>
                      <w:szCs w:val="21"/>
                    </w:rPr>
                    <w:t>本项目</w:t>
                  </w:r>
                  <w:r>
                    <w:rPr>
                      <w:rFonts w:hint="default" w:ascii="Times New Roman" w:hAnsi="Times New Roman" w:eastAsia="宋体" w:cs="Times New Roman"/>
                      <w:bCs/>
                      <w:color w:val="000000"/>
                      <w:szCs w:val="21"/>
                      <w:lang w:eastAsia="zh-CN"/>
                    </w:rPr>
                    <w:t>废水经</w:t>
                  </w:r>
                  <w:r>
                    <w:rPr>
                      <w:rFonts w:hint="default"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化粪池+一体化污水处理设施</w:t>
                  </w:r>
                  <w:r>
                    <w:rPr>
                      <w:rFonts w:hint="eastAsia"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处理后，</w:t>
                  </w:r>
                  <w:r>
                    <w:rPr>
                      <w:rFonts w:hint="default" w:ascii="Times New Roman" w:hAnsi="Times New Roman" w:cs="Times New Roman"/>
                      <w:color w:val="auto"/>
                      <w:kern w:val="2"/>
                      <w:sz w:val="21"/>
                      <w:szCs w:val="21"/>
                      <w:highlight w:val="none"/>
                      <w:vertAlign w:val="baseline"/>
                      <w:lang w:val="en-US" w:eastAsia="zh-CN" w:bidi="zh-CN"/>
                    </w:rPr>
                    <w:t>经市政管网排入滑县产业集聚区污水处理厂，集中处理、达标排放。</w:t>
                  </w:r>
                </w:p>
              </w:tc>
              <w:tc>
                <w:tcPr>
                  <w:tcW w:w="799" w:type="dxa"/>
                  <w:noWrap w:val="0"/>
                  <w:vAlign w:val="center"/>
                </w:tcPr>
                <w:p w14:paraId="4181BBEE">
                  <w:pPr>
                    <w:pStyle w:val="1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8E4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3" w:type="dxa"/>
                  <w:vMerge w:val="continue"/>
                  <w:noWrap w:val="0"/>
                  <w:vAlign w:val="center"/>
                </w:tcPr>
                <w:p w14:paraId="4226864B">
                  <w:pPr>
                    <w:pStyle w:val="34"/>
                    <w:jc w:val="center"/>
                    <w:rPr>
                      <w:rFonts w:hint="default" w:ascii="Times New Roman" w:hAnsi="Times New Roman" w:eastAsia="宋体" w:cs="Times New Roman"/>
                      <w:color w:val="auto"/>
                      <w:szCs w:val="21"/>
                    </w:rPr>
                  </w:pPr>
                </w:p>
              </w:tc>
              <w:tc>
                <w:tcPr>
                  <w:tcW w:w="326" w:type="dxa"/>
                  <w:vMerge w:val="continue"/>
                  <w:noWrap w:val="0"/>
                  <w:vAlign w:val="center"/>
                </w:tcPr>
                <w:p w14:paraId="7DCF2CC1">
                  <w:pPr>
                    <w:pStyle w:val="34"/>
                    <w:jc w:val="center"/>
                    <w:rPr>
                      <w:rFonts w:hint="default" w:ascii="Times New Roman" w:hAnsi="Times New Roman" w:eastAsia="宋体" w:cs="Times New Roman"/>
                      <w:color w:val="auto"/>
                      <w:szCs w:val="21"/>
                    </w:rPr>
                  </w:pPr>
                </w:p>
              </w:tc>
              <w:tc>
                <w:tcPr>
                  <w:tcW w:w="279" w:type="dxa"/>
                  <w:vMerge w:val="continue"/>
                  <w:noWrap w:val="0"/>
                  <w:vAlign w:val="center"/>
                </w:tcPr>
                <w:p w14:paraId="1E4FF081">
                  <w:pPr>
                    <w:pStyle w:val="34"/>
                    <w:jc w:val="center"/>
                    <w:rPr>
                      <w:rFonts w:hint="default" w:ascii="Times New Roman" w:hAnsi="Times New Roman" w:eastAsia="宋体" w:cs="Times New Roman"/>
                      <w:color w:val="auto"/>
                      <w:szCs w:val="21"/>
                    </w:rPr>
                  </w:pPr>
                </w:p>
              </w:tc>
              <w:tc>
                <w:tcPr>
                  <w:tcW w:w="279" w:type="dxa"/>
                  <w:vMerge w:val="continue"/>
                  <w:noWrap w:val="0"/>
                  <w:vAlign w:val="center"/>
                </w:tcPr>
                <w:p w14:paraId="3AC61DCF">
                  <w:pPr>
                    <w:pStyle w:val="34"/>
                    <w:jc w:val="center"/>
                    <w:rPr>
                      <w:rFonts w:hint="default" w:ascii="Times New Roman" w:hAnsi="Times New Roman" w:eastAsia="宋体" w:cs="Times New Roman"/>
                      <w:color w:val="auto"/>
                      <w:szCs w:val="21"/>
                    </w:rPr>
                  </w:pPr>
                </w:p>
              </w:tc>
              <w:tc>
                <w:tcPr>
                  <w:tcW w:w="253" w:type="dxa"/>
                  <w:vMerge w:val="continue"/>
                  <w:noWrap w:val="0"/>
                  <w:vAlign w:val="center"/>
                </w:tcPr>
                <w:p w14:paraId="5D1E3A78">
                  <w:pPr>
                    <w:pStyle w:val="34"/>
                    <w:jc w:val="center"/>
                    <w:rPr>
                      <w:rFonts w:hint="default" w:ascii="Times New Roman" w:hAnsi="Times New Roman" w:eastAsia="宋体" w:cs="Times New Roman"/>
                      <w:color w:val="auto"/>
                      <w:szCs w:val="21"/>
                    </w:rPr>
                  </w:pPr>
                </w:p>
              </w:tc>
              <w:tc>
                <w:tcPr>
                  <w:tcW w:w="262" w:type="dxa"/>
                  <w:noWrap w:val="0"/>
                  <w:vAlign w:val="center"/>
                </w:tcPr>
                <w:p w14:paraId="252D4BB6">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环境风险防控</w:t>
                  </w:r>
                </w:p>
              </w:tc>
              <w:tc>
                <w:tcPr>
                  <w:tcW w:w="4550" w:type="dxa"/>
                  <w:noWrap w:val="0"/>
                  <w:vAlign w:val="center"/>
                </w:tcPr>
                <w:p w14:paraId="6DD7F6CD">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对土壤重点监管单位企业在拆除生产设施设备、污染治理设施时，要事先制定残留污染物清理和安全处置方案。</w:t>
                  </w:r>
                </w:p>
              </w:tc>
              <w:tc>
                <w:tcPr>
                  <w:tcW w:w="1276" w:type="dxa"/>
                  <w:noWrap w:val="0"/>
                  <w:vAlign w:val="center"/>
                </w:tcPr>
                <w:p w14:paraId="30DCBB22">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不涉及</w:t>
                  </w:r>
                </w:p>
              </w:tc>
              <w:tc>
                <w:tcPr>
                  <w:tcW w:w="799" w:type="dxa"/>
                  <w:noWrap w:val="0"/>
                  <w:vAlign w:val="center"/>
                </w:tcPr>
                <w:p w14:paraId="1BAF92EB">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797C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3" w:type="dxa"/>
                  <w:vMerge w:val="continue"/>
                  <w:noWrap w:val="0"/>
                  <w:vAlign w:val="center"/>
                </w:tcPr>
                <w:p w14:paraId="5661FDAD">
                  <w:pPr>
                    <w:pStyle w:val="34"/>
                    <w:jc w:val="center"/>
                    <w:rPr>
                      <w:rFonts w:hint="default" w:ascii="Times New Roman" w:hAnsi="Times New Roman" w:eastAsia="宋体" w:cs="Times New Roman"/>
                      <w:color w:val="auto"/>
                      <w:szCs w:val="21"/>
                    </w:rPr>
                  </w:pPr>
                </w:p>
              </w:tc>
              <w:tc>
                <w:tcPr>
                  <w:tcW w:w="326" w:type="dxa"/>
                  <w:vMerge w:val="continue"/>
                  <w:noWrap w:val="0"/>
                  <w:vAlign w:val="center"/>
                </w:tcPr>
                <w:p w14:paraId="5FF9C448">
                  <w:pPr>
                    <w:pStyle w:val="34"/>
                    <w:jc w:val="center"/>
                    <w:rPr>
                      <w:rFonts w:hint="default" w:ascii="Times New Roman" w:hAnsi="Times New Roman" w:eastAsia="宋体" w:cs="Times New Roman"/>
                      <w:color w:val="auto"/>
                      <w:szCs w:val="21"/>
                    </w:rPr>
                  </w:pPr>
                </w:p>
              </w:tc>
              <w:tc>
                <w:tcPr>
                  <w:tcW w:w="279" w:type="dxa"/>
                  <w:vMerge w:val="continue"/>
                  <w:noWrap w:val="0"/>
                  <w:vAlign w:val="center"/>
                </w:tcPr>
                <w:p w14:paraId="2A92F0BF">
                  <w:pPr>
                    <w:pStyle w:val="34"/>
                    <w:jc w:val="center"/>
                    <w:rPr>
                      <w:rFonts w:hint="default" w:ascii="Times New Roman" w:hAnsi="Times New Roman" w:eastAsia="宋体" w:cs="Times New Roman"/>
                      <w:color w:val="auto"/>
                      <w:szCs w:val="21"/>
                    </w:rPr>
                  </w:pPr>
                </w:p>
              </w:tc>
              <w:tc>
                <w:tcPr>
                  <w:tcW w:w="279" w:type="dxa"/>
                  <w:vMerge w:val="continue"/>
                  <w:noWrap w:val="0"/>
                  <w:vAlign w:val="center"/>
                </w:tcPr>
                <w:p w14:paraId="769E5CD7">
                  <w:pPr>
                    <w:pStyle w:val="34"/>
                    <w:jc w:val="center"/>
                    <w:rPr>
                      <w:rFonts w:hint="default" w:ascii="Times New Roman" w:hAnsi="Times New Roman" w:eastAsia="宋体" w:cs="Times New Roman"/>
                      <w:color w:val="auto"/>
                      <w:szCs w:val="21"/>
                    </w:rPr>
                  </w:pPr>
                </w:p>
              </w:tc>
              <w:tc>
                <w:tcPr>
                  <w:tcW w:w="253" w:type="dxa"/>
                  <w:vMerge w:val="continue"/>
                  <w:noWrap w:val="0"/>
                  <w:vAlign w:val="center"/>
                </w:tcPr>
                <w:p w14:paraId="3B49FF63">
                  <w:pPr>
                    <w:pStyle w:val="34"/>
                    <w:jc w:val="center"/>
                    <w:rPr>
                      <w:rFonts w:hint="default" w:ascii="Times New Roman" w:hAnsi="Times New Roman" w:eastAsia="宋体" w:cs="Times New Roman"/>
                      <w:color w:val="auto"/>
                      <w:szCs w:val="21"/>
                    </w:rPr>
                  </w:pPr>
                </w:p>
              </w:tc>
              <w:tc>
                <w:tcPr>
                  <w:tcW w:w="262" w:type="dxa"/>
                  <w:noWrap w:val="0"/>
                  <w:vAlign w:val="center"/>
                </w:tcPr>
                <w:p w14:paraId="4C5BA9ED">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资源开发效率要求</w:t>
                  </w:r>
                </w:p>
              </w:tc>
              <w:tc>
                <w:tcPr>
                  <w:tcW w:w="4550" w:type="dxa"/>
                  <w:noWrap w:val="0"/>
                  <w:vAlign w:val="center"/>
                </w:tcPr>
                <w:p w14:paraId="08762BD7">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依托开发区污水处理厂建设再生水回用配套设施，提高再生水利用率。</w:t>
                  </w:r>
                </w:p>
              </w:tc>
              <w:tc>
                <w:tcPr>
                  <w:tcW w:w="1276" w:type="dxa"/>
                  <w:noWrap w:val="0"/>
                  <w:vAlign w:val="center"/>
                </w:tcPr>
                <w:p w14:paraId="5170FBEF">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不涉及</w:t>
                  </w:r>
                </w:p>
              </w:tc>
              <w:tc>
                <w:tcPr>
                  <w:tcW w:w="799" w:type="dxa"/>
                  <w:noWrap w:val="0"/>
                  <w:vAlign w:val="center"/>
                </w:tcPr>
                <w:p w14:paraId="6633A333">
                  <w:pPr>
                    <w:pStyle w:val="3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bl>
          <w:p w14:paraId="5580EA99">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综上，本项目符合</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三线一单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kern w:val="0"/>
                <w:sz w:val="24"/>
              </w:rPr>
              <w:t>的管理要求。</w:t>
            </w:r>
          </w:p>
          <w:p w14:paraId="5BFA1CA0">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、与《河南省重污染天气通用行业应急减排措施制定技术指南（202</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lang w:eastAsia="zh-CN"/>
              </w:rPr>
              <w:t>年修订版）》相符性分析</w:t>
            </w:r>
          </w:p>
          <w:p w14:paraId="4A287C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根据《河南省重污染天气通用行业应急减排措施制定技术指南》（202</w:t>
            </w:r>
            <w:r>
              <w:rPr>
                <w:rFonts w:hint="default" w:ascii="Times New Roman" w:hAnsi="Times New Roman" w:cs="Times New Roman"/>
                <w:color w:val="auto"/>
                <w:sz w:val="24"/>
                <w:lang w:val="en-US" w:eastAsia="zh-CN"/>
              </w:rPr>
              <w:t>4</w:t>
            </w:r>
          </w:p>
          <w:p w14:paraId="3481651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 xml:space="preserve">年修订版），对食品制造、造纸和纸制品等未纳入国家和省级重点行业的涉气企业，但企业具有锅炉/炉窑等设施，要纳入通用行业实施绩效分级差异化管控措施。本项目为食品加工项目，不涉及锅炉，生产过程产生颗粒物，因此纳入通用行业绩效分级，项目与通用行业中涉颗粒物企业基本要求相符性分析见下表 </w:t>
            </w:r>
            <w:r>
              <w:rPr>
                <w:rFonts w:hint="default"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lang w:eastAsia="zh-CN"/>
              </w:rPr>
              <w:t>。</w:t>
            </w:r>
          </w:p>
          <w:p w14:paraId="5AD29467">
            <w:pPr>
              <w:spacing w:line="360" w:lineRule="auto"/>
              <w:ind w:firstLine="480" w:firstLineChars="20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 xml:space="preserve">1-2 </w:t>
            </w:r>
            <w:r>
              <w:rPr>
                <w:rFonts w:hint="default" w:ascii="Times New Roman" w:hAnsi="Times New Roman" w:eastAsia="宋体" w:cs="Times New Roman"/>
                <w:color w:val="auto"/>
                <w:sz w:val="24"/>
                <w:lang w:eastAsia="zh-CN"/>
              </w:rPr>
              <w:t>本项目与</w:t>
            </w:r>
            <w:r>
              <w:rPr>
                <w:rFonts w:hint="default" w:ascii="Times New Roman" w:hAnsi="Times New Roman" w:cs="Times New Roman"/>
                <w:color w:val="auto"/>
                <w:sz w:val="24"/>
                <w:lang w:eastAsia="zh-CN"/>
              </w:rPr>
              <w:t>通用涉</w:t>
            </w:r>
            <w:r>
              <w:rPr>
                <w:rFonts w:hint="default" w:ascii="Times New Roman" w:hAnsi="Times New Roman" w:cs="Times New Roman"/>
                <w:color w:val="auto"/>
                <w:sz w:val="24"/>
                <w:lang w:val="en-US" w:eastAsia="zh-CN"/>
              </w:rPr>
              <w:t>PM企业绩效引领性</w:t>
            </w:r>
            <w:r>
              <w:rPr>
                <w:rFonts w:hint="default" w:ascii="Times New Roman" w:hAnsi="Times New Roman" w:cs="Times New Roman"/>
                <w:color w:val="auto"/>
                <w:sz w:val="24"/>
                <w:lang w:eastAsia="zh-CN"/>
              </w:rPr>
              <w:t>性指标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496"/>
              <w:gridCol w:w="3523"/>
              <w:gridCol w:w="2550"/>
              <w:gridCol w:w="978"/>
            </w:tblGrid>
            <w:tr w14:paraId="109B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75BFC0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 xml:space="preserve">引领性指标 </w:t>
                  </w:r>
                </w:p>
              </w:tc>
              <w:tc>
                <w:tcPr>
                  <w:tcW w:w="0" w:type="auto"/>
                  <w:vAlign w:val="center"/>
                </w:tcPr>
                <w:p w14:paraId="7C9F57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通用涉</w:t>
                  </w:r>
                  <w:r>
                    <w:rPr>
                      <w:rFonts w:hint="default" w:ascii="Times New Roman" w:hAnsi="Times New Roman" w:cs="Times New Roman"/>
                      <w:color w:val="auto"/>
                      <w:sz w:val="21"/>
                      <w:szCs w:val="21"/>
                      <w:vertAlign w:val="baseline"/>
                      <w:lang w:val="en-US" w:eastAsia="zh-CN"/>
                    </w:rPr>
                    <w:t>PM企业</w:t>
                  </w:r>
                </w:p>
              </w:tc>
              <w:tc>
                <w:tcPr>
                  <w:tcW w:w="2551" w:type="dxa"/>
                  <w:vAlign w:val="center"/>
                </w:tcPr>
                <w:p w14:paraId="439796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本项目建设情况</w:t>
                  </w:r>
                </w:p>
              </w:tc>
              <w:tc>
                <w:tcPr>
                  <w:tcW w:w="978" w:type="dxa"/>
                  <w:vAlign w:val="center"/>
                </w:tcPr>
                <w:p w14:paraId="5DB708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相符性分析</w:t>
                  </w:r>
                </w:p>
              </w:tc>
            </w:tr>
            <w:tr w14:paraId="3FE3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7360D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生产工艺和装备</w:t>
                  </w:r>
                </w:p>
              </w:tc>
              <w:tc>
                <w:tcPr>
                  <w:tcW w:w="0" w:type="auto"/>
                  <w:vAlign w:val="center"/>
                </w:tcPr>
                <w:p w14:paraId="47E99E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不属于《产业结构调整指导目录（2024 年版）》淘汰类，不属于省级和市级政府部门明确列入已经限期淘汰类项目。</w:t>
                  </w:r>
                </w:p>
              </w:tc>
              <w:tc>
                <w:tcPr>
                  <w:tcW w:w="2551" w:type="dxa"/>
                  <w:vAlign w:val="center"/>
                </w:tcPr>
                <w:p w14:paraId="4962B4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本项目</w:t>
                  </w:r>
                  <w:r>
                    <w:rPr>
                      <w:rFonts w:hint="default" w:ascii="Times New Roman" w:hAnsi="Times New Roman" w:eastAsia="宋体" w:cs="Times New Roman"/>
                      <w:color w:val="auto"/>
                      <w:sz w:val="21"/>
                      <w:szCs w:val="21"/>
                      <w:vertAlign w:val="baseline"/>
                      <w:lang w:eastAsia="zh-CN"/>
                    </w:rPr>
                    <w:t>不属于《产业结构调整指导目录（2024 年版）》淘汰类，不属于省级和市级政府部门明确列入已经限期淘汰类项目。</w:t>
                  </w:r>
                </w:p>
              </w:tc>
              <w:tc>
                <w:tcPr>
                  <w:tcW w:w="978" w:type="dxa"/>
                  <w:vAlign w:val="center"/>
                </w:tcPr>
                <w:p w14:paraId="2672CB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056D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0AA941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物料卸载</w:t>
                  </w:r>
                </w:p>
              </w:tc>
              <w:tc>
                <w:tcPr>
                  <w:tcW w:w="0" w:type="auto"/>
                  <w:vAlign w:val="center"/>
                </w:tcPr>
                <w:p w14:paraId="6D23A5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1.车辆运输的物料应采取封闭措施。粉状、粒状、块状散装物料在封闭料场内装卸，装卸过程中产尘点应设置集气</w:t>
                  </w:r>
                </w:p>
                <w:p w14:paraId="42340D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除尘装置，料堆应采取有效抑尘措施；</w:t>
                  </w:r>
                </w:p>
                <w:p w14:paraId="79B6D3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2.不易产尘的袋装物料宜在料棚中装卸，如需露天装卸应采取防止破袋及粉尘外逸措施。</w:t>
                  </w:r>
                </w:p>
              </w:tc>
              <w:tc>
                <w:tcPr>
                  <w:tcW w:w="2551" w:type="dxa"/>
                  <w:vAlign w:val="center"/>
                </w:tcPr>
                <w:p w14:paraId="251267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本项目设置密闭的原料库，物料装卸、堆存均在密闭原料中进行</w:t>
                  </w:r>
                  <w:r>
                    <w:rPr>
                      <w:rFonts w:hint="default" w:ascii="Times New Roman" w:hAnsi="Times New Roman" w:cs="Times New Roman"/>
                      <w:color w:val="auto"/>
                      <w:sz w:val="21"/>
                      <w:szCs w:val="21"/>
                      <w:vertAlign w:val="baseline"/>
                      <w:lang w:eastAsia="zh-CN"/>
                    </w:rPr>
                    <w:t>。</w:t>
                  </w:r>
                </w:p>
              </w:tc>
              <w:tc>
                <w:tcPr>
                  <w:tcW w:w="978" w:type="dxa"/>
                  <w:vAlign w:val="center"/>
                </w:tcPr>
                <w:p w14:paraId="69B9A8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0F01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16FC8A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物料储存</w:t>
                  </w:r>
                </w:p>
              </w:tc>
              <w:tc>
                <w:tcPr>
                  <w:tcW w:w="0" w:type="auto"/>
                  <w:vAlign w:val="center"/>
                </w:tcPr>
                <w:p w14:paraId="6AB2E80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1.一般物料。粉状物料应储存于密闭/封闭料仓中；粒状、块状物料应储存于封闭料场中，并采取喷淋、清扫或其他</w:t>
                  </w:r>
                </w:p>
                <w:p w14:paraId="6418EDD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有效抑尘措施；袋装物料应储存于封闭/半封闭料场中。封闭料场顶棚和四周围墙完整，料场内地面全部硬化，料场</w:t>
                  </w:r>
                </w:p>
                <w:p w14:paraId="2A5C288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货物进出大门为硬质材料门或自动感应门，在确保安全的情况下，所有门窗保持常闭状态。不产尘物料（如钢材、</w:t>
                  </w:r>
                </w:p>
                <w:p w14:paraId="32A1581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管件）及产品如露天储存应在规定的存储区域码放整齐；</w:t>
                  </w:r>
                </w:p>
                <w:p w14:paraId="429A35D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2.危险废物。应有符合规范要求的危险废物储存间，危险废物储存间门口应张贴标准规范的危险废物标识和危废信</w:t>
                  </w:r>
                </w:p>
                <w:p w14:paraId="01CF376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息板，建立台账并挂于危废间内，危险废物管理台账和危险废物转移情况信息表保存 5 年以上。危废间内禁止存放</w:t>
                  </w:r>
                </w:p>
                <w:p w14:paraId="30F5DE3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除危险废物和应急工具外的其他物品。涉大气污染物排放的，应设置对应污染治理设施。</w:t>
                  </w:r>
                </w:p>
              </w:tc>
              <w:tc>
                <w:tcPr>
                  <w:tcW w:w="2551" w:type="dxa"/>
                  <w:vAlign w:val="center"/>
                </w:tcPr>
                <w:p w14:paraId="685F0D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本项目粉状物料均储存在密闭原料库内，原料库门窗均为常闭状态</w:t>
                  </w:r>
                  <w:r>
                    <w:rPr>
                      <w:rFonts w:hint="default" w:ascii="Times New Roman" w:hAnsi="Times New Roman" w:cs="Times New Roman"/>
                      <w:color w:val="auto"/>
                      <w:sz w:val="21"/>
                      <w:szCs w:val="21"/>
                      <w:vertAlign w:val="baseline"/>
                      <w:lang w:eastAsia="zh-CN"/>
                    </w:rPr>
                    <w:t>。</w:t>
                  </w:r>
                </w:p>
                <w:p w14:paraId="449705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p w14:paraId="0105F6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tc>
              <w:tc>
                <w:tcPr>
                  <w:tcW w:w="978" w:type="dxa"/>
                  <w:vAlign w:val="center"/>
                </w:tcPr>
                <w:p w14:paraId="1735D9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5EDD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35265C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物料转移</w:t>
                  </w:r>
                </w:p>
                <w:p w14:paraId="765009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和输送</w:t>
                  </w:r>
                </w:p>
              </w:tc>
              <w:tc>
                <w:tcPr>
                  <w:tcW w:w="0" w:type="auto"/>
                  <w:vAlign w:val="center"/>
                </w:tcPr>
                <w:p w14:paraId="2939C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eastAsia="zh-CN"/>
                    </w:rPr>
                    <w:t>1.粉状、粒状等易产尘物料厂内转移、输送过程应采用气力输送、密闭输送，块状和粘湿粉状物料采用封闭输送；</w:t>
                  </w:r>
                </w:p>
                <w:p w14:paraId="621CCB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2.无法封闭的产尘点（物料转载、下料口等）应采取集气除尘措施，或有效抑尘措施。</w:t>
                  </w:r>
                </w:p>
              </w:tc>
              <w:tc>
                <w:tcPr>
                  <w:tcW w:w="2551" w:type="dxa"/>
                  <w:vAlign w:val="center"/>
                </w:tcPr>
                <w:p w14:paraId="1138E0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本项目物料在厂区内运转采用密闭廊道输送</w:t>
                  </w:r>
                  <w:r>
                    <w:rPr>
                      <w:rFonts w:hint="default" w:ascii="Times New Roman" w:hAnsi="Times New Roman" w:cs="Times New Roman"/>
                      <w:color w:val="auto"/>
                      <w:sz w:val="21"/>
                      <w:szCs w:val="21"/>
                      <w:vertAlign w:val="baseline"/>
                      <w:lang w:eastAsia="zh-CN"/>
                    </w:rPr>
                    <w:t>。</w:t>
                  </w:r>
                </w:p>
              </w:tc>
              <w:tc>
                <w:tcPr>
                  <w:tcW w:w="978" w:type="dxa"/>
                  <w:vAlign w:val="center"/>
                </w:tcPr>
                <w:p w14:paraId="6996B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754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trPr>
              <w:tc>
                <w:tcPr>
                  <w:tcW w:w="0" w:type="auto"/>
                  <w:gridSpan w:val="2"/>
                  <w:vAlign w:val="center"/>
                </w:tcPr>
                <w:p w14:paraId="301024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工艺过程</w:t>
                  </w:r>
                </w:p>
              </w:tc>
              <w:tc>
                <w:tcPr>
                  <w:tcW w:w="0" w:type="auto"/>
                  <w:vAlign w:val="center"/>
                </w:tcPr>
                <w:p w14:paraId="6937B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1.各种物料破碎、筛分、配料、混料等过程应在封闭厂房内进行，并采取收尘/抑尘措施；</w:t>
                  </w:r>
                </w:p>
                <w:p w14:paraId="35C989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 xml:space="preserve">2.破碎筛分设备在进、出料口和配料混料过程等产尘点应设置集气除尘设施。 </w:t>
                  </w:r>
                </w:p>
              </w:tc>
              <w:tc>
                <w:tcPr>
                  <w:tcW w:w="2551" w:type="dxa"/>
                  <w:vAlign w:val="center"/>
                </w:tcPr>
                <w:p w14:paraId="0775D9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本项目卸料口采用密闭卸料口。</w:t>
                  </w:r>
                </w:p>
                <w:p w14:paraId="56942D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本项目淀粉制品投料工序置于封闭车间内，并对投料工序进行二次密闭，在密闭间上 方设置集气罩，粉尘经集气罩收集后经袋式 除尘器处理达标后排放。</w:t>
                  </w:r>
                </w:p>
                <w:p w14:paraId="4F89CA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tc>
              <w:tc>
                <w:tcPr>
                  <w:tcW w:w="978" w:type="dxa"/>
                  <w:vAlign w:val="center"/>
                </w:tcPr>
                <w:p w14:paraId="4EDF3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6F6C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44DB76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成品包装</w:t>
                  </w:r>
                </w:p>
                <w:p w14:paraId="267D17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tc>
              <w:tc>
                <w:tcPr>
                  <w:tcW w:w="0" w:type="auto"/>
                  <w:vAlign w:val="center"/>
                </w:tcPr>
                <w:p w14:paraId="79B1FD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1.粉状、粒状产品包装卸料口应完全封闭，如不能封闭应采取局部集气除尘措施。卸料口地面应及时清扫，地面无明显积尘；</w:t>
                  </w:r>
                </w:p>
                <w:p w14:paraId="6F781D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2.各生产工序的车间地面干净，无积料、积灰现象；</w:t>
                  </w:r>
                </w:p>
                <w:p w14:paraId="712C12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3.生产车间不得有可见烟（粉）尘外逸。</w:t>
                  </w:r>
                </w:p>
              </w:tc>
              <w:tc>
                <w:tcPr>
                  <w:tcW w:w="2551" w:type="dxa"/>
                  <w:vAlign w:val="center"/>
                </w:tcPr>
                <w:p w14:paraId="68D423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w:t>
                  </w:r>
                  <w:r>
                    <w:rPr>
                      <w:rFonts w:hint="default" w:ascii="Times New Roman" w:hAnsi="Times New Roman" w:cs="Times New Roman"/>
                      <w:color w:val="auto"/>
                      <w:sz w:val="21"/>
                      <w:szCs w:val="21"/>
                      <w:vertAlign w:val="baseline"/>
                      <w:lang w:eastAsia="zh-CN"/>
                    </w:rPr>
                    <w:t>本项目粉状、粒装</w:t>
                  </w:r>
                  <w:r>
                    <w:rPr>
                      <w:rFonts w:hint="default" w:ascii="Times New Roman" w:hAnsi="Times New Roman" w:eastAsia="宋体" w:cs="Times New Roman"/>
                      <w:color w:val="auto"/>
                      <w:sz w:val="21"/>
                      <w:szCs w:val="21"/>
                      <w:vertAlign w:val="baseline"/>
                      <w:lang w:eastAsia="zh-CN"/>
                    </w:rPr>
                    <w:t>产品包装卸料口完全封闭。卸料口地面应及时清扫，地面无明显积尘；</w:t>
                  </w:r>
                </w:p>
                <w:p w14:paraId="739C7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w:t>
                  </w:r>
                  <w:r>
                    <w:rPr>
                      <w:rFonts w:hint="default" w:ascii="Times New Roman" w:hAnsi="Times New Roman" w:cs="Times New Roman"/>
                      <w:color w:val="auto"/>
                      <w:sz w:val="21"/>
                      <w:szCs w:val="21"/>
                      <w:vertAlign w:val="baseline"/>
                      <w:lang w:eastAsia="zh-CN"/>
                    </w:rPr>
                    <w:t>本项目</w:t>
                  </w:r>
                  <w:r>
                    <w:rPr>
                      <w:rFonts w:hint="default" w:ascii="Times New Roman" w:hAnsi="Times New Roman" w:eastAsia="宋体" w:cs="Times New Roman"/>
                      <w:color w:val="auto"/>
                      <w:sz w:val="21"/>
                      <w:szCs w:val="21"/>
                      <w:vertAlign w:val="baseline"/>
                      <w:lang w:eastAsia="zh-CN"/>
                    </w:rPr>
                    <w:t>各生产工序的车间地面干净，无积料、积灰现象；</w:t>
                  </w:r>
                </w:p>
                <w:p w14:paraId="2BF61A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3.生产车间</w:t>
                  </w:r>
                  <w:r>
                    <w:rPr>
                      <w:rFonts w:hint="default" w:ascii="Times New Roman" w:hAnsi="Times New Roman" w:cs="Times New Roman"/>
                      <w:color w:val="auto"/>
                      <w:sz w:val="21"/>
                      <w:szCs w:val="21"/>
                      <w:vertAlign w:val="baseline"/>
                      <w:lang w:eastAsia="zh-CN"/>
                    </w:rPr>
                    <w:t>无</w:t>
                  </w:r>
                  <w:r>
                    <w:rPr>
                      <w:rFonts w:hint="default" w:ascii="Times New Roman" w:hAnsi="Times New Roman" w:eastAsia="宋体" w:cs="Times New Roman"/>
                      <w:color w:val="auto"/>
                      <w:sz w:val="21"/>
                      <w:szCs w:val="21"/>
                      <w:vertAlign w:val="baseline"/>
                      <w:lang w:eastAsia="zh-CN"/>
                    </w:rPr>
                    <w:t>可见烟（粉）尘外逸。</w:t>
                  </w:r>
                </w:p>
              </w:tc>
              <w:tc>
                <w:tcPr>
                  <w:tcW w:w="978" w:type="dxa"/>
                  <w:vAlign w:val="center"/>
                </w:tcPr>
                <w:p w14:paraId="6B713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79B5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70FE4F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 xml:space="preserve">排放限值 </w:t>
                  </w:r>
                </w:p>
              </w:tc>
              <w:tc>
                <w:tcPr>
                  <w:tcW w:w="0" w:type="auto"/>
                  <w:vAlign w:val="center"/>
                </w:tcPr>
                <w:p w14:paraId="47E60D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PM 排放限值不高于 10mg/m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vertAlign w:val="baseline"/>
                      <w:lang w:eastAsia="zh-CN"/>
                    </w:rPr>
                    <w:t>；其他污染物排放浓度达到相关污染物排放标准。</w:t>
                  </w:r>
                </w:p>
              </w:tc>
              <w:tc>
                <w:tcPr>
                  <w:tcW w:w="2551" w:type="dxa"/>
                  <w:vAlign w:val="center"/>
                </w:tcPr>
                <w:p w14:paraId="1CF062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本项目</w:t>
                  </w:r>
                  <w:r>
                    <w:rPr>
                      <w:rFonts w:hint="default" w:ascii="Times New Roman" w:hAnsi="Times New Roman" w:eastAsia="宋体" w:cs="Times New Roman"/>
                      <w:color w:val="auto"/>
                      <w:sz w:val="21"/>
                      <w:szCs w:val="21"/>
                      <w:vertAlign w:val="baseline"/>
                      <w:lang w:eastAsia="zh-CN"/>
                    </w:rPr>
                    <w:t>PM 排放限值不高于10mg/m</w:t>
                  </w:r>
                  <w:r>
                    <w:rPr>
                      <w:rFonts w:hint="default" w:ascii="Times New Roman" w:hAnsi="Times New Roman" w:eastAsia="宋体" w:cs="Times New Roman"/>
                      <w:color w:val="auto"/>
                      <w:sz w:val="21"/>
                      <w:szCs w:val="21"/>
                      <w:vertAlign w:val="superscript"/>
                      <w:lang w:eastAsia="zh-CN"/>
                    </w:rPr>
                    <w:t>3</w:t>
                  </w:r>
                </w:p>
              </w:tc>
              <w:tc>
                <w:tcPr>
                  <w:tcW w:w="978" w:type="dxa"/>
                  <w:vAlign w:val="center"/>
                </w:tcPr>
                <w:p w14:paraId="34B7D6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427D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48D096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无组织管控</w:t>
                  </w:r>
                </w:p>
                <w:p w14:paraId="38AC6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tc>
              <w:tc>
                <w:tcPr>
                  <w:tcW w:w="0" w:type="auto"/>
                  <w:vAlign w:val="center"/>
                </w:tcPr>
                <w:p w14:paraId="4C016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1.除尘器应设置密闭灰仓并及时卸灰，除尘灰应通过气力输送、罐车、吨包袋等封闭方式卸灰，不得直接卸落到地面；</w:t>
                  </w:r>
                </w:p>
                <w:p w14:paraId="6546B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2.除尘灰如果转运应采用气力输送、封闭传送带方式，如果直接外运应采用罐车或袋装后运输，并在装车过程中采取抑尘措施，除尘灰在厂区内应密闭/封闭储存；</w:t>
                  </w:r>
                </w:p>
                <w:p w14:paraId="7985D6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3.脱硫石膏和脱硫废渣等固体废物在厂区内应封闭储存，在转运过程中应采取封闭抑尘措施并应封闭储存。</w:t>
                  </w:r>
                </w:p>
              </w:tc>
              <w:tc>
                <w:tcPr>
                  <w:tcW w:w="2551" w:type="dxa"/>
                  <w:vAlign w:val="center"/>
                </w:tcPr>
                <w:p w14:paraId="03ED85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1.本项目</w:t>
                  </w:r>
                  <w:r>
                    <w:rPr>
                      <w:rFonts w:hint="default" w:ascii="Times New Roman" w:hAnsi="Times New Roman" w:eastAsia="宋体" w:cs="Times New Roman"/>
                      <w:color w:val="auto"/>
                      <w:sz w:val="21"/>
                      <w:szCs w:val="21"/>
                      <w:vertAlign w:val="baseline"/>
                      <w:lang w:eastAsia="zh-CN"/>
                    </w:rPr>
                    <w:t>除尘器设置密闭灰仓并及时卸灰，除尘灰应通过气力输送封闭方式卸灰</w:t>
                  </w:r>
                  <w:r>
                    <w:rPr>
                      <w:rFonts w:hint="default" w:ascii="Times New Roman" w:hAnsi="Times New Roman" w:cs="Times New Roman"/>
                      <w:color w:val="auto"/>
                      <w:sz w:val="21"/>
                      <w:szCs w:val="21"/>
                      <w:vertAlign w:val="baseline"/>
                      <w:lang w:eastAsia="zh-CN"/>
                    </w:rPr>
                    <w:t>。</w:t>
                  </w:r>
                </w:p>
                <w:p w14:paraId="0BE8E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eastAsia="zh-CN"/>
                    </w:rPr>
                    <w:t>除尘灰在厂区内应密闭/封闭储存；</w:t>
                  </w:r>
                </w:p>
                <w:p w14:paraId="58FC1B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3.本项目不涉及</w:t>
                  </w:r>
                  <w:r>
                    <w:rPr>
                      <w:rFonts w:hint="default" w:ascii="Times New Roman" w:hAnsi="Times New Roman" w:eastAsia="宋体" w:cs="Times New Roman"/>
                      <w:color w:val="auto"/>
                      <w:sz w:val="21"/>
                      <w:szCs w:val="21"/>
                      <w:vertAlign w:val="baseline"/>
                      <w:lang w:eastAsia="zh-CN"/>
                    </w:rPr>
                    <w:t>脱硫石膏和脱硫废渣等固体废物</w:t>
                  </w:r>
                </w:p>
              </w:tc>
              <w:tc>
                <w:tcPr>
                  <w:tcW w:w="978" w:type="dxa"/>
                  <w:vAlign w:val="center"/>
                </w:tcPr>
                <w:p w14:paraId="3F05F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相符</w:t>
                  </w:r>
                </w:p>
              </w:tc>
            </w:tr>
            <w:tr w14:paraId="0D89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00545F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视频监管</w:t>
                  </w:r>
                </w:p>
              </w:tc>
              <w:tc>
                <w:tcPr>
                  <w:tcW w:w="0" w:type="auto"/>
                  <w:vAlign w:val="center"/>
                </w:tcPr>
                <w:p w14:paraId="44A9EC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未安装自动在线监控的企业，应在主要生产设备（投料口、卸料口等位置）安装视频监控设施，相关数据保存 6 个月以上。</w:t>
                  </w:r>
                </w:p>
              </w:tc>
              <w:tc>
                <w:tcPr>
                  <w:tcW w:w="2551" w:type="dxa"/>
                  <w:vAlign w:val="center"/>
                </w:tcPr>
                <w:p w14:paraId="271AF9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按照《河南省涉气排</w:t>
                  </w:r>
                </w:p>
                <w:p w14:paraId="2E7C4B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污单位污染治理设</w:t>
                  </w:r>
                </w:p>
                <w:p w14:paraId="15C468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施用电监管技术指</w:t>
                  </w:r>
                </w:p>
                <w:p w14:paraId="78D77D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南（试行）》要求安</w:t>
                  </w:r>
                </w:p>
                <w:p w14:paraId="272E5D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装用电监管设备，并</w:t>
                  </w:r>
                </w:p>
                <w:p w14:paraId="2F5695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与省、市生态环境部</w:t>
                  </w:r>
                </w:p>
                <w:p w14:paraId="04318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门的污染治理设施</w:t>
                  </w:r>
                </w:p>
                <w:p w14:paraId="2535FF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用电监管平台联网。</w:t>
                  </w:r>
                </w:p>
              </w:tc>
              <w:tc>
                <w:tcPr>
                  <w:tcW w:w="978" w:type="dxa"/>
                  <w:vAlign w:val="center"/>
                </w:tcPr>
                <w:p w14:paraId="159D0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0C7E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18ACF4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厂容厂貌</w:t>
                  </w:r>
                </w:p>
              </w:tc>
              <w:tc>
                <w:tcPr>
                  <w:tcW w:w="0" w:type="auto"/>
                  <w:vAlign w:val="center"/>
                </w:tcPr>
                <w:p w14:paraId="5F730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1.厂区内道路、原辅材料和燃料堆场等路面应硬化；</w:t>
                  </w:r>
                </w:p>
                <w:p w14:paraId="7D2A9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2.厂区内道路采取定期清扫、洒水等措施，保持清洁，路面无明显可见积尘；</w:t>
                  </w:r>
                </w:p>
                <w:p w14:paraId="0CC6A1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3.其他未利用地优先绿化，或进行硬化，无成片裸露土地。</w:t>
                  </w:r>
                </w:p>
              </w:tc>
              <w:tc>
                <w:tcPr>
                  <w:tcW w:w="2551" w:type="dxa"/>
                  <w:vAlign w:val="center"/>
                </w:tcPr>
                <w:p w14:paraId="69A6A1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项目厂区、车间地面</w:t>
                  </w:r>
                </w:p>
                <w:p w14:paraId="107D9C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均已硬化。</w:t>
                  </w:r>
                </w:p>
              </w:tc>
              <w:tc>
                <w:tcPr>
                  <w:tcW w:w="978" w:type="dxa"/>
                  <w:vAlign w:val="center"/>
                </w:tcPr>
                <w:p w14:paraId="150602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154D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0" w:type="auto"/>
                  <w:vMerge w:val="restart"/>
                  <w:vAlign w:val="center"/>
                </w:tcPr>
                <w:p w14:paraId="014B4F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环境</w:t>
                  </w:r>
                </w:p>
                <w:p w14:paraId="3D057F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管理</w:t>
                  </w:r>
                </w:p>
                <w:p w14:paraId="705757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水平</w:t>
                  </w:r>
                </w:p>
              </w:tc>
              <w:tc>
                <w:tcPr>
                  <w:tcW w:w="0" w:type="auto"/>
                  <w:vAlign w:val="center"/>
                </w:tcPr>
                <w:p w14:paraId="5F72D8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环保</w:t>
                  </w:r>
                </w:p>
                <w:p w14:paraId="34FFA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档案</w:t>
                  </w:r>
                </w:p>
              </w:tc>
              <w:tc>
                <w:tcPr>
                  <w:tcW w:w="0" w:type="auto"/>
                  <w:vAlign w:val="center"/>
                </w:tcPr>
                <w:p w14:paraId="12D3D7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1.环评批复文件和竣工验收文件/现状评估文件；</w:t>
                  </w:r>
                </w:p>
                <w:p w14:paraId="7334F2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2.废气治理设施运行管理规程；</w:t>
                  </w:r>
                </w:p>
                <w:p w14:paraId="2870F6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3.一年内废气监测报告；</w:t>
                  </w:r>
                </w:p>
                <w:p w14:paraId="78FE9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4.国家版排污许可证，并按要求开展自行监测和信息披露，规范设置废气排放口标志牌、二维码标识和采样平台、采样孔。</w:t>
                  </w:r>
                </w:p>
              </w:tc>
              <w:tc>
                <w:tcPr>
                  <w:tcW w:w="2551" w:type="dxa"/>
                  <w:shd w:val="clear" w:color="auto" w:fill="auto"/>
                  <w:vAlign w:val="center"/>
                </w:tcPr>
                <w:p w14:paraId="456577A5">
                  <w:pPr>
                    <w:pStyle w:val="36"/>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本项目建成后，按照此标准执行</w:t>
                  </w:r>
                  <w:r>
                    <w:rPr>
                      <w:rFonts w:hint="default" w:ascii="Times New Roman" w:hAnsi="Times New Roman" w:cs="Times New Roman"/>
                      <w:color w:val="auto"/>
                      <w:szCs w:val="21"/>
                      <w:lang w:eastAsia="zh-CN"/>
                    </w:rPr>
                    <w:t>。</w:t>
                  </w:r>
                </w:p>
              </w:tc>
              <w:tc>
                <w:tcPr>
                  <w:tcW w:w="978" w:type="dxa"/>
                  <w:vAlign w:val="center"/>
                </w:tcPr>
                <w:p w14:paraId="5FCF26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5E3A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0" w:type="auto"/>
                  <w:vMerge w:val="continue"/>
                  <w:vAlign w:val="center"/>
                </w:tcPr>
                <w:p w14:paraId="10CFA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0" w:type="auto"/>
                  <w:vAlign w:val="center"/>
                </w:tcPr>
                <w:p w14:paraId="73A75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台账</w:t>
                  </w:r>
                </w:p>
                <w:p w14:paraId="5446EC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记录</w:t>
                  </w:r>
                </w:p>
              </w:tc>
              <w:tc>
                <w:tcPr>
                  <w:tcW w:w="0" w:type="auto"/>
                  <w:vAlign w:val="center"/>
                </w:tcPr>
                <w:p w14:paraId="0B39ED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1.生产设施运行管理信息（生产时间、运行负荷、产品产量等）；</w:t>
                  </w:r>
                </w:p>
                <w:p w14:paraId="111E0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2.废气污染治理设施运行管理信息（除尘滤料等更换量和时间）；</w:t>
                  </w:r>
                </w:p>
                <w:p w14:paraId="60A464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3.监测记录信息（主要污染排放口废气排放记录（手工监测和在线监测）等）；</w:t>
                  </w:r>
                </w:p>
                <w:p w14:paraId="77F780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4.主要原辅材料、燃料消耗记录；</w:t>
                  </w:r>
                </w:p>
                <w:p w14:paraId="185AE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5.电消耗记录。</w:t>
                  </w:r>
                </w:p>
              </w:tc>
              <w:tc>
                <w:tcPr>
                  <w:tcW w:w="2551" w:type="dxa"/>
                  <w:shd w:val="clear" w:color="auto" w:fill="auto"/>
                  <w:vAlign w:val="center"/>
                </w:tcPr>
                <w:p w14:paraId="50C7308E">
                  <w:pPr>
                    <w:pStyle w:val="36"/>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本项目建成后，按照此标准执行</w:t>
                  </w:r>
                  <w:r>
                    <w:rPr>
                      <w:rFonts w:hint="default" w:ascii="Times New Roman" w:hAnsi="Times New Roman" w:cs="Times New Roman"/>
                      <w:color w:val="auto"/>
                      <w:szCs w:val="21"/>
                      <w:lang w:eastAsia="zh-CN"/>
                    </w:rPr>
                    <w:t>。</w:t>
                  </w:r>
                </w:p>
              </w:tc>
              <w:tc>
                <w:tcPr>
                  <w:tcW w:w="978" w:type="dxa"/>
                  <w:vAlign w:val="center"/>
                </w:tcPr>
                <w:p w14:paraId="36308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6F5E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0" w:type="auto"/>
                  <w:vMerge w:val="continue"/>
                  <w:vAlign w:val="center"/>
                </w:tcPr>
                <w:p w14:paraId="1D708E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tc>
              <w:tc>
                <w:tcPr>
                  <w:tcW w:w="0" w:type="auto"/>
                  <w:vAlign w:val="center"/>
                </w:tcPr>
                <w:p w14:paraId="33B555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人员</w:t>
                  </w:r>
                </w:p>
                <w:p w14:paraId="5A2627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配置</w:t>
                  </w:r>
                </w:p>
              </w:tc>
              <w:tc>
                <w:tcPr>
                  <w:tcW w:w="0" w:type="auto"/>
                  <w:vAlign w:val="center"/>
                </w:tcPr>
                <w:p w14:paraId="41E46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配备专职环保人员，并具备相应的环境管理能力（学历、培训、从业经验等）。</w:t>
                  </w:r>
                </w:p>
              </w:tc>
              <w:tc>
                <w:tcPr>
                  <w:tcW w:w="2551" w:type="dxa"/>
                  <w:shd w:val="clear" w:color="auto" w:fill="auto"/>
                  <w:vAlign w:val="center"/>
                </w:tcPr>
                <w:p w14:paraId="050A4E39">
                  <w:pPr>
                    <w:pStyle w:val="36"/>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本项目建成后，按照此标准执行</w:t>
                  </w:r>
                  <w:r>
                    <w:rPr>
                      <w:rFonts w:hint="default" w:ascii="Times New Roman" w:hAnsi="Times New Roman" w:cs="Times New Roman"/>
                      <w:color w:val="auto"/>
                      <w:szCs w:val="21"/>
                      <w:lang w:eastAsia="zh-CN"/>
                    </w:rPr>
                    <w:t>。</w:t>
                  </w:r>
                </w:p>
              </w:tc>
              <w:tc>
                <w:tcPr>
                  <w:tcW w:w="978" w:type="dxa"/>
                  <w:vAlign w:val="center"/>
                </w:tcPr>
                <w:p w14:paraId="23EB6C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r w14:paraId="5202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4619F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运输方式</w:t>
                  </w:r>
                </w:p>
              </w:tc>
              <w:tc>
                <w:tcPr>
                  <w:tcW w:w="0" w:type="auto"/>
                  <w:vAlign w:val="center"/>
                </w:tcPr>
                <w:p w14:paraId="5A37E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1.物料、产品等公路运输全部使用国五及以上排放标准重型载货车辆（重型燃气车辆达到国六排放标准）或新能源车辆；</w:t>
                  </w:r>
                </w:p>
                <w:p w14:paraId="31CAF9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2.厂内运输全部使用国五及以上排放标准（重型燃气车辆达到国六排放标准）或使用新能源车辆；</w:t>
                  </w:r>
                </w:p>
                <w:p w14:paraId="5A42E4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3.危险品及危废运输全部使用国五及以上排放标准（重型燃气车辆达到国六排放标准）或新能源车辆；</w:t>
                  </w:r>
                </w:p>
                <w:p w14:paraId="6121B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4.厂内非道路移动机械全部使用国三及以上排放标准或使用新能源（电动、氢能）机械。</w:t>
                  </w:r>
                </w:p>
              </w:tc>
              <w:tc>
                <w:tcPr>
                  <w:tcW w:w="2551" w:type="dxa"/>
                  <w:vAlign w:val="center"/>
                </w:tcPr>
                <w:p w14:paraId="3D6A6A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营运期物料及产品运 输均采用国五及以上 排放标准车辆进行运输。</w:t>
                  </w:r>
                </w:p>
                <w:p w14:paraId="794DCD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p w14:paraId="56FB2D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tc>
              <w:tc>
                <w:tcPr>
                  <w:tcW w:w="978" w:type="dxa"/>
                  <w:vAlign w:val="center"/>
                </w:tcPr>
                <w:p w14:paraId="08E6D5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相符</w:t>
                  </w:r>
                </w:p>
              </w:tc>
            </w:tr>
          </w:tbl>
          <w:p w14:paraId="11D24F8A">
            <w:pPr>
              <w:pStyle w:val="2"/>
              <w:ind w:left="0" w:leftChars="0" w:firstLine="0" w:firstLineChars="0"/>
              <w:rPr>
                <w:rFonts w:hint="default" w:ascii="Times New Roman" w:hAnsi="Times New Roman" w:eastAsia="宋体" w:cs="Times New Roman"/>
                <w:color w:val="auto"/>
              </w:rPr>
            </w:pPr>
          </w:p>
          <w:p w14:paraId="1A7DD3BC">
            <w:pPr>
              <w:pStyle w:val="24"/>
              <w:spacing w:line="360" w:lineRule="auto"/>
              <w:ind w:firstLine="482" w:firstLineChars="200"/>
              <w:jc w:val="left"/>
              <w:rPr>
                <w:rFonts w:hint="default" w:ascii="Times New Roman" w:hAnsi="Times New Roman" w:eastAsia="宋体" w:cs="Times New Roman"/>
                <w:b/>
                <w:bCs/>
                <w:color w:val="auto"/>
                <w:sz w:val="24"/>
                <w:lang w:val="en-US" w:bidi="ar-SA"/>
              </w:rPr>
            </w:pPr>
            <w:r>
              <w:rPr>
                <w:rFonts w:hint="default" w:ascii="Times New Roman" w:hAnsi="Times New Roman" w:eastAsia="宋体" w:cs="Times New Roman"/>
                <w:b/>
                <w:bCs/>
                <w:color w:val="auto"/>
                <w:sz w:val="24"/>
                <w:lang w:val="en-US" w:eastAsia="zh-CN" w:bidi="ar-SA"/>
              </w:rPr>
              <w:t>3</w:t>
            </w:r>
            <w:r>
              <w:rPr>
                <w:rFonts w:hint="default" w:ascii="Times New Roman" w:hAnsi="Times New Roman" w:eastAsia="宋体" w:cs="Times New Roman"/>
                <w:b/>
                <w:bCs/>
                <w:color w:val="auto"/>
                <w:sz w:val="24"/>
                <w:lang w:val="en-US" w:bidi="ar-SA"/>
              </w:rPr>
              <w:t>、水源保护规划相符性分析</w:t>
            </w:r>
          </w:p>
          <w:p w14:paraId="0FD42560">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.1滑县县城集中式饮用水水源保护区</w:t>
            </w:r>
          </w:p>
          <w:p w14:paraId="6685D7C8">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河南省人民政府办公厅关于印发河南省县级集中式饮用水水源保护区划的通知》（豫政办〔2013〕107号）可知，滑县共2个县级集中式饮用水水源保护区，目前滑县一水厂地下水井群(道口镇西南，共10眼井)已取消，滑县二水厂地下水饮用水源地划分保护范围如下：</w:t>
            </w:r>
          </w:p>
          <w:p w14:paraId="3BCFD8E3">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（1）一级保护区 </w:t>
            </w:r>
          </w:p>
          <w:p w14:paraId="0F2684F0">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各水源地保护区边界均为以各井中心向外径向距离为30m半径的各圆形区域。</w:t>
            </w:r>
          </w:p>
          <w:p w14:paraId="344A6FC0">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（2）二级保护区 </w:t>
            </w:r>
          </w:p>
          <w:p w14:paraId="50288135">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二水厂水源地边界及拐点坐标：</w:t>
            </w:r>
          </w:p>
          <w:p w14:paraId="43E90DD6">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东至：</w:t>
            </w:r>
            <w:bookmarkStart w:id="1" w:name="OLE_LINK3"/>
            <w:bookmarkStart w:id="2" w:name="OLE_LINK5"/>
            <w:r>
              <w:rPr>
                <w:rFonts w:hint="default" w:ascii="Times New Roman" w:hAnsi="Times New Roman" w:eastAsia="宋体" w:cs="Times New Roman"/>
                <w:color w:val="auto"/>
                <w:kern w:val="0"/>
                <w:sz w:val="24"/>
              </w:rPr>
              <w:t>文明路</w:t>
            </w:r>
            <w:bookmarkEnd w:id="1"/>
            <w:bookmarkEnd w:id="2"/>
            <w:r>
              <w:rPr>
                <w:rFonts w:hint="default" w:ascii="Times New Roman" w:hAnsi="Times New Roman" w:eastAsia="宋体" w:cs="Times New Roman"/>
                <w:color w:val="auto"/>
                <w:kern w:val="0"/>
                <w:sz w:val="24"/>
              </w:rPr>
              <w:t>； 西至：大宫河；  南至：新飞路；  北至：振兴路</w:t>
            </w:r>
          </w:p>
          <w:p w14:paraId="0B1B5CE3">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1#文明路与振兴路交叉口坐标：114°31′43.5″，35°33′43.1″；</w:t>
            </w:r>
          </w:p>
          <w:p w14:paraId="366C25FD">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2#振兴路与大宫河交叉口坐标：114°30′55.0″，35°33′59.1″；</w:t>
            </w:r>
          </w:p>
          <w:p w14:paraId="228427F8">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3#大宫河与新飞路交叉口坐标：114°30′34.4″，35°33′28.1″；</w:t>
            </w:r>
          </w:p>
          <w:p w14:paraId="440803D6">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4#新飞路与文明路交叉口坐标：114°31′30.2″，35°33′13.3″；</w:t>
            </w:r>
          </w:p>
          <w:p w14:paraId="13A26E9B">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与本项目的相对位置关系：</w:t>
            </w:r>
          </w:p>
          <w:p w14:paraId="48E553CB">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本项目距滑县二水厂地下水井群地下水饮用水源保护区</w:t>
            </w:r>
            <w:r>
              <w:rPr>
                <w:rFonts w:hint="default" w:ascii="Times New Roman" w:hAnsi="Times New Roman" w:eastAsia="宋体" w:cs="Times New Roman"/>
                <w:color w:val="auto"/>
                <w:sz w:val="24"/>
              </w:rPr>
              <w:t>南边界新飞路文明路交叉口</w:t>
            </w:r>
            <w:r>
              <w:rPr>
                <w:rFonts w:hint="default" w:ascii="Times New Roman" w:hAnsi="Times New Roman" w:eastAsia="宋体" w:cs="Times New Roman"/>
                <w:color w:val="auto"/>
                <w:kern w:val="0"/>
                <w:sz w:val="24"/>
              </w:rPr>
              <w:t>最近距离约为</w:t>
            </w:r>
            <w:r>
              <w:rPr>
                <w:rFonts w:hint="default" w:ascii="Times New Roman" w:hAnsi="Times New Roman" w:cs="Times New Roman"/>
                <w:color w:val="auto"/>
                <w:kern w:val="0"/>
                <w:sz w:val="24"/>
                <w:lang w:val="en-US" w:eastAsia="zh-CN"/>
              </w:rPr>
              <w:t>3.3</w:t>
            </w:r>
            <w:r>
              <w:rPr>
                <w:rFonts w:hint="default" w:ascii="Times New Roman" w:hAnsi="Times New Roman" w:eastAsia="宋体" w:cs="Times New Roman"/>
                <w:color w:val="auto"/>
                <w:kern w:val="0"/>
                <w:sz w:val="24"/>
              </w:rPr>
              <w:t>km，不在滑县二水厂地下水井群地下水饮用水源保护区保护范围内。</w:t>
            </w:r>
          </w:p>
          <w:p w14:paraId="134863B6">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3.2乡镇集中式饮用水水源保护区</w:t>
            </w:r>
          </w:p>
          <w:p w14:paraId="670B1DAC">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根据《河南省人民政府办公厅关于印发河南省乡镇集中式饮用水水源保护区划的通知》（豫政办[2016]23号），滑县乡镇集中式饮用水水源保护范围为：</w:t>
            </w:r>
          </w:p>
          <w:p w14:paraId="41B7F205">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①滑县半坡店乡地下水井群（共2眼井）</w:t>
            </w:r>
          </w:p>
          <w:p w14:paraId="77C287B4">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一级保护区范围：取水井外围30m的区域。</w:t>
            </w:r>
          </w:p>
          <w:p w14:paraId="47953D54">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②滑县牛屯镇地下水井群（共2眼井）</w:t>
            </w:r>
          </w:p>
          <w:p w14:paraId="20B83422">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一级保护区范围：水管站厂区及外围东3m、南25m的区域(1号取水井)，2号取水井外围30m的区域。</w:t>
            </w:r>
          </w:p>
          <w:p w14:paraId="59D6562B">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③滑县焦虎乡地下水井群（共2眼井）</w:t>
            </w:r>
          </w:p>
          <w:p w14:paraId="3A479E3A">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一级保护区范围：水管站厂区及外围南10m、北10m的区域(1号取水井)，2号取水井外围30m的区域。</w:t>
            </w:r>
          </w:p>
          <w:p w14:paraId="3AF0B420">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④滑县瓦岗寨乡地下水井群（共2眼井）</w:t>
            </w:r>
          </w:p>
          <w:p w14:paraId="11022D2C">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一级保护区范围：取水井外围30m的区域。</w:t>
            </w:r>
          </w:p>
          <w:p w14:paraId="09808939">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⑤滑县留固镇地下水井群（共2眼井）</w:t>
            </w:r>
          </w:p>
          <w:p w14:paraId="0F72CD36">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一级保护区范围：水管站厂区及外围东至213省道的区域。</w:t>
            </w:r>
          </w:p>
          <w:p w14:paraId="0EB1712A">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⑥滑县赵营乡地下水井群（共2眼井）</w:t>
            </w:r>
          </w:p>
          <w:p w14:paraId="0538DD24">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一级保护区范围：水管站厂区及外围南20m至006乡道的区域。</w:t>
            </w:r>
          </w:p>
          <w:p w14:paraId="733035AB">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⑦滑县桑村乡地下水井群（共2眼井）</w:t>
            </w:r>
          </w:p>
          <w:p w14:paraId="50512A9C">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一级保护区范围：水管站东院(1号取水井)，水管站西院及外围南30m的区域(2号取水井)。</w:t>
            </w:r>
          </w:p>
          <w:p w14:paraId="232193CF">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⑧滑县万古镇地下水井群（共2眼井）</w:t>
            </w:r>
          </w:p>
          <w:p w14:paraId="5F56BD73">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一级保护区范围：水管站厂区及外围西13m、南13m的区域(1号取水井)，2号取水井外围30m的区域。</w:t>
            </w:r>
          </w:p>
          <w:p w14:paraId="46866EA6">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⑨滑县高平镇地下水井群（共2眼井）</w:t>
            </w:r>
          </w:p>
          <w:p w14:paraId="26A7E8DB">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一级保护区范围：水管站厂区及外围东30m、西30m、南20m、北40m的区域。</w:t>
            </w:r>
          </w:p>
          <w:p w14:paraId="3E71A023">
            <w:pPr>
              <w:adjustRightInd w:val="0"/>
              <w:snapToGrid w:val="0"/>
              <w:spacing w:line="52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二级保护区范围：一级保护区外围400m的区域。</w:t>
            </w:r>
          </w:p>
          <w:p w14:paraId="57FB7257">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与本项目的相对位置关系：</w:t>
            </w:r>
          </w:p>
          <w:p w14:paraId="7D0EDD5E">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本项目位于</w:t>
            </w:r>
            <w:r>
              <w:rPr>
                <w:rFonts w:hint="default" w:ascii="Times New Roman" w:hAnsi="Times New Roman" w:eastAsia="宋体" w:cs="Times New Roman"/>
                <w:color w:val="auto"/>
                <w:sz w:val="24"/>
              </w:rPr>
              <w:t>河南省安阳市滑县先进制造业开发区</w:t>
            </w:r>
            <w:r>
              <w:rPr>
                <w:rFonts w:hint="default" w:ascii="Times New Roman" w:hAnsi="Times New Roman" w:eastAsia="宋体" w:cs="Times New Roman"/>
                <w:color w:val="auto"/>
                <w:sz w:val="24"/>
                <w:szCs w:val="24"/>
                <w:lang w:eastAsia="zh-CN"/>
              </w:rPr>
              <w:t>漓江路与古城路北</w:t>
            </w:r>
            <w:r>
              <w:rPr>
                <w:rFonts w:hint="default" w:ascii="Times New Roman" w:hAnsi="Times New Roman" w:eastAsia="宋体" w:cs="Times New Roman"/>
                <w:color w:val="auto"/>
                <w:sz w:val="24"/>
                <w:szCs w:val="24"/>
                <w:lang w:val="en-US" w:eastAsia="zh-CN"/>
              </w:rPr>
              <w:t>2号</w:t>
            </w:r>
            <w:r>
              <w:rPr>
                <w:rFonts w:hint="default" w:ascii="Times New Roman" w:hAnsi="Times New Roman" w:eastAsia="宋体" w:cs="Times New Roman"/>
                <w:color w:val="auto"/>
                <w:kern w:val="0"/>
                <w:sz w:val="24"/>
              </w:rPr>
              <w:t>。经调查，</w:t>
            </w:r>
            <w:r>
              <w:rPr>
                <w:rFonts w:hint="default" w:ascii="Times New Roman" w:hAnsi="Times New Roman" w:eastAsia="宋体" w:cs="Times New Roman"/>
                <w:color w:val="auto"/>
                <w:sz w:val="24"/>
              </w:rPr>
              <w:t>滑县先进制造业开发区无</w:t>
            </w:r>
            <w:r>
              <w:rPr>
                <w:rFonts w:hint="default" w:ascii="Times New Roman" w:hAnsi="Times New Roman" w:eastAsia="宋体" w:cs="Times New Roman"/>
                <w:color w:val="auto"/>
                <w:kern w:val="0"/>
                <w:sz w:val="24"/>
              </w:rPr>
              <w:t>乡镇集中式饮用水水源保护区，本项目不在滑县乡镇集中式饮用水水源保护区范围内。</w:t>
            </w:r>
          </w:p>
          <w:p w14:paraId="73F141FB">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3.3滑县</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千吨万人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集中式饮用水水源地保护区</w:t>
            </w:r>
          </w:p>
          <w:p w14:paraId="1386FB0E">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滑县</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千吨万人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集中式饮用水水源地保护区划分后一级保护区范围见下表。</w:t>
            </w:r>
          </w:p>
          <w:p w14:paraId="192B2EB1">
            <w:pPr>
              <w:spacing w:line="360" w:lineRule="exact"/>
              <w:jc w:val="center"/>
              <w:rPr>
                <w:rFonts w:hint="default" w:ascii="Times New Roman" w:hAnsi="Times New Roman" w:eastAsia="宋体" w:cs="Times New Roman"/>
                <w:b/>
                <w:bCs/>
                <w:color w:val="auto"/>
                <w:szCs w:val="18"/>
              </w:rPr>
            </w:pPr>
            <w:r>
              <w:rPr>
                <w:rFonts w:hint="default" w:ascii="Times New Roman" w:hAnsi="Times New Roman" w:eastAsia="宋体" w:cs="Times New Roman"/>
                <w:b/>
                <w:bCs/>
                <w:color w:val="auto"/>
                <w:szCs w:val="18"/>
              </w:rPr>
              <w:t>表1-</w:t>
            </w:r>
            <w:r>
              <w:rPr>
                <w:rFonts w:hint="default" w:ascii="Times New Roman" w:hAnsi="Times New Roman" w:eastAsia="宋体" w:cs="Times New Roman"/>
                <w:b/>
                <w:bCs/>
                <w:color w:val="auto"/>
                <w:szCs w:val="18"/>
                <w:lang w:val="en-US" w:eastAsia="zh-CN"/>
              </w:rPr>
              <w:t>3</w:t>
            </w:r>
            <w:r>
              <w:rPr>
                <w:rFonts w:hint="default" w:ascii="Times New Roman" w:hAnsi="Times New Roman" w:eastAsia="宋体" w:cs="Times New Roman"/>
                <w:b/>
                <w:bCs/>
                <w:color w:val="auto"/>
                <w:szCs w:val="18"/>
              </w:rPr>
              <w:t xml:space="preserve"> 滑县</w:t>
            </w:r>
            <w:r>
              <w:rPr>
                <w:rFonts w:hint="default" w:ascii="Times New Roman" w:hAnsi="Times New Roman" w:eastAsia="宋体" w:cs="Times New Roman"/>
                <w:b/>
                <w:bCs/>
                <w:color w:val="auto"/>
                <w:szCs w:val="18"/>
                <w:lang w:eastAsia="zh-CN"/>
              </w:rPr>
              <w:t>“</w:t>
            </w:r>
            <w:r>
              <w:rPr>
                <w:rFonts w:hint="default" w:ascii="Times New Roman" w:hAnsi="Times New Roman" w:eastAsia="宋体" w:cs="Times New Roman"/>
                <w:b/>
                <w:bCs/>
                <w:color w:val="auto"/>
                <w:szCs w:val="18"/>
              </w:rPr>
              <w:t>千吨万人</w:t>
            </w:r>
            <w:r>
              <w:rPr>
                <w:rFonts w:hint="default" w:ascii="Times New Roman" w:hAnsi="Times New Roman" w:eastAsia="宋体" w:cs="Times New Roman"/>
                <w:b/>
                <w:bCs/>
                <w:color w:val="auto"/>
                <w:szCs w:val="18"/>
                <w:lang w:eastAsia="zh-CN"/>
              </w:rPr>
              <w:t>”</w:t>
            </w:r>
            <w:r>
              <w:rPr>
                <w:rFonts w:hint="default" w:ascii="Times New Roman" w:hAnsi="Times New Roman" w:eastAsia="宋体" w:cs="Times New Roman"/>
                <w:b/>
                <w:bCs/>
                <w:color w:val="auto"/>
                <w:szCs w:val="18"/>
              </w:rPr>
              <w:t>集中式饮用水水源地保护区定界方案</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79"/>
              <w:gridCol w:w="2928"/>
              <w:gridCol w:w="4636"/>
            </w:tblGrid>
            <w:tr w14:paraId="500A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298" w:type="pct"/>
                  <w:noWrap w:val="0"/>
                  <w:vAlign w:val="center"/>
                </w:tcPr>
                <w:p w14:paraId="4EF807E3">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序号</w:t>
                  </w:r>
                </w:p>
              </w:tc>
              <w:tc>
                <w:tcPr>
                  <w:tcW w:w="1820" w:type="pct"/>
                  <w:noWrap w:val="0"/>
                  <w:vAlign w:val="center"/>
                </w:tcPr>
                <w:p w14:paraId="1CE12F73">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水源地名称</w:t>
                  </w:r>
                </w:p>
              </w:tc>
              <w:tc>
                <w:tcPr>
                  <w:tcW w:w="2882" w:type="pct"/>
                  <w:noWrap w:val="0"/>
                  <w:vAlign w:val="center"/>
                </w:tcPr>
                <w:p w14:paraId="68E260F3">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一级保护范围（区）定界情况</w:t>
                  </w:r>
                </w:p>
              </w:tc>
            </w:tr>
            <w:tr w14:paraId="433B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54B01874">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w:t>
                  </w:r>
                </w:p>
              </w:tc>
              <w:tc>
                <w:tcPr>
                  <w:tcW w:w="1820" w:type="pct"/>
                  <w:noWrap w:val="0"/>
                  <w:vAlign w:val="center"/>
                </w:tcPr>
                <w:p w14:paraId="4EC07CC5">
                  <w:pPr>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枣村乡马庄村地下水型水源地</w:t>
                  </w:r>
                </w:p>
              </w:tc>
              <w:tc>
                <w:tcPr>
                  <w:tcW w:w="2882" w:type="pct"/>
                  <w:noWrap w:val="0"/>
                  <w:vAlign w:val="center"/>
                </w:tcPr>
                <w:p w14:paraId="71AECD78">
                  <w:pPr>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1号取水井外围30米及水厂内部区域且东至028乡道，2号取水井外围30米的区域。</w:t>
                  </w:r>
                </w:p>
              </w:tc>
            </w:tr>
            <w:tr w14:paraId="161C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54393807">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w:t>
                  </w:r>
                </w:p>
              </w:tc>
              <w:tc>
                <w:tcPr>
                  <w:tcW w:w="1820" w:type="pct"/>
                  <w:noWrap w:val="0"/>
                  <w:vAlign w:val="center"/>
                </w:tcPr>
                <w:p w14:paraId="06FAD822">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留固镇五方村地下水型水源地</w:t>
                  </w:r>
                </w:p>
              </w:tc>
              <w:tc>
                <w:tcPr>
                  <w:tcW w:w="2882" w:type="pct"/>
                  <w:noWrap w:val="0"/>
                  <w:vAlign w:val="center"/>
                </w:tcPr>
                <w:p w14:paraId="5BB65FB5">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1、2号取水井外围30米及水厂内部区域且西至213省道，3、4号取水井外围30米及水厂内部区域，5、6、7、8号取水井外围30米的区域。</w:t>
                  </w:r>
                </w:p>
              </w:tc>
            </w:tr>
            <w:tr w14:paraId="2F93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2560A2D7">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w:t>
                  </w:r>
                </w:p>
              </w:tc>
              <w:tc>
                <w:tcPr>
                  <w:tcW w:w="1820" w:type="pct"/>
                  <w:noWrap w:val="0"/>
                  <w:vAlign w:val="center"/>
                </w:tcPr>
                <w:p w14:paraId="0CA959CB">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半坡店镇西常村地下水型水源地</w:t>
                  </w:r>
                </w:p>
              </w:tc>
              <w:tc>
                <w:tcPr>
                  <w:tcW w:w="2882" w:type="pct"/>
                  <w:noWrap w:val="0"/>
                  <w:vAlign w:val="center"/>
                </w:tcPr>
                <w:p w14:paraId="0D1F2FDC">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1、2号取水井外围30米的区域。</w:t>
                  </w:r>
                </w:p>
              </w:tc>
            </w:tr>
            <w:tr w14:paraId="6774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7E0848CA">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4</w:t>
                  </w:r>
                </w:p>
              </w:tc>
              <w:tc>
                <w:tcPr>
                  <w:tcW w:w="1820" w:type="pct"/>
                  <w:noWrap w:val="0"/>
                  <w:vAlign w:val="center"/>
                </w:tcPr>
                <w:p w14:paraId="5817C251">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半坡店镇王林村地下水型水源地</w:t>
                  </w:r>
                </w:p>
              </w:tc>
              <w:tc>
                <w:tcPr>
                  <w:tcW w:w="2882" w:type="pct"/>
                  <w:noWrap w:val="0"/>
                  <w:vAlign w:val="center"/>
                </w:tcPr>
                <w:p w14:paraId="47638459">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1号取水井外围30米及水厂内部区域，2、3号取水井外围30米的区域。</w:t>
                  </w:r>
                </w:p>
              </w:tc>
            </w:tr>
            <w:tr w14:paraId="74AB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4F84E977">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5</w:t>
                  </w:r>
                </w:p>
              </w:tc>
              <w:tc>
                <w:tcPr>
                  <w:tcW w:w="1820" w:type="pct"/>
                  <w:noWrap w:val="0"/>
                  <w:vAlign w:val="center"/>
                </w:tcPr>
                <w:p w14:paraId="430544C7">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半坡店镇东老河寨村地下水型水源地</w:t>
                  </w:r>
                </w:p>
              </w:tc>
              <w:tc>
                <w:tcPr>
                  <w:tcW w:w="2882" w:type="pct"/>
                  <w:noWrap w:val="0"/>
                  <w:vAlign w:val="center"/>
                </w:tcPr>
                <w:p w14:paraId="060E5B72">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1号取水井外围30米。</w:t>
                  </w:r>
                </w:p>
              </w:tc>
            </w:tr>
            <w:tr w14:paraId="3182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4E82BF23">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6</w:t>
                  </w:r>
                </w:p>
              </w:tc>
              <w:tc>
                <w:tcPr>
                  <w:tcW w:w="1820" w:type="pct"/>
                  <w:noWrap w:val="0"/>
                  <w:vAlign w:val="center"/>
                </w:tcPr>
                <w:p w14:paraId="376CD2E7">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王庄镇莫洼村地下水型水源地</w:t>
                  </w:r>
                </w:p>
              </w:tc>
              <w:tc>
                <w:tcPr>
                  <w:tcW w:w="2882" w:type="pct"/>
                  <w:noWrap w:val="0"/>
                  <w:vAlign w:val="center"/>
                </w:tcPr>
                <w:p w14:paraId="78180F78">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w:t>
                  </w:r>
                </w:p>
              </w:tc>
            </w:tr>
            <w:tr w14:paraId="7440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2E26AADC">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7</w:t>
                  </w:r>
                </w:p>
              </w:tc>
              <w:tc>
                <w:tcPr>
                  <w:tcW w:w="1820" w:type="pct"/>
                  <w:noWrap w:val="0"/>
                  <w:vAlign w:val="center"/>
                </w:tcPr>
                <w:p w14:paraId="2F19FCB1">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王庄镇邢村地下水型水源地</w:t>
                  </w:r>
                </w:p>
              </w:tc>
              <w:tc>
                <w:tcPr>
                  <w:tcW w:w="2882" w:type="pct"/>
                  <w:noWrap w:val="0"/>
                  <w:vAlign w:val="center"/>
                </w:tcPr>
                <w:p w14:paraId="115D0745">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w:t>
                  </w:r>
                </w:p>
              </w:tc>
            </w:tr>
            <w:tr w14:paraId="200B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21CD7D26">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8</w:t>
                  </w:r>
                </w:p>
              </w:tc>
              <w:tc>
                <w:tcPr>
                  <w:tcW w:w="1820" w:type="pct"/>
                  <w:noWrap w:val="0"/>
                  <w:vAlign w:val="center"/>
                </w:tcPr>
                <w:p w14:paraId="741B6164">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小铺乡小武庄村地下水型水源地</w:t>
                  </w:r>
                </w:p>
              </w:tc>
              <w:tc>
                <w:tcPr>
                  <w:tcW w:w="2882" w:type="pct"/>
                  <w:noWrap w:val="0"/>
                  <w:vAlign w:val="center"/>
                </w:tcPr>
                <w:p w14:paraId="70C90CBE">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1、2、3号取水井外围30米的区域，4号取水井外围30米及水厂内部区域。</w:t>
                  </w:r>
                </w:p>
              </w:tc>
            </w:tr>
            <w:tr w14:paraId="180B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724441D1">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9</w:t>
                  </w:r>
                </w:p>
              </w:tc>
              <w:tc>
                <w:tcPr>
                  <w:tcW w:w="1820" w:type="pct"/>
                  <w:noWrap w:val="0"/>
                  <w:vAlign w:val="center"/>
                </w:tcPr>
                <w:p w14:paraId="516CCA30">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焦虎镇桑科营村地下水型水源地</w:t>
                  </w:r>
                </w:p>
              </w:tc>
              <w:tc>
                <w:tcPr>
                  <w:tcW w:w="2882" w:type="pct"/>
                  <w:noWrap w:val="0"/>
                  <w:vAlign w:val="center"/>
                </w:tcPr>
                <w:p w14:paraId="3180E24F">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1号取水井外围30米及水厂内部区域且北至054乡道，2、3号取水井外围30米区域。</w:t>
                  </w:r>
                </w:p>
              </w:tc>
            </w:tr>
            <w:tr w14:paraId="53A3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365F7AA1">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10</w:t>
                  </w:r>
                </w:p>
              </w:tc>
              <w:tc>
                <w:tcPr>
                  <w:tcW w:w="1820" w:type="pct"/>
                  <w:noWrap w:val="0"/>
                  <w:vAlign w:val="center"/>
                </w:tcPr>
                <w:p w14:paraId="637163B4">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城关镇张固村地下水型水源地</w:t>
                  </w:r>
                </w:p>
              </w:tc>
              <w:tc>
                <w:tcPr>
                  <w:tcW w:w="2882" w:type="pct"/>
                  <w:noWrap w:val="0"/>
                  <w:vAlign w:val="center"/>
                </w:tcPr>
                <w:p w14:paraId="441C9C8F">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1、2、3号取水井外围30米及水厂内部区域。</w:t>
                  </w:r>
                </w:p>
              </w:tc>
            </w:tr>
            <w:tr w14:paraId="6B98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559A15C7">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11</w:t>
                  </w:r>
                </w:p>
              </w:tc>
              <w:tc>
                <w:tcPr>
                  <w:tcW w:w="1820" w:type="pct"/>
                  <w:noWrap w:val="0"/>
                  <w:vAlign w:val="center"/>
                </w:tcPr>
                <w:p w14:paraId="3E21AF4E">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滑县新区董固城村地下水型水源地</w:t>
                  </w:r>
                </w:p>
              </w:tc>
              <w:tc>
                <w:tcPr>
                  <w:tcW w:w="2882" w:type="pct"/>
                  <w:noWrap w:val="0"/>
                  <w:vAlign w:val="center"/>
                </w:tcPr>
                <w:p w14:paraId="0B677468">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w:t>
                  </w:r>
                </w:p>
              </w:tc>
            </w:tr>
            <w:tr w14:paraId="66CB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21A1083B">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w:t>
                  </w:r>
                </w:p>
              </w:tc>
              <w:tc>
                <w:tcPr>
                  <w:tcW w:w="1820" w:type="pct"/>
                  <w:noWrap w:val="0"/>
                  <w:vAlign w:val="center"/>
                </w:tcPr>
                <w:p w14:paraId="7C356F74">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上官镇吴村地下水型水源地</w:t>
                  </w:r>
                </w:p>
              </w:tc>
              <w:tc>
                <w:tcPr>
                  <w:tcW w:w="2882" w:type="pct"/>
                  <w:noWrap w:val="0"/>
                  <w:vAlign w:val="center"/>
                </w:tcPr>
                <w:p w14:paraId="12C14EE2">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1、2号取水井外围30米及水厂内部区域且西南至215省道，3、4号取水井外围30米区域。</w:t>
                  </w:r>
                </w:p>
              </w:tc>
            </w:tr>
            <w:tr w14:paraId="37FD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4D41A71F">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13</w:t>
                  </w:r>
                </w:p>
              </w:tc>
              <w:tc>
                <w:tcPr>
                  <w:tcW w:w="1820" w:type="pct"/>
                  <w:noWrap w:val="0"/>
                  <w:vAlign w:val="center"/>
                </w:tcPr>
                <w:p w14:paraId="4A80E957">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留固镇双营村地下水型水源地</w:t>
                  </w:r>
                </w:p>
              </w:tc>
              <w:tc>
                <w:tcPr>
                  <w:tcW w:w="2882" w:type="pct"/>
                  <w:noWrap w:val="0"/>
                  <w:vAlign w:val="center"/>
                </w:tcPr>
                <w:p w14:paraId="18FE0563">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w:t>
                  </w:r>
                </w:p>
              </w:tc>
            </w:tr>
            <w:tr w14:paraId="3F76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51AF69E3">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14</w:t>
                  </w:r>
                </w:p>
              </w:tc>
              <w:tc>
                <w:tcPr>
                  <w:tcW w:w="1820" w:type="pct"/>
                  <w:noWrap w:val="0"/>
                  <w:vAlign w:val="center"/>
                </w:tcPr>
                <w:p w14:paraId="532BE6C5">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八里营镇红卫村地下水型水源地</w:t>
                  </w:r>
                </w:p>
              </w:tc>
              <w:tc>
                <w:tcPr>
                  <w:tcW w:w="2882" w:type="pct"/>
                  <w:noWrap w:val="0"/>
                  <w:vAlign w:val="center"/>
                </w:tcPr>
                <w:p w14:paraId="5BF94B59">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1、2、3号取水井外围30米及水厂内部区域且西至002县道，4号取水井外围30米区域。</w:t>
                  </w:r>
                </w:p>
              </w:tc>
            </w:tr>
            <w:tr w14:paraId="2ACF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4F485670">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15</w:t>
                  </w:r>
                </w:p>
              </w:tc>
              <w:tc>
                <w:tcPr>
                  <w:tcW w:w="1820" w:type="pct"/>
                  <w:noWrap w:val="0"/>
                  <w:vAlign w:val="center"/>
                </w:tcPr>
                <w:p w14:paraId="1C0462B5">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大寨乡冯营水厂地下水型水源地</w:t>
                  </w:r>
                </w:p>
              </w:tc>
              <w:tc>
                <w:tcPr>
                  <w:tcW w:w="2882" w:type="pct"/>
                  <w:noWrap w:val="0"/>
                  <w:vAlign w:val="center"/>
                </w:tcPr>
                <w:p w14:paraId="080F9DE1">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w:t>
                  </w:r>
                </w:p>
              </w:tc>
            </w:tr>
            <w:tr w14:paraId="51F9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7297C073">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16</w:t>
                  </w:r>
                </w:p>
              </w:tc>
              <w:tc>
                <w:tcPr>
                  <w:tcW w:w="1820" w:type="pct"/>
                  <w:noWrap w:val="0"/>
                  <w:vAlign w:val="center"/>
                </w:tcPr>
                <w:p w14:paraId="38188EDC">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八里营镇卫王殿地下水型水源地</w:t>
                  </w:r>
                </w:p>
              </w:tc>
              <w:tc>
                <w:tcPr>
                  <w:tcW w:w="2882" w:type="pct"/>
                  <w:noWrap w:val="0"/>
                  <w:vAlign w:val="center"/>
                </w:tcPr>
                <w:p w14:paraId="658C62B4">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1、2、3号取水井外围30米及水厂内部区域。</w:t>
                  </w:r>
                </w:p>
              </w:tc>
            </w:tr>
            <w:tr w14:paraId="154B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4E348C02">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17</w:t>
                  </w:r>
                </w:p>
              </w:tc>
              <w:tc>
                <w:tcPr>
                  <w:tcW w:w="1820" w:type="pct"/>
                  <w:noWrap w:val="0"/>
                  <w:vAlign w:val="center"/>
                </w:tcPr>
                <w:p w14:paraId="40DF61DA">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大寨乡小田村地下水型水源地</w:t>
                  </w:r>
                </w:p>
              </w:tc>
              <w:tc>
                <w:tcPr>
                  <w:tcW w:w="2882" w:type="pct"/>
                  <w:noWrap w:val="0"/>
                  <w:vAlign w:val="center"/>
                </w:tcPr>
                <w:p w14:paraId="5AF01A61">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1、2、3、4、5号取水井外围30米及水厂内部区域。</w:t>
                  </w:r>
                </w:p>
              </w:tc>
            </w:tr>
            <w:tr w14:paraId="0BAC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38D529C5">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18</w:t>
                  </w:r>
                </w:p>
              </w:tc>
              <w:tc>
                <w:tcPr>
                  <w:tcW w:w="1820" w:type="pct"/>
                  <w:noWrap w:val="0"/>
                  <w:vAlign w:val="center"/>
                </w:tcPr>
                <w:p w14:paraId="6118AA96">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上官镇孟庄村地下水型水源地</w:t>
                  </w:r>
                </w:p>
              </w:tc>
              <w:tc>
                <w:tcPr>
                  <w:tcW w:w="2882" w:type="pct"/>
                  <w:noWrap w:val="0"/>
                  <w:vAlign w:val="center"/>
                </w:tcPr>
                <w:p w14:paraId="33471469">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1、3、4号取水井外围30米及水厂内部区域，2号取水井外围30米区域。</w:t>
                  </w:r>
                </w:p>
              </w:tc>
            </w:tr>
            <w:tr w14:paraId="1D90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4A4E5549">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19</w:t>
                  </w:r>
                </w:p>
              </w:tc>
              <w:tc>
                <w:tcPr>
                  <w:tcW w:w="1820" w:type="pct"/>
                  <w:noWrap w:val="0"/>
                  <w:vAlign w:val="center"/>
                </w:tcPr>
                <w:p w14:paraId="1EEDC0E8">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上官镇上官村地下水型水源地</w:t>
                  </w:r>
                </w:p>
              </w:tc>
              <w:tc>
                <w:tcPr>
                  <w:tcW w:w="2882" w:type="pct"/>
                  <w:noWrap w:val="0"/>
                  <w:vAlign w:val="center"/>
                </w:tcPr>
                <w:p w14:paraId="517552B7">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w:t>
                  </w:r>
                </w:p>
              </w:tc>
            </w:tr>
            <w:tr w14:paraId="08EF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0BA51F36">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20</w:t>
                  </w:r>
                </w:p>
              </w:tc>
              <w:tc>
                <w:tcPr>
                  <w:tcW w:w="1820" w:type="pct"/>
                  <w:noWrap w:val="0"/>
                  <w:vAlign w:val="center"/>
                </w:tcPr>
                <w:p w14:paraId="59310C60">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上官镇郭新庄村地下水型水源地</w:t>
                  </w:r>
                </w:p>
              </w:tc>
              <w:tc>
                <w:tcPr>
                  <w:tcW w:w="2882" w:type="pct"/>
                  <w:noWrap w:val="0"/>
                  <w:vAlign w:val="center"/>
                </w:tcPr>
                <w:p w14:paraId="456C0B03">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1号取水井外围30米及水厂内部区域，2号取水井外围30米区域。</w:t>
                  </w:r>
                </w:p>
              </w:tc>
            </w:tr>
            <w:tr w14:paraId="08B7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5F7C2FB4">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21</w:t>
                  </w:r>
                </w:p>
              </w:tc>
              <w:tc>
                <w:tcPr>
                  <w:tcW w:w="1820" w:type="pct"/>
                  <w:noWrap w:val="0"/>
                  <w:vAlign w:val="center"/>
                </w:tcPr>
                <w:p w14:paraId="4ED628F3">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高平镇子厢村地下水型水源地</w:t>
                  </w:r>
                </w:p>
              </w:tc>
              <w:tc>
                <w:tcPr>
                  <w:tcW w:w="2882" w:type="pct"/>
                  <w:noWrap w:val="0"/>
                  <w:vAlign w:val="center"/>
                </w:tcPr>
                <w:p w14:paraId="325ABE78">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1、2、3号取水井外围30米及水厂内部区域。</w:t>
                  </w:r>
                </w:p>
              </w:tc>
            </w:tr>
            <w:tr w14:paraId="6453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7DB115DE">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22</w:t>
                  </w:r>
                </w:p>
              </w:tc>
              <w:tc>
                <w:tcPr>
                  <w:tcW w:w="1820" w:type="pct"/>
                  <w:noWrap w:val="0"/>
                  <w:vAlign w:val="center"/>
                </w:tcPr>
                <w:p w14:paraId="1631A7CF">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白道口镇石佛村地下水型水源地</w:t>
                  </w:r>
                </w:p>
              </w:tc>
              <w:tc>
                <w:tcPr>
                  <w:tcW w:w="2882" w:type="pct"/>
                  <w:noWrap w:val="0"/>
                  <w:vAlign w:val="center"/>
                </w:tcPr>
                <w:p w14:paraId="4257CF55">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1、4、5号取水井外围30米及水厂内部区域且东南至101省道，2、3、6号取水井外围30米区域。</w:t>
                  </w:r>
                </w:p>
              </w:tc>
            </w:tr>
            <w:tr w14:paraId="402B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6E047531">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23</w:t>
                  </w:r>
                </w:p>
              </w:tc>
              <w:tc>
                <w:tcPr>
                  <w:tcW w:w="1820" w:type="pct"/>
                  <w:noWrap w:val="0"/>
                  <w:vAlign w:val="center"/>
                </w:tcPr>
                <w:p w14:paraId="24DC669E">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白道口镇民寨村地下水型水源地</w:t>
                  </w:r>
                </w:p>
              </w:tc>
              <w:tc>
                <w:tcPr>
                  <w:tcW w:w="2882" w:type="pct"/>
                  <w:noWrap w:val="0"/>
                  <w:vAlign w:val="center"/>
                </w:tcPr>
                <w:p w14:paraId="47C80E5D">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1、2号取水井外围30米区域，3号取水井外围30米及水厂内部区域。</w:t>
                  </w:r>
                </w:p>
              </w:tc>
            </w:tr>
            <w:tr w14:paraId="0BFF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4BF39BAC">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24</w:t>
                  </w:r>
                </w:p>
              </w:tc>
              <w:tc>
                <w:tcPr>
                  <w:tcW w:w="1820" w:type="pct"/>
                  <w:noWrap w:val="0"/>
                  <w:vAlign w:val="center"/>
                </w:tcPr>
                <w:p w14:paraId="415B93BB">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枣村乡宋林村地下水型水源地</w:t>
                  </w:r>
                </w:p>
              </w:tc>
              <w:tc>
                <w:tcPr>
                  <w:tcW w:w="2882" w:type="pct"/>
                  <w:noWrap w:val="0"/>
                  <w:vAlign w:val="center"/>
                </w:tcPr>
                <w:p w14:paraId="22BC5AF9">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w:t>
                  </w:r>
                </w:p>
              </w:tc>
            </w:tr>
            <w:tr w14:paraId="7D1D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405495FD">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25</w:t>
                  </w:r>
                </w:p>
              </w:tc>
              <w:tc>
                <w:tcPr>
                  <w:tcW w:w="1820" w:type="pct"/>
                  <w:noWrap w:val="0"/>
                  <w:vAlign w:val="center"/>
                </w:tcPr>
                <w:p w14:paraId="25D8DBEC">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老店镇吴河寨村地下水型水源地</w:t>
                  </w:r>
                </w:p>
              </w:tc>
              <w:tc>
                <w:tcPr>
                  <w:tcW w:w="2882" w:type="pct"/>
                  <w:noWrap w:val="0"/>
                  <w:vAlign w:val="center"/>
                </w:tcPr>
                <w:p w14:paraId="58BCC0EB">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1、2、3号取水井外围30米及水厂内部区域且西南至008县道，4号取水井外围30米区域且西至008县道。</w:t>
                  </w:r>
                </w:p>
              </w:tc>
            </w:tr>
            <w:tr w14:paraId="0BA4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2F5E249F">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26</w:t>
                  </w:r>
                </w:p>
              </w:tc>
              <w:tc>
                <w:tcPr>
                  <w:tcW w:w="1820" w:type="pct"/>
                  <w:noWrap w:val="0"/>
                  <w:vAlign w:val="center"/>
                </w:tcPr>
                <w:p w14:paraId="707406C9">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老店镇西老店村地下水型水源地</w:t>
                  </w:r>
                </w:p>
              </w:tc>
              <w:tc>
                <w:tcPr>
                  <w:tcW w:w="2882" w:type="pct"/>
                  <w:noWrap w:val="0"/>
                  <w:vAlign w:val="center"/>
                </w:tcPr>
                <w:p w14:paraId="53FCB98B">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1、2、3号取水井外围30米及水厂内部区域，4、5号取水井外围30米区域。</w:t>
                  </w:r>
                </w:p>
              </w:tc>
            </w:tr>
            <w:tr w14:paraId="5E4A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597182C8">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27</w:t>
                  </w:r>
                </w:p>
              </w:tc>
              <w:tc>
                <w:tcPr>
                  <w:tcW w:w="1820" w:type="pct"/>
                  <w:noWrap w:val="0"/>
                  <w:vAlign w:val="center"/>
                </w:tcPr>
                <w:p w14:paraId="40217415">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瓦岗寨乡大范庄村地下水型水源地</w:t>
                  </w:r>
                </w:p>
              </w:tc>
              <w:tc>
                <w:tcPr>
                  <w:tcW w:w="2882" w:type="pct"/>
                  <w:noWrap w:val="0"/>
                  <w:vAlign w:val="center"/>
                </w:tcPr>
                <w:p w14:paraId="754927EB">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1号取水井外围30米及水厂内部区域且西至056乡道，2号取水井外围30米的区域且西至056乡道。</w:t>
                  </w:r>
                </w:p>
              </w:tc>
            </w:tr>
            <w:tr w14:paraId="4DF0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3320B248">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28</w:t>
                  </w:r>
                </w:p>
              </w:tc>
              <w:tc>
                <w:tcPr>
                  <w:tcW w:w="1820" w:type="pct"/>
                  <w:noWrap w:val="0"/>
                  <w:vAlign w:val="center"/>
                </w:tcPr>
                <w:p w14:paraId="451A5B31">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慈周寨镇西罡村地下水型水源地</w:t>
                  </w:r>
                </w:p>
              </w:tc>
              <w:tc>
                <w:tcPr>
                  <w:tcW w:w="2882" w:type="pct"/>
                  <w:noWrap w:val="0"/>
                  <w:vAlign w:val="center"/>
                </w:tcPr>
                <w:p w14:paraId="79D5514C">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1号取水井外围30米及水厂内部区域，2号取水井外围30米的区域。</w:t>
                  </w:r>
                </w:p>
              </w:tc>
            </w:tr>
            <w:tr w14:paraId="5DB5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18364AE5">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29</w:t>
                  </w:r>
                </w:p>
              </w:tc>
              <w:tc>
                <w:tcPr>
                  <w:tcW w:w="1820" w:type="pct"/>
                  <w:noWrap w:val="0"/>
                  <w:vAlign w:val="center"/>
                </w:tcPr>
                <w:p w14:paraId="5F697B93">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慈周寨镇寺头村地下水型水源地</w:t>
                  </w:r>
                </w:p>
              </w:tc>
              <w:tc>
                <w:tcPr>
                  <w:tcW w:w="2882" w:type="pct"/>
                  <w:noWrap w:val="0"/>
                  <w:vAlign w:val="center"/>
                </w:tcPr>
                <w:p w14:paraId="21EA80C0">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1号取水井外围30米及水厂内部区域，2号取水井外围30米的区域。</w:t>
                  </w:r>
                </w:p>
              </w:tc>
            </w:tr>
            <w:tr w14:paraId="345D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1D717F1D">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30</w:t>
                  </w:r>
                </w:p>
              </w:tc>
              <w:tc>
                <w:tcPr>
                  <w:tcW w:w="1820" w:type="pct"/>
                  <w:noWrap w:val="0"/>
                  <w:vAlign w:val="center"/>
                </w:tcPr>
                <w:p w14:paraId="43A55DB7">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桑村乡高齐丘村地下水型水源地</w:t>
                  </w:r>
                </w:p>
              </w:tc>
              <w:tc>
                <w:tcPr>
                  <w:tcW w:w="2882" w:type="pct"/>
                  <w:noWrap w:val="0"/>
                  <w:vAlign w:val="center"/>
                </w:tcPr>
                <w:p w14:paraId="3415E0B8">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1、2、3号取水井外围30米及水厂内部区域，4号取水井外围30米区域。</w:t>
                  </w:r>
                </w:p>
              </w:tc>
            </w:tr>
            <w:tr w14:paraId="4BA7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76B3F529">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31</w:t>
                  </w:r>
                </w:p>
              </w:tc>
              <w:tc>
                <w:tcPr>
                  <w:tcW w:w="1820" w:type="pct"/>
                  <w:noWrap w:val="0"/>
                  <w:vAlign w:val="center"/>
                </w:tcPr>
                <w:p w14:paraId="3E56C42F">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老爷庙乡孔村地下水型水源地</w:t>
                  </w:r>
                </w:p>
              </w:tc>
              <w:tc>
                <w:tcPr>
                  <w:tcW w:w="2882" w:type="pct"/>
                  <w:noWrap w:val="0"/>
                  <w:vAlign w:val="center"/>
                </w:tcPr>
                <w:p w14:paraId="5DC55C91">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1号取水井外围30米及水厂内部区域，2、3号取水井外围30米区域。</w:t>
                  </w:r>
                </w:p>
              </w:tc>
            </w:tr>
            <w:tr w14:paraId="31DF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0011419C">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32</w:t>
                  </w:r>
                </w:p>
              </w:tc>
              <w:tc>
                <w:tcPr>
                  <w:tcW w:w="1820" w:type="pct"/>
                  <w:noWrap w:val="0"/>
                  <w:vAlign w:val="center"/>
                </w:tcPr>
                <w:p w14:paraId="63C1FD52">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老爷庙乡王伍寨村地下水型水源地</w:t>
                  </w:r>
                </w:p>
              </w:tc>
              <w:tc>
                <w:tcPr>
                  <w:tcW w:w="2882" w:type="pct"/>
                  <w:noWrap w:val="0"/>
                  <w:vAlign w:val="center"/>
                </w:tcPr>
                <w:p w14:paraId="1C06DF44">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1、2号取水井外围30米及水厂内部区域，3号取水井外围30米区域。</w:t>
                  </w:r>
                </w:p>
              </w:tc>
            </w:tr>
            <w:tr w14:paraId="0588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2B16B45C">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33</w:t>
                  </w:r>
                </w:p>
              </w:tc>
              <w:tc>
                <w:tcPr>
                  <w:tcW w:w="1820" w:type="pct"/>
                  <w:noWrap w:val="0"/>
                  <w:vAlign w:val="center"/>
                </w:tcPr>
                <w:p w14:paraId="17BD4418">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老爷庙乡西中冉村地下水型水源地</w:t>
                  </w:r>
                </w:p>
              </w:tc>
              <w:tc>
                <w:tcPr>
                  <w:tcW w:w="2882" w:type="pct"/>
                  <w:noWrap w:val="0"/>
                  <w:vAlign w:val="center"/>
                </w:tcPr>
                <w:p w14:paraId="0EC53DC8">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1、2、5号取水井外围30米及水厂内部区域，3、4号取水井外围30米区域。</w:t>
                  </w:r>
                </w:p>
              </w:tc>
            </w:tr>
            <w:tr w14:paraId="0BD2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7F3BFE7D">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34</w:t>
                  </w:r>
                </w:p>
              </w:tc>
              <w:tc>
                <w:tcPr>
                  <w:tcW w:w="1820" w:type="pct"/>
                  <w:noWrap w:val="0"/>
                  <w:vAlign w:val="center"/>
                </w:tcPr>
                <w:p w14:paraId="14B4C482">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万古镇梁村地下水型水源地</w:t>
                  </w:r>
                </w:p>
              </w:tc>
              <w:tc>
                <w:tcPr>
                  <w:tcW w:w="2882" w:type="pct"/>
                  <w:noWrap w:val="0"/>
                  <w:vAlign w:val="center"/>
                </w:tcPr>
                <w:p w14:paraId="69DE3102">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1、2、3号取水井外围30米区域，4、5、6、7号取水井外围30米及水厂内部区域。</w:t>
                  </w:r>
                </w:p>
              </w:tc>
            </w:tr>
            <w:tr w14:paraId="69DE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651EDB66">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35</w:t>
                  </w:r>
                </w:p>
              </w:tc>
              <w:tc>
                <w:tcPr>
                  <w:tcW w:w="1820" w:type="pct"/>
                  <w:noWrap w:val="0"/>
                  <w:vAlign w:val="center"/>
                </w:tcPr>
                <w:p w14:paraId="61B72731">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牛屯镇张营村地下水型水源地</w:t>
                  </w:r>
                </w:p>
              </w:tc>
              <w:tc>
                <w:tcPr>
                  <w:tcW w:w="2882" w:type="pct"/>
                  <w:noWrap w:val="0"/>
                  <w:vAlign w:val="center"/>
                </w:tcPr>
                <w:p w14:paraId="68B4DD7E">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1、2号取水井外围30米及水厂内部区域。</w:t>
                  </w:r>
                </w:p>
              </w:tc>
            </w:tr>
            <w:tr w14:paraId="7FB3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4EF57D4A">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36</w:t>
                  </w:r>
                </w:p>
              </w:tc>
              <w:tc>
                <w:tcPr>
                  <w:tcW w:w="1820" w:type="pct"/>
                  <w:noWrap w:val="0"/>
                  <w:vAlign w:val="center"/>
                </w:tcPr>
                <w:p w14:paraId="1A417068">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牛屯镇位园村地下水型水源地</w:t>
                  </w:r>
                </w:p>
              </w:tc>
              <w:tc>
                <w:tcPr>
                  <w:tcW w:w="2882" w:type="pct"/>
                  <w:noWrap w:val="0"/>
                  <w:vAlign w:val="center"/>
                </w:tcPr>
                <w:p w14:paraId="48CD627A">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1、3号取水井外围30米及水厂内部区域，2、4号取水井外围30米区域。</w:t>
                  </w:r>
                </w:p>
              </w:tc>
            </w:tr>
            <w:tr w14:paraId="4E3D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14:paraId="5CB98506">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37</w:t>
                  </w:r>
                </w:p>
              </w:tc>
              <w:tc>
                <w:tcPr>
                  <w:tcW w:w="1820" w:type="pct"/>
                  <w:noWrap w:val="0"/>
                  <w:vAlign w:val="center"/>
                </w:tcPr>
                <w:p w14:paraId="7FAFEC3F">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慈周寨镇慈一村地下水型水源地</w:t>
                  </w:r>
                </w:p>
              </w:tc>
              <w:tc>
                <w:tcPr>
                  <w:tcW w:w="2882" w:type="pct"/>
                  <w:noWrap w:val="0"/>
                  <w:vAlign w:val="center"/>
                </w:tcPr>
                <w:p w14:paraId="09B1A637">
                  <w:pPr>
                    <w:widowControl/>
                    <w:adjustRightInd w:val="0"/>
                    <w:snapToGrid w:val="0"/>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1号取水井水厂内区域，2、3、4号取水井外围30米的区域。</w:t>
                  </w:r>
                </w:p>
              </w:tc>
            </w:tr>
            <w:tr w14:paraId="1466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3"/>
                  <w:noWrap w:val="0"/>
                  <w:vAlign w:val="center"/>
                </w:tcPr>
                <w:p w14:paraId="779CCFCF">
                  <w:pP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注：各水源地均不划分二级保护区及准保护区。</w:t>
                  </w:r>
                </w:p>
              </w:tc>
            </w:tr>
          </w:tbl>
          <w:p w14:paraId="7ACAF46F">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与本项目的相对位置关系：</w:t>
            </w:r>
          </w:p>
          <w:p w14:paraId="61079E4B">
            <w:pPr>
              <w:pStyle w:val="24"/>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本项目位于河南省安阳市</w:t>
            </w:r>
            <w:r>
              <w:rPr>
                <w:rFonts w:hint="default" w:ascii="Times New Roman" w:hAnsi="Times New Roman" w:cs="Times New Roman"/>
                <w:color w:val="auto"/>
                <w:kern w:val="0"/>
                <w:sz w:val="24"/>
                <w:lang w:eastAsia="zh-CN"/>
              </w:rPr>
              <w:t>滑县新区漓江路与古城路北2号</w:t>
            </w:r>
            <w:r>
              <w:rPr>
                <w:rFonts w:hint="default" w:ascii="Times New Roman" w:hAnsi="Times New Roman" w:eastAsia="宋体" w:cs="Times New Roman"/>
                <w:color w:val="auto"/>
                <w:kern w:val="0"/>
                <w:sz w:val="24"/>
              </w:rPr>
              <w:t>，该文件中距本项目最近的集中式饮用水源保护区为西南2</w:t>
            </w:r>
            <w:r>
              <w:rPr>
                <w:rFonts w:hint="default" w:ascii="Times New Roman" w:hAnsi="Times New Roman" w:eastAsia="宋体" w:cs="Times New Roman"/>
                <w:color w:val="auto"/>
                <w:kern w:val="0"/>
                <w:sz w:val="24"/>
                <w:lang w:val="en-US" w:eastAsia="zh-CN"/>
              </w:rPr>
              <w:t>.6</w:t>
            </w:r>
            <w:r>
              <w:rPr>
                <w:rFonts w:hint="default" w:ascii="Times New Roman" w:hAnsi="Times New Roman" w:eastAsia="宋体" w:cs="Times New Roman"/>
                <w:color w:val="auto"/>
                <w:kern w:val="0"/>
                <w:sz w:val="24"/>
              </w:rPr>
              <w:t>km的滑县新区董固城村地下水型水源地保护区，因此，项目不在该文件划分的滑县</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千吨万人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集中式饮用水水源地保护区范围内。</w:t>
            </w:r>
          </w:p>
          <w:p w14:paraId="39D0487E">
            <w:pPr>
              <w:pStyle w:val="24"/>
              <w:spacing w:line="360" w:lineRule="auto"/>
              <w:ind w:firstLine="482"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sz w:val="24"/>
                <w:lang w:val="en-US" w:eastAsia="zh-CN" w:bidi="ar-SA"/>
              </w:rPr>
              <w:t>4</w:t>
            </w:r>
            <w:r>
              <w:rPr>
                <w:rFonts w:hint="default" w:ascii="Times New Roman" w:hAnsi="Times New Roman" w:eastAsia="宋体" w:cs="Times New Roman"/>
                <w:b/>
                <w:bCs/>
                <w:color w:val="auto"/>
                <w:sz w:val="24"/>
                <w:lang w:val="en-US" w:bidi="ar-SA"/>
              </w:rPr>
              <w:t>、与《河南省2024年蓝天保卫战实施方案》《河南省2024年碧水保卫战实施方案》《河南省2024年净土保卫战实施方案》《河南省2024年柴油货车污染治理攻坚战实施方案》相符性分析</w:t>
            </w:r>
          </w:p>
          <w:p w14:paraId="5C0E067E">
            <w:pPr>
              <w:autoSpaceDE w:val="0"/>
              <w:autoSpaceDN w:val="0"/>
              <w:adjustRightInd w:val="0"/>
              <w:snapToGrid w:val="0"/>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表1-</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与《河南省2024年蓝天保卫战实施方案》相符性分析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5"/>
              <w:gridCol w:w="2178"/>
              <w:gridCol w:w="1120"/>
            </w:tblGrid>
            <w:tr w14:paraId="1B2F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8" w:type="dxa"/>
                  <w:noWrap w:val="0"/>
                  <w:vAlign w:val="center"/>
                </w:tcPr>
                <w:p w14:paraId="6D45249F">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与本项目相关条文</w:t>
                  </w:r>
                </w:p>
              </w:tc>
              <w:tc>
                <w:tcPr>
                  <w:tcW w:w="1941" w:type="dxa"/>
                  <w:noWrap w:val="0"/>
                  <w:vAlign w:val="center"/>
                </w:tcPr>
                <w:p w14:paraId="0596335C">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998" w:type="dxa"/>
                  <w:noWrap w:val="0"/>
                  <w:vAlign w:val="center"/>
                </w:tcPr>
                <w:p w14:paraId="4B148145">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符合性分析</w:t>
                  </w:r>
                </w:p>
              </w:tc>
            </w:tr>
            <w:tr w14:paraId="24B4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8" w:type="dxa"/>
                  <w:noWrap w:val="0"/>
                  <w:vAlign w:val="center"/>
                </w:tcPr>
                <w:p w14:paraId="41B3E2F0">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11. 开展低效失效治理设施排查整治。制定工业炉窑、锅炉、涉VOCs 等重点行业低效失效治理设施排查整治方案，建立整治提升企业清单，重点关注水喷淋脱硫、简易碱法脱硫、简易氨法脱硫脱硝、微生物脱硝、单一水膜（浴）除尘、湿法脱硫除尘一体化等脱硫脱硝除尘工艺，单一低温等离子、光氧化、光催化、非水溶性VOCs 废气采用单一水喷淋吸收等VOCs 治理工艺及上述工艺的组合（异味治理除外），处理机制不明、无法通过药剂或副产物进行污染物脱除效果评估的治理工艺，对无法稳定达标排放的，通过更换适宜高效治理工艺、清洁能源替代、原辅材料源头替代、关停淘汰等方式实施分类整治。对人工投加脱硫脱硝剂的简易设施实施自动化改造，取缔直接向烟道内喷洒脱硫脱硝剂等敷衍式治理工艺。</w:t>
                  </w:r>
                </w:p>
              </w:tc>
              <w:tc>
                <w:tcPr>
                  <w:tcW w:w="1941" w:type="dxa"/>
                  <w:noWrap w:val="0"/>
                  <w:vAlign w:val="center"/>
                </w:tcPr>
                <w:p w14:paraId="5D0DA683">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szCs w:val="21"/>
                      <w:lang w:eastAsia="zh-CN"/>
                    </w:rPr>
                    <w:t>不涉及</w:t>
                  </w:r>
                  <w:r>
                    <w:rPr>
                      <w:rFonts w:hint="default" w:ascii="Times New Roman" w:hAnsi="Times New Roman" w:eastAsia="宋体" w:cs="Times New Roman"/>
                      <w:color w:val="auto"/>
                      <w:szCs w:val="21"/>
                    </w:rPr>
                    <w:t>。</w:t>
                  </w:r>
                </w:p>
              </w:tc>
              <w:tc>
                <w:tcPr>
                  <w:tcW w:w="998" w:type="dxa"/>
                  <w:noWrap w:val="0"/>
                  <w:vAlign w:val="center"/>
                </w:tcPr>
                <w:p w14:paraId="62011340">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r w14:paraId="2A10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8" w:type="dxa"/>
                  <w:noWrap w:val="0"/>
                  <w:vAlign w:val="center"/>
                </w:tcPr>
                <w:p w14:paraId="609BBF3E">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12. 实施挥发性有机物综合治理。按照“可替尽替、应代尽代”的原则，加快推进低VOCs 含量原辅材料替代；加强VOCs全流程综合治理，加大蓄热式氧化燃烧（RTO）、蓄热式催化燃烧（RCO）、催化燃烧（CO）、沸石转轮吸附浓缩等高效治理技术推广力度；对企业含VOCs 有机废水储罐、装置区集水井（池）实施有机废气收集密闭化改造；对企业活性炭装填量、更换周期实施编码登记，实现从购买、更换到处置的全过程可回溯管理；对污水处理设施排放的高浓度有机废气实施单独收集处理；具备改造条件的挥发性有机液体储罐改用低泄漏的储罐呼吸阀、紧急泄压阀，汽车罐车改用自封式快速接头；加强火炬燃烧装置监管，火炬系统、煤气放散管安装温度监控、废气流量计、助燃气体流量计，相关数据接入DCS 系统；按规定开展VOCs 泄漏检测与修复，石化、化工行业企业集中的城市和重点工业园区建立统一的泄漏检测与修复信息管理平台</w:t>
                  </w:r>
                </w:p>
              </w:tc>
              <w:tc>
                <w:tcPr>
                  <w:tcW w:w="1941" w:type="dxa"/>
                  <w:noWrap w:val="0"/>
                  <w:vAlign w:val="center"/>
                </w:tcPr>
                <w:p w14:paraId="4BC815BC">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lang w:eastAsia="zh-CN"/>
                    </w:rPr>
                    <w:t>本项目不涉及</w:t>
                  </w:r>
                  <w:r>
                    <w:rPr>
                      <w:rFonts w:hint="default" w:ascii="Times New Roman" w:hAnsi="Times New Roman" w:eastAsia="宋体" w:cs="Times New Roman"/>
                      <w:bCs/>
                      <w:color w:val="auto"/>
                      <w:szCs w:val="21"/>
                    </w:rPr>
                    <w:t>。</w:t>
                  </w:r>
                </w:p>
              </w:tc>
              <w:tc>
                <w:tcPr>
                  <w:tcW w:w="998" w:type="dxa"/>
                  <w:noWrap w:val="0"/>
                  <w:vAlign w:val="center"/>
                </w:tcPr>
                <w:p w14:paraId="05D61268">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bl>
          <w:p w14:paraId="098C1472">
            <w:pPr>
              <w:autoSpaceDE w:val="0"/>
              <w:autoSpaceDN w:val="0"/>
              <w:adjustRightInd w:val="0"/>
              <w:snapToGrid w:val="0"/>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表1-</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与《河南省2024年碧水保卫战实施方案》相符性分析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5"/>
              <w:gridCol w:w="2249"/>
              <w:gridCol w:w="1109"/>
            </w:tblGrid>
            <w:tr w14:paraId="6C5A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1" w:type="dxa"/>
                  <w:noWrap w:val="0"/>
                  <w:vAlign w:val="center"/>
                </w:tcPr>
                <w:p w14:paraId="6EA97322">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与本项目相关条文</w:t>
                  </w:r>
                </w:p>
              </w:tc>
              <w:tc>
                <w:tcPr>
                  <w:tcW w:w="2371" w:type="dxa"/>
                  <w:noWrap w:val="0"/>
                  <w:vAlign w:val="center"/>
                </w:tcPr>
                <w:p w14:paraId="2E6D4A74">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1161" w:type="dxa"/>
                  <w:noWrap w:val="0"/>
                  <w:vAlign w:val="center"/>
                </w:tcPr>
                <w:p w14:paraId="30258DB8">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符合性分析</w:t>
                  </w:r>
                </w:p>
              </w:tc>
            </w:tr>
            <w:tr w14:paraId="0118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1" w:type="dxa"/>
                  <w:noWrap w:val="0"/>
                  <w:vAlign w:val="center"/>
                </w:tcPr>
                <w:p w14:paraId="374AD9D8">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24. 持续开展工业废水循环利用工程。推动工业企业、园区废水循环利用，实现串联用水、分质用水、一水多用和梯级利用，提升企业水重复利用率。推动有条件的工业企业、园区进一步完善再生水管网，将处理达标后的再生水回用于生产过程，减少企业新水取用量，形成可复制推广的产城融合废水高效循环利用新模式。重点围绕火电、石化、钢铁、有色、造纸、印染等高耗水行业，组织开展企业内部废水利用，创建一批工业废水循环利用试点企业、园区</w:t>
                  </w:r>
                </w:p>
              </w:tc>
              <w:tc>
                <w:tcPr>
                  <w:tcW w:w="2371" w:type="dxa"/>
                  <w:noWrap w:val="0"/>
                  <w:vAlign w:val="center"/>
                </w:tcPr>
                <w:p w14:paraId="7988A4F9">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w:t>
                  </w:r>
                  <w:r>
                    <w:rPr>
                      <w:rFonts w:hint="default" w:ascii="Times New Roman" w:hAnsi="Times New Roman" w:eastAsia="宋体" w:cs="Times New Roman"/>
                      <w:bCs/>
                      <w:color w:val="000000"/>
                      <w:szCs w:val="21"/>
                      <w:lang w:eastAsia="zh-CN"/>
                    </w:rPr>
                    <w:t>废水经</w:t>
                  </w:r>
                  <w:r>
                    <w:rPr>
                      <w:rFonts w:hint="default"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化粪池+一体化污水处理设施</w:t>
                  </w:r>
                  <w:r>
                    <w:rPr>
                      <w:rFonts w:hint="eastAsia"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处理后，</w:t>
                  </w:r>
                  <w:r>
                    <w:rPr>
                      <w:rFonts w:hint="default" w:ascii="Times New Roman" w:hAnsi="Times New Roman" w:cs="Times New Roman"/>
                      <w:color w:val="auto"/>
                      <w:kern w:val="2"/>
                      <w:sz w:val="21"/>
                      <w:szCs w:val="21"/>
                      <w:highlight w:val="none"/>
                      <w:vertAlign w:val="baseline"/>
                      <w:lang w:val="en-US" w:eastAsia="zh-CN" w:bidi="zh-CN"/>
                    </w:rPr>
                    <w:t>经市政管网排入滑县产业集聚区污水处理厂集中处理。</w:t>
                  </w:r>
                </w:p>
              </w:tc>
              <w:tc>
                <w:tcPr>
                  <w:tcW w:w="1161" w:type="dxa"/>
                  <w:noWrap w:val="0"/>
                  <w:vAlign w:val="center"/>
                </w:tcPr>
                <w:p w14:paraId="6901A4C5">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bl>
          <w:p w14:paraId="44E5FCB0">
            <w:pPr>
              <w:autoSpaceDE w:val="0"/>
              <w:autoSpaceDN w:val="0"/>
              <w:adjustRightInd w:val="0"/>
              <w:snapToGrid w:val="0"/>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表1-</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 xml:space="preserve"> 与《河南省2024年净土保卫战实施方案》相符性分析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2179"/>
              <w:gridCol w:w="1107"/>
            </w:tblGrid>
            <w:tr w14:paraId="4C73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noWrap w:val="0"/>
                  <w:vAlign w:val="center"/>
                </w:tcPr>
                <w:p w14:paraId="4C685945">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与本项目相关条文</w:t>
                  </w:r>
                </w:p>
              </w:tc>
              <w:tc>
                <w:tcPr>
                  <w:tcW w:w="2292" w:type="dxa"/>
                  <w:noWrap w:val="0"/>
                  <w:vAlign w:val="center"/>
                </w:tcPr>
                <w:p w14:paraId="01C6FDA3">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1161" w:type="dxa"/>
                  <w:noWrap w:val="0"/>
                  <w:vAlign w:val="center"/>
                </w:tcPr>
                <w:p w14:paraId="279217A4">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符合性分析</w:t>
                  </w:r>
                </w:p>
              </w:tc>
            </w:tr>
            <w:tr w14:paraId="7311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noWrap w:val="0"/>
                  <w:vAlign w:val="center"/>
                </w:tcPr>
                <w:p w14:paraId="7E1B626A">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 强化在产企业土壤污染源头防控。完成土壤污染重点监管单位名录更新，并向社会公开。指导新纳入的重点监管单位本年度内开展一次隐患排查、自行监测。做好土壤污染重点监管单位隐患排查“回头看”工作，并将隐患排查报告及相关材料上传至重点监管单位土壤和地下水环境管理信息系统，6 月底前各地完成市级抽查，抽查比例不低于20%。省级重点对有色金属冶炼、石油加工、化工、焦化、电镀、制革、铅蓄电池制造、危险废物处置等行业企业组织开展隐患排查监督检查。</w:t>
                  </w:r>
                </w:p>
              </w:tc>
              <w:tc>
                <w:tcPr>
                  <w:tcW w:w="2292" w:type="dxa"/>
                  <w:noWrap w:val="0"/>
                  <w:vAlign w:val="center"/>
                </w:tcPr>
                <w:p w14:paraId="497529CF">
                  <w:pPr>
                    <w:widowControl/>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厂区内设1个一般固废暂存间</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，项目固废均合理处置。</w:t>
                  </w:r>
                </w:p>
              </w:tc>
              <w:tc>
                <w:tcPr>
                  <w:tcW w:w="1161" w:type="dxa"/>
                  <w:noWrap w:val="0"/>
                  <w:vAlign w:val="center"/>
                </w:tcPr>
                <w:p w14:paraId="09764A43">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bl>
          <w:p w14:paraId="09B895F8">
            <w:pPr>
              <w:autoSpaceDE w:val="0"/>
              <w:autoSpaceDN w:val="0"/>
              <w:adjustRightInd w:val="0"/>
              <w:snapToGrid w:val="0"/>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表1-</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 xml:space="preserve"> 与《河南省2024年柴油货车污染治理攻坚战实施方案》相符性分析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3"/>
              <w:gridCol w:w="2172"/>
              <w:gridCol w:w="1108"/>
            </w:tblGrid>
            <w:tr w14:paraId="7592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noWrap w:val="0"/>
                  <w:vAlign w:val="center"/>
                </w:tcPr>
                <w:p w14:paraId="2161F6F0">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与本项目相关条文</w:t>
                  </w:r>
                </w:p>
              </w:tc>
              <w:tc>
                <w:tcPr>
                  <w:tcW w:w="2292" w:type="dxa"/>
                  <w:noWrap w:val="0"/>
                  <w:vAlign w:val="center"/>
                </w:tcPr>
                <w:p w14:paraId="759ADF5E">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1161" w:type="dxa"/>
                  <w:noWrap w:val="0"/>
                  <w:vAlign w:val="center"/>
                </w:tcPr>
                <w:p w14:paraId="6C287977">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符合性分析</w:t>
                  </w:r>
                </w:p>
              </w:tc>
            </w:tr>
            <w:tr w14:paraId="5D7D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noWrap w:val="0"/>
                  <w:vAlign w:val="center"/>
                </w:tcPr>
                <w:p w14:paraId="5C6E50F4">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 提升重点行业清洁运输比例。推进重点行业企业使用铁路、水路、管道或新能源汽车等方式运输，加快提升火电、钢铁、煤炭、焦化、石化、化工、有色等行业清洁运输比例。2024年底前，力争火电、钢铁、煤炭、焦化行业大宗货物清洁运输比例达到80%。加快推进建材（含砂石骨料）行业使用清洁方式运输。鼓励工矿企业等单位采取与运输企业（个人）签订合作协议等方式，推进内部转运车辆和外部短距离运输车辆全部使用新能源车。</w:t>
                  </w:r>
                </w:p>
              </w:tc>
              <w:tc>
                <w:tcPr>
                  <w:tcW w:w="2292" w:type="dxa"/>
                  <w:noWrap w:val="0"/>
                  <w:vAlign w:val="center"/>
                </w:tcPr>
                <w:p w14:paraId="0451C931">
                  <w:pPr>
                    <w:widowControl/>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项目建成后，</w:t>
                  </w:r>
                  <w:r>
                    <w:rPr>
                      <w:rFonts w:hint="default" w:ascii="Times New Roman" w:hAnsi="Times New Roman" w:eastAsia="宋体" w:cs="Times New Roman"/>
                      <w:color w:val="auto"/>
                      <w:szCs w:val="21"/>
                    </w:rPr>
                    <w:t>按照绩效分级</w:t>
                  </w:r>
                  <w:r>
                    <w:rPr>
                      <w:rFonts w:hint="default" w:ascii="Times New Roman" w:hAnsi="Times New Roman" w:eastAsia="宋体" w:cs="Times New Roman"/>
                      <w:color w:val="auto"/>
                      <w:szCs w:val="21"/>
                      <w:lang w:eastAsia="zh-CN"/>
                    </w:rPr>
                    <w:t>相应</w:t>
                  </w:r>
                  <w:r>
                    <w:rPr>
                      <w:rFonts w:hint="default" w:ascii="Times New Roman" w:hAnsi="Times New Roman" w:eastAsia="宋体" w:cs="Times New Roman"/>
                      <w:color w:val="auto"/>
                      <w:szCs w:val="21"/>
                    </w:rPr>
                    <w:t>要求进行管理。</w:t>
                  </w:r>
                </w:p>
              </w:tc>
              <w:tc>
                <w:tcPr>
                  <w:tcW w:w="1161" w:type="dxa"/>
                  <w:noWrap w:val="0"/>
                  <w:vAlign w:val="center"/>
                </w:tcPr>
                <w:p w14:paraId="27E5FEB9">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bl>
          <w:p w14:paraId="4C0E89B8">
            <w:pPr>
              <w:adjustRightInd w:val="0"/>
              <w:snapToGrid w:val="0"/>
              <w:spacing w:line="52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综上，本项目符合《河南省2024年蓝天保卫战实施方案》《河南省2024年碧水保卫战实施方案》《河南省2024年净土保卫战实施方案》《河南省2024年柴油货车污染治理攻坚战实施方案》要求。</w:t>
            </w:r>
          </w:p>
          <w:p w14:paraId="5022083D">
            <w:pPr>
              <w:pStyle w:val="24"/>
              <w:spacing w:line="360" w:lineRule="auto"/>
              <w:ind w:firstLine="480" w:firstLineChars="200"/>
              <w:jc w:val="left"/>
              <w:rPr>
                <w:rFonts w:hint="default" w:ascii="Times New Roman" w:hAnsi="Times New Roman" w:eastAsia="宋体" w:cs="Times New Roman"/>
                <w:b/>
                <w:bCs/>
                <w:color w:val="auto"/>
                <w:sz w:val="24"/>
                <w:lang w:val="en-US" w:bidi="ar-SA"/>
              </w:rPr>
            </w:pPr>
            <w:r>
              <w:rPr>
                <w:rFonts w:hint="default" w:ascii="Times New Roman" w:hAnsi="Times New Roman" w:eastAsia="宋体" w:cs="Times New Roman"/>
                <w:color w:val="auto"/>
                <w:kern w:val="0"/>
                <w:sz w:val="24"/>
                <w:lang w:val="en-US" w:bidi="ar-SA"/>
              </w:rPr>
              <w:t>5、</w:t>
            </w:r>
            <w:r>
              <w:rPr>
                <w:rFonts w:hint="default" w:ascii="Times New Roman" w:hAnsi="Times New Roman" w:eastAsia="宋体" w:cs="Times New Roman"/>
                <w:b/>
                <w:bCs/>
                <w:color w:val="auto"/>
                <w:sz w:val="24"/>
                <w:lang w:val="en-US" w:bidi="ar-SA"/>
              </w:rPr>
              <w:t>与《安阳市2024—2025年空气质量持续改善暨综合指数“退后十”攻坚行动方案》《安阳市2024 年碧水保卫战实施方案》《安阳市2024 年净土保卫战实施方案》《安阳市2024 年柴油货车污染治理攻坚行动方案》相符性分析</w:t>
            </w:r>
          </w:p>
          <w:p w14:paraId="7888754C">
            <w:pPr>
              <w:autoSpaceDE w:val="0"/>
              <w:autoSpaceDN w:val="0"/>
              <w:adjustRightInd w:val="0"/>
              <w:snapToGrid w:val="0"/>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 xml:space="preserve"> 与《安阳市2024—2025年空气质量持续改善暨综合指数“退后十”攻坚行动方案》符合性分析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2175"/>
              <w:gridCol w:w="1114"/>
            </w:tblGrid>
            <w:tr w14:paraId="15EC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4" w:type="dxa"/>
                  <w:noWrap w:val="0"/>
                  <w:vAlign w:val="center"/>
                </w:tcPr>
                <w:p w14:paraId="1E101CA4">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与本项目相关条文</w:t>
                  </w:r>
                </w:p>
              </w:tc>
              <w:tc>
                <w:tcPr>
                  <w:tcW w:w="2175" w:type="dxa"/>
                  <w:noWrap w:val="0"/>
                  <w:vAlign w:val="center"/>
                </w:tcPr>
                <w:p w14:paraId="00B3ACF5">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1114" w:type="dxa"/>
                  <w:noWrap w:val="0"/>
                  <w:vAlign w:val="center"/>
                </w:tcPr>
                <w:p w14:paraId="792AEEFE">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符合性分析</w:t>
                  </w:r>
                </w:p>
              </w:tc>
            </w:tr>
            <w:tr w14:paraId="26C6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4" w:type="dxa"/>
                  <w:noWrap w:val="0"/>
                  <w:vAlign w:val="center"/>
                </w:tcPr>
                <w:p w14:paraId="22047C33">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5.严格项目源头管控。坚决遏制</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两高</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项目盲目发展，严禁新增钢铁、焦化、铸造用生铁、水泥、玻璃、有色、煤化工、炭素、烧结砖瓦、耐火材料（含烧结工序的）、铁合金、独立煤炭洗选、石灰窑、机制砂（石料破碎）等行业产能。严格控制新建生产和使用高VOCs含量溶剂型涂料、油墨、胶粘剂、清洗剂等建设项目。禁止新增化工园区。新（改、扩）建项目严格执行国家产业政策、环保政策及产能置换等相关要求，原则上达到环保绩效A 级、引领性企业或国内清洁生产先进水平，其中火电、钢铁、水泥、焦化项目要高标准实现超低排放</w:t>
                  </w:r>
                </w:p>
              </w:tc>
              <w:tc>
                <w:tcPr>
                  <w:tcW w:w="2175" w:type="dxa"/>
                  <w:noWrap w:val="0"/>
                  <w:vAlign w:val="center"/>
                </w:tcPr>
                <w:p w14:paraId="309095F0">
                  <w:pPr>
                    <w:widowControl/>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本项目不属于</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两高</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项目，不涉及高VOCs含量溶剂型涂料、油墨、胶粘剂、清洗剂生产及使用；符合国家产业政策。</w:t>
                  </w:r>
                </w:p>
              </w:tc>
              <w:tc>
                <w:tcPr>
                  <w:tcW w:w="1114" w:type="dxa"/>
                  <w:noWrap w:val="0"/>
                  <w:vAlign w:val="center"/>
                </w:tcPr>
                <w:p w14:paraId="3C68504A">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bl>
          <w:p w14:paraId="0E29F446">
            <w:pPr>
              <w:autoSpaceDE w:val="0"/>
              <w:autoSpaceDN w:val="0"/>
              <w:adjustRightInd w:val="0"/>
              <w:snapToGrid w:val="0"/>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表1-</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 xml:space="preserve"> 与《安阳市2024 年碧水保卫战实施方案》符合性分析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1"/>
              <w:gridCol w:w="2203"/>
              <w:gridCol w:w="1139"/>
            </w:tblGrid>
            <w:tr w14:paraId="7C3C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9" w:type="dxa"/>
                  <w:noWrap w:val="0"/>
                  <w:vAlign w:val="center"/>
                </w:tcPr>
                <w:p w14:paraId="40070BC0">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与本项目相关条文</w:t>
                  </w:r>
                </w:p>
              </w:tc>
              <w:tc>
                <w:tcPr>
                  <w:tcW w:w="1963" w:type="dxa"/>
                  <w:noWrap w:val="0"/>
                  <w:vAlign w:val="center"/>
                </w:tcPr>
                <w:p w14:paraId="1313B168">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1015" w:type="dxa"/>
                  <w:noWrap w:val="0"/>
                  <w:vAlign w:val="center"/>
                </w:tcPr>
                <w:p w14:paraId="7118F373">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符合性分析</w:t>
                  </w:r>
                </w:p>
              </w:tc>
            </w:tr>
            <w:tr w14:paraId="6AD8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9" w:type="dxa"/>
                  <w:noWrap w:val="0"/>
                  <w:vAlign w:val="center"/>
                </w:tcPr>
                <w:p w14:paraId="06D52578">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21.持续开展工业废水循环利用工程。推动工业企业、园区废水循环利用，实现串联用水、分质用水、一水多用和梯级利用，提升企业水重复利用率。推动有条件的工业企业、园区进一步完善再生水管网，将处理达标后的再生水回用于生产过程，减少企业新水取用量，形成可复制推广的产城融合废水高效循环利用新模式。重点围绕火电、石化、钢铁、有色、印染等高耗水行业，组织开展企业内部废水利用，积极创建工业废水循环利用示范企业、园区</w:t>
                  </w:r>
                </w:p>
              </w:tc>
              <w:tc>
                <w:tcPr>
                  <w:tcW w:w="1963" w:type="dxa"/>
                  <w:noWrap w:val="0"/>
                  <w:vAlign w:val="center"/>
                </w:tcPr>
                <w:p w14:paraId="7456267B">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w:t>
                  </w:r>
                  <w:r>
                    <w:rPr>
                      <w:rFonts w:hint="default" w:ascii="Times New Roman" w:hAnsi="Times New Roman" w:eastAsia="宋体" w:cs="Times New Roman"/>
                      <w:bCs/>
                      <w:color w:val="000000"/>
                      <w:szCs w:val="21"/>
                      <w:lang w:eastAsia="zh-CN"/>
                    </w:rPr>
                    <w:t>废水经</w:t>
                  </w:r>
                  <w:r>
                    <w:rPr>
                      <w:rFonts w:hint="default"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化粪池+一体化污水处理设施</w:t>
                  </w:r>
                  <w:r>
                    <w:rPr>
                      <w:rFonts w:hint="eastAsia"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处理后，</w:t>
                  </w:r>
                  <w:r>
                    <w:rPr>
                      <w:rFonts w:hint="default" w:ascii="Times New Roman" w:hAnsi="Times New Roman" w:cs="Times New Roman"/>
                      <w:color w:val="auto"/>
                      <w:kern w:val="2"/>
                      <w:sz w:val="21"/>
                      <w:szCs w:val="21"/>
                      <w:highlight w:val="none"/>
                      <w:vertAlign w:val="baseline"/>
                      <w:lang w:val="en-US" w:eastAsia="zh-CN" w:bidi="zh-CN"/>
                    </w:rPr>
                    <w:t>经市政管网排入滑县产业集聚区污水处理厂集中处理</w:t>
                  </w:r>
                  <w:r>
                    <w:rPr>
                      <w:rFonts w:hint="eastAsia" w:cs="Times New Roman"/>
                      <w:color w:val="auto"/>
                      <w:kern w:val="2"/>
                      <w:sz w:val="21"/>
                      <w:szCs w:val="21"/>
                      <w:highlight w:val="none"/>
                      <w:vertAlign w:val="baseline"/>
                      <w:lang w:val="en-US" w:eastAsia="zh-CN" w:bidi="zh-CN"/>
                    </w:rPr>
                    <w:t>。</w:t>
                  </w:r>
                </w:p>
              </w:tc>
              <w:tc>
                <w:tcPr>
                  <w:tcW w:w="1015" w:type="dxa"/>
                  <w:noWrap w:val="0"/>
                  <w:vAlign w:val="center"/>
                </w:tcPr>
                <w:p w14:paraId="5BBC0815">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bl>
          <w:p w14:paraId="6927D635">
            <w:pPr>
              <w:autoSpaceDE w:val="0"/>
              <w:autoSpaceDN w:val="0"/>
              <w:adjustRightInd w:val="0"/>
              <w:snapToGrid w:val="0"/>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表1-</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与《安阳市2024 年净土保卫战实施方案》符合性分析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2239"/>
              <w:gridCol w:w="1131"/>
            </w:tblGrid>
            <w:tr w14:paraId="1007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4" w:type="dxa"/>
                  <w:noWrap w:val="0"/>
                  <w:vAlign w:val="center"/>
                </w:tcPr>
                <w:p w14:paraId="1243390C">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与本项目相关条文</w:t>
                  </w:r>
                </w:p>
              </w:tc>
              <w:tc>
                <w:tcPr>
                  <w:tcW w:w="1995" w:type="dxa"/>
                  <w:noWrap w:val="0"/>
                  <w:vAlign w:val="center"/>
                </w:tcPr>
                <w:p w14:paraId="2DF5BCE6">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1008" w:type="dxa"/>
                  <w:noWrap w:val="0"/>
                  <w:vAlign w:val="center"/>
                </w:tcPr>
                <w:p w14:paraId="6E5728BA">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符合性分析</w:t>
                  </w:r>
                </w:p>
              </w:tc>
            </w:tr>
            <w:tr w14:paraId="30CA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4" w:type="dxa"/>
                  <w:noWrap w:val="0"/>
                  <w:vAlign w:val="center"/>
                </w:tcPr>
                <w:p w14:paraId="310E75A1">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加强土壤污染源头防控。完成耕地土壤重金属污染成因排查试点。动态更新涉镉等重金属行业企业清单并完成整治任务。完成土壤污染重点监管单位名录更新，及时向社会公开，依法纳入排污许可管理，全面落实法律义务。新纳入的重点监管单位年底前完成隐患排查、编制隐患排查报告。对14 家土壤重点监管单位开展隐患排查“回头看”，5 月底前县级完成现场核查，6月底前市级完成抽查</w:t>
                  </w:r>
                </w:p>
              </w:tc>
              <w:tc>
                <w:tcPr>
                  <w:tcW w:w="1995" w:type="dxa"/>
                  <w:noWrap w:val="0"/>
                  <w:vAlign w:val="center"/>
                </w:tcPr>
                <w:p w14:paraId="4CE933ED">
                  <w:pPr>
                    <w:widowControl/>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厂区内设1个</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一般固废暂存间，项目固废均合理处置。</w:t>
                  </w:r>
                </w:p>
              </w:tc>
              <w:tc>
                <w:tcPr>
                  <w:tcW w:w="1008" w:type="dxa"/>
                  <w:noWrap w:val="0"/>
                  <w:vAlign w:val="center"/>
                </w:tcPr>
                <w:p w14:paraId="5C0FCCA6">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bl>
          <w:p w14:paraId="19D0D27C">
            <w:pPr>
              <w:autoSpaceDE w:val="0"/>
              <w:autoSpaceDN w:val="0"/>
              <w:adjustRightInd w:val="0"/>
              <w:snapToGrid w:val="0"/>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表1-1</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 xml:space="preserve"> 与《安阳市2024 年柴油货车污染治理攻坚行动方案》符合性分析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3"/>
              <w:gridCol w:w="2172"/>
              <w:gridCol w:w="1108"/>
            </w:tblGrid>
            <w:tr w14:paraId="0EA7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noWrap w:val="0"/>
                  <w:vAlign w:val="center"/>
                </w:tcPr>
                <w:p w14:paraId="3253E11B">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与本项目相关条文</w:t>
                  </w:r>
                </w:p>
              </w:tc>
              <w:tc>
                <w:tcPr>
                  <w:tcW w:w="2292" w:type="dxa"/>
                  <w:noWrap w:val="0"/>
                  <w:vAlign w:val="center"/>
                </w:tcPr>
                <w:p w14:paraId="69E718AD">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1161" w:type="dxa"/>
                  <w:noWrap w:val="0"/>
                  <w:vAlign w:val="center"/>
                </w:tcPr>
                <w:p w14:paraId="4C209EB2">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符合性分析</w:t>
                  </w:r>
                </w:p>
              </w:tc>
            </w:tr>
            <w:tr w14:paraId="099C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noWrap w:val="0"/>
                  <w:vAlign w:val="center"/>
                </w:tcPr>
                <w:p w14:paraId="6AD81A50">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2.提高重点行业企业清洁运输比例。推进重点行业企业使用铁路、管廊或新能源汽车等方式运输，加快提升火电、钢铁、煤炭、焦化、化工、有色等行业清洁运输比例。2024 年底前，火电、钢铁、煤炭、焦化行业大宗货物清洁运输比例达到80%。加快推进建材（含砂石骨料）行业使用清洁方式运输，支持中联水泥实施封闭廊道运输</w:t>
                  </w:r>
                </w:p>
              </w:tc>
              <w:tc>
                <w:tcPr>
                  <w:tcW w:w="2292" w:type="dxa"/>
                  <w:noWrap w:val="0"/>
                  <w:vAlign w:val="center"/>
                </w:tcPr>
                <w:p w14:paraId="04AEC21B">
                  <w:pPr>
                    <w:widowControl/>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项目建成后，</w:t>
                  </w:r>
                  <w:r>
                    <w:rPr>
                      <w:rFonts w:hint="default" w:ascii="Times New Roman" w:hAnsi="Times New Roman" w:eastAsia="宋体" w:cs="Times New Roman"/>
                      <w:color w:val="auto"/>
                      <w:szCs w:val="21"/>
                    </w:rPr>
                    <w:t>按照绩效分级</w:t>
                  </w:r>
                  <w:r>
                    <w:rPr>
                      <w:rFonts w:hint="default" w:ascii="Times New Roman" w:hAnsi="Times New Roman" w:eastAsia="宋体" w:cs="Times New Roman"/>
                      <w:color w:val="auto"/>
                      <w:szCs w:val="21"/>
                      <w:lang w:eastAsia="zh-CN"/>
                    </w:rPr>
                    <w:t>相应</w:t>
                  </w:r>
                  <w:r>
                    <w:rPr>
                      <w:rFonts w:hint="default" w:ascii="Times New Roman" w:hAnsi="Times New Roman" w:eastAsia="宋体" w:cs="Times New Roman"/>
                      <w:color w:val="auto"/>
                      <w:szCs w:val="21"/>
                    </w:rPr>
                    <w:t>要求进行管理。</w:t>
                  </w:r>
                </w:p>
              </w:tc>
              <w:tc>
                <w:tcPr>
                  <w:tcW w:w="1161" w:type="dxa"/>
                  <w:noWrap w:val="0"/>
                  <w:vAlign w:val="center"/>
                </w:tcPr>
                <w:p w14:paraId="0919B556">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bl>
          <w:p w14:paraId="3B278D57">
            <w:pPr>
              <w:adjustRightInd w:val="0"/>
              <w:snapToGrid w:val="0"/>
              <w:spacing w:line="520" w:lineRule="exact"/>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综上，本项目符合《安阳市2024—2025年空气质量持续改善暨综合指数“退后十”攻坚行动方案》《安阳市2024 年碧水保卫战实施方案》《安阳市2024 年净土保卫战实施方案》《安阳市2024 年柴油货车污染治理攻坚行动方案》要求。</w:t>
            </w:r>
          </w:p>
          <w:p w14:paraId="38BE5834">
            <w:pPr>
              <w:pStyle w:val="24"/>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val="en-US" w:eastAsia="zh-CN" w:bidi="ar-SA"/>
              </w:rPr>
              <w:t>6</w:t>
            </w:r>
            <w:r>
              <w:rPr>
                <w:rFonts w:hint="default" w:ascii="Times New Roman" w:hAnsi="Times New Roman" w:eastAsia="宋体" w:cs="Times New Roman"/>
                <w:b/>
                <w:bCs/>
                <w:color w:val="auto"/>
                <w:sz w:val="24"/>
                <w:lang w:val="en-US" w:bidi="ar-SA"/>
              </w:rPr>
              <w:t>、备案相符性分析</w:t>
            </w:r>
          </w:p>
          <w:p w14:paraId="5D22F719">
            <w:pPr>
              <w:autoSpaceDE w:val="0"/>
              <w:autoSpaceDN w:val="0"/>
              <w:adjustRightInd w:val="0"/>
              <w:snapToGrid w:val="0"/>
              <w:ind w:firstLine="480" w:firstLineChars="200"/>
              <w:jc w:val="center"/>
              <w:rPr>
                <w:rFonts w:hint="default" w:ascii="Times New Roman" w:hAnsi="Times New Roman" w:eastAsia="宋体" w:cs="Times New Roman"/>
                <w:color w:val="auto"/>
                <w:sz w:val="24"/>
              </w:rPr>
            </w:pPr>
          </w:p>
          <w:p w14:paraId="5FF534C3">
            <w:pPr>
              <w:autoSpaceDE w:val="0"/>
              <w:autoSpaceDN w:val="0"/>
              <w:adjustRightInd w:val="0"/>
              <w:snapToGrid w:val="0"/>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表1-1</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kern w:val="0"/>
                <w:sz w:val="24"/>
              </w:rPr>
              <w:t xml:space="preserve"> </w:t>
            </w:r>
            <w:r>
              <w:rPr>
                <w:rFonts w:hint="default" w:ascii="Times New Roman" w:hAnsi="Times New Roman" w:eastAsia="宋体" w:cs="Times New Roman"/>
                <w:color w:val="auto"/>
                <w:sz w:val="24"/>
              </w:rPr>
              <w:t>备案相符性分析一览表</w:t>
            </w:r>
          </w:p>
          <w:tbl>
            <w:tblPr>
              <w:tblStyle w:val="19"/>
              <w:tblW w:w="8053"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75"/>
              <w:gridCol w:w="2968"/>
              <w:gridCol w:w="2927"/>
              <w:gridCol w:w="883"/>
            </w:tblGrid>
            <w:tr w14:paraId="469320A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6B721DC9">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项目</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01D91596">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备案内容</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A082566">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实际内容</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74501C67">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相符性</w:t>
                  </w:r>
                </w:p>
              </w:tc>
            </w:tr>
            <w:tr w14:paraId="19C6F5C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7D31CBC3">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项目名称</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511F8FED">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年产</w:t>
                  </w:r>
                  <w:r>
                    <w:rPr>
                      <w:rFonts w:hint="default" w:ascii="Times New Roman" w:hAnsi="Times New Roman" w:eastAsia="宋体" w:cs="Times New Roman"/>
                      <w:bCs/>
                      <w:color w:val="auto"/>
                      <w:szCs w:val="21"/>
                      <w:lang w:val="en-US" w:eastAsia="zh-CN"/>
                    </w:rPr>
                    <w:t>500吨淀粉糖品生产制造</w:t>
                  </w:r>
                  <w:r>
                    <w:rPr>
                      <w:rFonts w:hint="default" w:ascii="Times New Roman" w:hAnsi="Times New Roman" w:eastAsia="宋体" w:cs="Times New Roman"/>
                      <w:bCs/>
                      <w:color w:val="auto"/>
                      <w:szCs w:val="21"/>
                    </w:rPr>
                    <w:t>项目</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0AA7E0B5">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年产</w:t>
                  </w:r>
                  <w:r>
                    <w:rPr>
                      <w:rFonts w:hint="default" w:ascii="Times New Roman" w:hAnsi="Times New Roman" w:eastAsia="宋体" w:cs="Times New Roman"/>
                      <w:bCs/>
                      <w:color w:val="auto"/>
                      <w:szCs w:val="21"/>
                      <w:lang w:val="en-US" w:eastAsia="zh-CN"/>
                    </w:rPr>
                    <w:t>500吨淀粉糖品生产制造</w:t>
                  </w:r>
                  <w:r>
                    <w:rPr>
                      <w:rFonts w:hint="default" w:ascii="Times New Roman" w:hAnsi="Times New Roman" w:eastAsia="宋体" w:cs="Times New Roman"/>
                      <w:bCs/>
                      <w:color w:val="auto"/>
                      <w:szCs w:val="21"/>
                    </w:rPr>
                    <w:t>项目</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794CDFF0">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1CF547F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1FAABDC4">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企业全称</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5925BC8F">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河南</w:t>
                  </w:r>
                  <w:r>
                    <w:rPr>
                      <w:rFonts w:hint="default" w:ascii="Times New Roman" w:hAnsi="Times New Roman" w:eastAsia="宋体" w:cs="Times New Roman"/>
                      <w:bCs/>
                      <w:color w:val="auto"/>
                      <w:szCs w:val="21"/>
                      <w:lang w:eastAsia="zh-CN"/>
                    </w:rPr>
                    <w:t>博技农业发展有限公司</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5BBEC2C9">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河南</w:t>
                  </w:r>
                  <w:r>
                    <w:rPr>
                      <w:rFonts w:hint="default" w:ascii="Times New Roman" w:hAnsi="Times New Roman" w:eastAsia="宋体" w:cs="Times New Roman"/>
                      <w:bCs/>
                      <w:color w:val="auto"/>
                      <w:szCs w:val="21"/>
                      <w:lang w:eastAsia="zh-CN"/>
                    </w:rPr>
                    <w:t>博技农业发展有限公司</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1FCEFA68">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5478BF3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4166B3B8">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建设地点</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5E8C93CD">
                  <w:pPr>
                    <w:widowControl/>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rPr>
                    <w:t>河南省安阳市</w:t>
                  </w:r>
                  <w:r>
                    <w:rPr>
                      <w:rFonts w:hint="default" w:ascii="Times New Roman" w:hAnsi="Times New Roman" w:cs="Times New Roman"/>
                      <w:bCs/>
                      <w:color w:val="auto"/>
                      <w:szCs w:val="21"/>
                      <w:lang w:eastAsia="zh-CN"/>
                    </w:rPr>
                    <w:t>滑县新区漓江路与古城路北2号</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69E07AF">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河南省安阳市</w:t>
                  </w:r>
                  <w:r>
                    <w:rPr>
                      <w:rFonts w:hint="default" w:ascii="Times New Roman" w:hAnsi="Times New Roman" w:cs="Times New Roman"/>
                      <w:bCs/>
                      <w:color w:val="auto"/>
                      <w:szCs w:val="21"/>
                      <w:lang w:eastAsia="zh-CN"/>
                    </w:rPr>
                    <w:t>滑县新区漓江路与古城路北2号</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2B9FC014">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1FEBC04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5993EE71">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建设性质</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001D8C02">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新建</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C835EE3">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新建</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3C0648EF">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3D1B939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266A4BD7">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占地面积</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5B9FEC8A">
                  <w:pPr>
                    <w:widowControl/>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lang w:val="en-US" w:eastAsia="zh-CN"/>
                    </w:rPr>
                    <w:t>17512.23</w:t>
                  </w:r>
                  <w:r>
                    <w:rPr>
                      <w:rFonts w:hint="default" w:ascii="Times New Roman" w:hAnsi="Times New Roman" w:eastAsia="宋体" w:cs="Times New Roman"/>
                      <w:bCs/>
                      <w:color w:val="auto"/>
                      <w:szCs w:val="21"/>
                    </w:rPr>
                    <w:t>平方米</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5434B5A">
                  <w:pPr>
                    <w:widowControl/>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lang w:val="en-US" w:eastAsia="zh-CN"/>
                    </w:rPr>
                    <w:t>17512.23</w:t>
                  </w:r>
                  <w:r>
                    <w:rPr>
                      <w:rFonts w:hint="default" w:ascii="Times New Roman" w:hAnsi="Times New Roman" w:eastAsia="宋体" w:cs="Times New Roman"/>
                      <w:bCs/>
                      <w:color w:val="auto"/>
                      <w:szCs w:val="21"/>
                    </w:rPr>
                    <w:t>平方米</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33F68871">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57303B0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01927090">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总建筑面积</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08B03890">
                  <w:pPr>
                    <w:widowControl/>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lang w:val="en-US" w:eastAsia="zh-CN"/>
                    </w:rPr>
                    <w:t>31925.84</w:t>
                  </w:r>
                  <w:r>
                    <w:rPr>
                      <w:rFonts w:hint="default" w:ascii="Times New Roman" w:hAnsi="Times New Roman" w:eastAsia="宋体" w:cs="Times New Roman"/>
                      <w:bCs/>
                      <w:color w:val="auto"/>
                      <w:szCs w:val="21"/>
                    </w:rPr>
                    <w:t>平方米</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5E9B215">
                  <w:pPr>
                    <w:widowControl/>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lang w:val="en-US" w:eastAsia="zh-CN"/>
                    </w:rPr>
                    <w:t>31925.84</w:t>
                  </w:r>
                  <w:r>
                    <w:rPr>
                      <w:rFonts w:hint="default" w:ascii="Times New Roman" w:hAnsi="Times New Roman" w:eastAsia="宋体" w:cs="Times New Roman"/>
                      <w:bCs/>
                      <w:color w:val="auto"/>
                      <w:szCs w:val="21"/>
                    </w:rPr>
                    <w:t>平方米</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1126589C">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6DBA580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5ABA2631">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建设内容</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72E70C71">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生产车间、办公用房及仓库等</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3AF6BFBF">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eastAsia="zh-CN"/>
                    </w:rPr>
                    <w:t>生产车间、办公用房及仓库等</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0FF99732">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5F6F707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3E8F21F4">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主要原料</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3B905361">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淀粉</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2B956095">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淀粉</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7E5BD78C">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相符</w:t>
                  </w:r>
                </w:p>
              </w:tc>
            </w:tr>
            <w:tr w14:paraId="5498827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43D9B724">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工艺流程</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3C95FFCC">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eastAsia="zh-CN"/>
                    </w:rPr>
                    <w:t>淀粉、酶、水</w:t>
                  </w:r>
                  <w:r>
                    <w:rPr>
                      <w:rFonts w:hint="default" w:ascii="Times New Roman" w:hAnsi="Times New Roman" w:eastAsia="宋体" w:cs="Times New Roman"/>
                      <w:bCs/>
                      <w:color w:val="auto"/>
                      <w:szCs w:val="21"/>
                      <w:lang w:val="en-US" w:eastAsia="zh-CN"/>
                    </w:rPr>
                    <w:t>-搅拌-制糖-离心-压缩-成品</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C2C59AE">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eastAsia="zh-CN"/>
                    </w:rPr>
                    <w:t>淀粉、酶、水</w:t>
                  </w:r>
                  <w:r>
                    <w:rPr>
                      <w:rFonts w:hint="default" w:ascii="Times New Roman" w:hAnsi="Times New Roman" w:eastAsia="宋体" w:cs="Times New Roman"/>
                      <w:bCs/>
                      <w:color w:val="auto"/>
                      <w:szCs w:val="21"/>
                      <w:lang w:val="en-US" w:eastAsia="zh-CN"/>
                    </w:rPr>
                    <w:t>-搅拌-制糖-离心-压缩-成品</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2D9FBE6A">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相符</w:t>
                  </w:r>
                </w:p>
              </w:tc>
            </w:tr>
            <w:tr w14:paraId="0766DC1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1B2D23A6">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主要设备</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5EF5F749">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eastAsia="zh-CN"/>
                    </w:rPr>
                    <w:t>投料机、混合搅拌机、多功能制糖机、空气压缩机（</w:t>
                  </w:r>
                  <w:r>
                    <w:rPr>
                      <w:rFonts w:hint="default" w:ascii="Times New Roman" w:hAnsi="Times New Roman" w:eastAsia="宋体" w:cs="Times New Roman"/>
                      <w:bCs/>
                      <w:color w:val="auto"/>
                      <w:szCs w:val="21"/>
                      <w:lang w:val="en-US" w:eastAsia="zh-CN"/>
                    </w:rPr>
                    <w:t>GF-63</w:t>
                  </w:r>
                  <w:r>
                    <w:rPr>
                      <w:rFonts w:hint="default" w:ascii="Times New Roman" w:hAnsi="Times New Roman" w:eastAsia="宋体" w:cs="Times New Roman"/>
                      <w:bCs/>
                      <w:color w:val="auto"/>
                      <w:szCs w:val="21"/>
                      <w:lang w:eastAsia="zh-CN"/>
                    </w:rPr>
                    <w:t>）、包装机、自动喷码机等</w:t>
                  </w:r>
                  <w:r>
                    <w:rPr>
                      <w:rFonts w:hint="default" w:ascii="Times New Roman" w:hAnsi="Times New Roman" w:eastAsia="宋体" w:cs="Times New Roman"/>
                      <w:bCs/>
                      <w:color w:val="auto"/>
                      <w:szCs w:val="21"/>
                    </w:rPr>
                    <w:t>。</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2329F666">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eastAsia="zh-CN"/>
                    </w:rPr>
                    <w:t>投料机、混合搅拌机、多功能制糖机、空气压缩机（</w:t>
                  </w:r>
                  <w:r>
                    <w:rPr>
                      <w:rFonts w:hint="default" w:ascii="Times New Roman" w:hAnsi="Times New Roman" w:eastAsia="宋体" w:cs="Times New Roman"/>
                      <w:bCs/>
                      <w:color w:val="auto"/>
                      <w:szCs w:val="21"/>
                      <w:lang w:val="en-US" w:eastAsia="zh-CN"/>
                    </w:rPr>
                    <w:t>GF-63</w:t>
                  </w:r>
                  <w:r>
                    <w:rPr>
                      <w:rFonts w:hint="default" w:ascii="Times New Roman" w:hAnsi="Times New Roman" w:eastAsia="宋体" w:cs="Times New Roman"/>
                      <w:bCs/>
                      <w:color w:val="auto"/>
                      <w:szCs w:val="21"/>
                      <w:lang w:eastAsia="zh-CN"/>
                    </w:rPr>
                    <w:t>）、包装机、自动喷码机等</w:t>
                  </w:r>
                  <w:r>
                    <w:rPr>
                      <w:rFonts w:hint="default" w:ascii="Times New Roman" w:hAnsi="Times New Roman" w:eastAsia="宋体" w:cs="Times New Roman"/>
                      <w:bCs/>
                      <w:color w:val="auto"/>
                      <w:szCs w:val="21"/>
                    </w:rPr>
                    <w:t>。</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7D6091AC">
                  <w:pPr>
                    <w:widowControl/>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相符</w:t>
                  </w:r>
                </w:p>
              </w:tc>
            </w:tr>
            <w:tr w14:paraId="59E62F8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0" w:space="0"/>
                    <w:bottom w:val="single" w:color="auto" w:sz="4" w:space="0"/>
                    <w:right w:val="single" w:color="auto" w:sz="4" w:space="0"/>
                  </w:tcBorders>
                  <w:noWrap w:val="0"/>
                  <w:vAlign w:val="center"/>
                </w:tcPr>
                <w:p w14:paraId="5995203B">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总投资</w:t>
                  </w:r>
                </w:p>
              </w:tc>
              <w:tc>
                <w:tcPr>
                  <w:tcW w:w="2968" w:type="dxa"/>
                  <w:tcBorders>
                    <w:top w:val="single" w:color="auto" w:sz="4" w:space="0"/>
                    <w:left w:val="single" w:color="auto" w:sz="0" w:space="0"/>
                    <w:bottom w:val="single" w:color="auto" w:sz="4" w:space="0"/>
                    <w:right w:val="single" w:color="auto" w:sz="4" w:space="0"/>
                  </w:tcBorders>
                  <w:noWrap w:val="0"/>
                  <w:vAlign w:val="center"/>
                </w:tcPr>
                <w:p w14:paraId="69C8D32B">
                  <w:pPr>
                    <w:widowControl/>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lang w:val="en-US" w:eastAsia="zh-CN"/>
                    </w:rPr>
                    <w:t>5</w:t>
                  </w:r>
                  <w:r>
                    <w:rPr>
                      <w:rFonts w:hint="default" w:ascii="Times New Roman" w:hAnsi="Times New Roman" w:eastAsia="宋体" w:cs="Times New Roman"/>
                      <w:bCs/>
                      <w:color w:val="auto"/>
                      <w:szCs w:val="21"/>
                      <w:lang w:val="en-US" w:eastAsia="zh-CN"/>
                    </w:rPr>
                    <w:t>000</w:t>
                  </w:r>
                  <w:r>
                    <w:rPr>
                      <w:rFonts w:hint="default" w:ascii="Times New Roman" w:hAnsi="Times New Roman" w:eastAsia="宋体" w:cs="Times New Roman"/>
                      <w:bCs/>
                      <w:color w:val="auto"/>
                      <w:szCs w:val="21"/>
                    </w:rPr>
                    <w:t>万</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E825DEB">
                  <w:pPr>
                    <w:widowControl/>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lang w:val="en-US" w:eastAsia="zh-CN"/>
                    </w:rPr>
                    <w:t>5</w:t>
                  </w:r>
                  <w:r>
                    <w:rPr>
                      <w:rFonts w:hint="default" w:ascii="Times New Roman" w:hAnsi="Times New Roman" w:eastAsia="宋体" w:cs="Times New Roman"/>
                      <w:bCs/>
                      <w:color w:val="auto"/>
                      <w:szCs w:val="21"/>
                      <w:lang w:val="en-US" w:eastAsia="zh-CN"/>
                    </w:rPr>
                    <w:t>000</w:t>
                  </w:r>
                  <w:r>
                    <w:rPr>
                      <w:rFonts w:hint="default" w:ascii="Times New Roman" w:hAnsi="Times New Roman" w:eastAsia="宋体" w:cs="Times New Roman"/>
                      <w:bCs/>
                      <w:color w:val="auto"/>
                      <w:szCs w:val="21"/>
                    </w:rPr>
                    <w:t>万</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5F8732EA">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bl>
          <w:p w14:paraId="75B707BA">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因此，本项目实际建设内容与备案内容基本一致。</w:t>
            </w:r>
          </w:p>
          <w:p w14:paraId="46F2D3E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eastAsia="zh-CN"/>
              </w:rPr>
              <w:t>产业政策相符性分析</w:t>
            </w:r>
          </w:p>
          <w:p w14:paraId="62D00D5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b w:val="0"/>
                <w:bCs/>
                <w:color w:val="auto"/>
                <w:sz w:val="24"/>
                <w:szCs w:val="24"/>
                <w:lang w:eastAsia="zh-CN"/>
              </w:rPr>
              <w:t>本项目已通过滑县发展和改革委员会备案（</w:t>
            </w:r>
            <w:r>
              <w:rPr>
                <w:rFonts w:hint="default" w:ascii="Times New Roman" w:hAnsi="Times New Roman" w:eastAsia="宋体" w:cs="Times New Roman"/>
                <w:color w:val="auto"/>
                <w:spacing w:val="-10"/>
                <w:sz w:val="24"/>
                <w:szCs w:val="24"/>
                <w:lang w:val="en-US" w:eastAsia="zh-CN"/>
              </w:rPr>
              <w:t>2409-410526-04-01-184678</w:t>
            </w:r>
            <w:r>
              <w:rPr>
                <w:rFonts w:hint="default" w:ascii="Times New Roman" w:hAnsi="Times New Roman" w:eastAsia="宋体" w:cs="Times New Roman"/>
                <w:b w:val="0"/>
                <w:bCs/>
                <w:color w:val="auto"/>
                <w:sz w:val="24"/>
                <w:szCs w:val="24"/>
                <w:lang w:eastAsia="zh-CN"/>
              </w:rPr>
              <w:t>），经查阅《产业结构调整指导目录》（20</w:t>
            </w:r>
            <w:r>
              <w:rPr>
                <w:rFonts w:hint="default" w:ascii="Times New Roman" w:hAnsi="Times New Roman" w:eastAsia="宋体" w:cs="Times New Roman"/>
                <w:b w:val="0"/>
                <w:bCs/>
                <w:color w:val="auto"/>
                <w:sz w:val="24"/>
                <w:szCs w:val="24"/>
                <w:lang w:val="en-US" w:eastAsia="zh-CN"/>
              </w:rPr>
              <w:t>24</w:t>
            </w:r>
            <w:r>
              <w:rPr>
                <w:rFonts w:hint="default" w:ascii="Times New Roman" w:hAnsi="Times New Roman" w:eastAsia="宋体" w:cs="Times New Roman"/>
                <w:b w:val="0"/>
                <w:bCs/>
                <w:color w:val="auto"/>
                <w:sz w:val="24"/>
                <w:szCs w:val="24"/>
                <w:lang w:eastAsia="zh-CN"/>
              </w:rPr>
              <w:t>年本），该项目属于</w:t>
            </w:r>
            <w:r>
              <w:rPr>
                <w:rFonts w:hint="default" w:ascii="Times New Roman" w:hAnsi="Times New Roman" w:cs="Times New Roman"/>
                <w:b w:val="0"/>
                <w:bCs/>
                <w:color w:val="auto"/>
                <w:sz w:val="24"/>
                <w:szCs w:val="24"/>
                <w:lang w:eastAsia="zh-CN"/>
              </w:rPr>
              <w:t>鼓励</w:t>
            </w:r>
            <w:r>
              <w:rPr>
                <w:rFonts w:hint="default" w:ascii="Times New Roman" w:hAnsi="Times New Roman" w:eastAsia="宋体" w:cs="Times New Roman"/>
                <w:b w:val="0"/>
                <w:bCs/>
                <w:color w:val="auto"/>
                <w:sz w:val="24"/>
                <w:szCs w:val="24"/>
                <w:lang w:eastAsia="zh-CN"/>
              </w:rPr>
              <w:t>类，符合国家产业政策。</w:t>
            </w:r>
          </w:p>
        </w:tc>
      </w:tr>
    </w:tbl>
    <w:p w14:paraId="4743CCEA">
      <w:pPr>
        <w:pStyle w:val="23"/>
        <w:numPr>
          <w:ilvl w:val="0"/>
          <w:numId w:val="0"/>
        </w:numPr>
        <w:ind w:leftChars="0"/>
        <w:jc w:val="left"/>
        <w:rPr>
          <w:rFonts w:hint="default" w:ascii="Times New Roman" w:hAnsi="Times New Roman" w:eastAsia="宋体" w:cs="Times New Roman"/>
          <w:color w:val="auto"/>
          <w:sz w:val="28"/>
          <w:szCs w:val="28"/>
          <w:lang w:eastAsia="zh-CN"/>
        </w:rPr>
      </w:pPr>
    </w:p>
    <w:p w14:paraId="05FE1A36">
      <w:pPr>
        <w:pStyle w:val="23"/>
        <w:numPr>
          <w:ilvl w:val="0"/>
          <w:numId w:val="0"/>
        </w:numPr>
        <w:ind w:leftChars="0"/>
        <w:jc w:val="left"/>
        <w:rPr>
          <w:rFonts w:hint="default" w:ascii="Times New Roman" w:hAnsi="Times New Roman" w:eastAsia="宋体" w:cs="Times New Roman"/>
          <w:color w:val="auto"/>
          <w:sz w:val="28"/>
          <w:szCs w:val="28"/>
          <w:lang w:eastAsia="zh-CN"/>
        </w:rPr>
      </w:pPr>
    </w:p>
    <w:p w14:paraId="29E66237">
      <w:pPr>
        <w:pStyle w:val="23"/>
        <w:numPr>
          <w:ilvl w:val="0"/>
          <w:numId w:val="0"/>
        </w:numPr>
        <w:ind w:leftChars="0"/>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二、建设项目工程分析</w:t>
      </w:r>
    </w:p>
    <w:tbl>
      <w:tblPr>
        <w:tblStyle w:val="19"/>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8890"/>
      </w:tblGrid>
      <w:tr w14:paraId="351E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5" w:type="dxa"/>
            <w:gridSpan w:val="2"/>
            <w:noWrap w:val="0"/>
            <w:vAlign w:val="top"/>
          </w:tcPr>
          <w:p w14:paraId="2F51AAD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1、项目由来</w:t>
            </w:r>
          </w:p>
          <w:p w14:paraId="61987622">
            <w:pPr>
              <w:numPr>
                <w:ilvl w:val="0"/>
                <w:numId w:val="0"/>
              </w:num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eastAsia="zh-CN"/>
              </w:rPr>
              <w:t>河南博技农业发展有限公司拟在</w:t>
            </w:r>
            <w:r>
              <w:rPr>
                <w:rFonts w:hint="default" w:ascii="Times New Roman" w:hAnsi="Times New Roman" w:cs="Times New Roman"/>
                <w:color w:val="auto"/>
                <w:sz w:val="24"/>
                <w:szCs w:val="24"/>
                <w:lang w:eastAsia="zh-CN"/>
              </w:rPr>
              <w:t>滑县新区漓江路与古城路北2号</w:t>
            </w:r>
            <w:r>
              <w:rPr>
                <w:rFonts w:hint="default" w:ascii="Times New Roman" w:hAnsi="Times New Roman" w:eastAsia="宋体" w:cs="Times New Roman"/>
                <w:color w:val="auto"/>
                <w:sz w:val="24"/>
                <w:szCs w:val="24"/>
                <w:lang w:val="en-US" w:eastAsia="zh-CN"/>
              </w:rPr>
              <w:t>建设</w:t>
            </w:r>
            <w:r>
              <w:rPr>
                <w:rFonts w:hint="default" w:ascii="Times New Roman" w:hAnsi="Times New Roman" w:eastAsia="宋体" w:cs="Times New Roman"/>
                <w:color w:val="auto"/>
                <w:sz w:val="24"/>
                <w:szCs w:val="24"/>
                <w:lang w:eastAsia="zh-CN"/>
              </w:rPr>
              <w:t>年产</w:t>
            </w:r>
            <w:r>
              <w:rPr>
                <w:rFonts w:hint="default" w:ascii="Times New Roman" w:hAnsi="Times New Roman" w:eastAsia="宋体" w:cs="Times New Roman"/>
                <w:color w:val="auto"/>
                <w:sz w:val="24"/>
                <w:szCs w:val="24"/>
                <w:lang w:val="en-US" w:eastAsia="zh-CN"/>
              </w:rPr>
              <w:t>500吨淀粉糖品生产制造</w:t>
            </w:r>
            <w:r>
              <w:rPr>
                <w:rFonts w:hint="default" w:ascii="Times New Roman" w:hAnsi="Times New Roman" w:eastAsia="宋体" w:cs="Times New Roman"/>
                <w:color w:val="auto"/>
                <w:sz w:val="24"/>
                <w:szCs w:val="24"/>
                <w:lang w:eastAsia="zh-CN"/>
              </w:rPr>
              <w:t>项目，总投资</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000万元。</w:t>
            </w:r>
            <w:r>
              <w:rPr>
                <w:rFonts w:hint="default" w:ascii="Times New Roman" w:hAnsi="Times New Roman" w:eastAsia="宋体" w:cs="Times New Roman"/>
                <w:color w:val="auto"/>
                <w:sz w:val="24"/>
                <w:szCs w:val="24"/>
              </w:rPr>
              <w:t>根据《中华人民共和国环境保护法》、《中华人民共和国环境影响评价法》和《建设项目环境保护管理条例》（国务院第682号令）的要求，本项目应进行环境影响评价。受</w:t>
            </w:r>
            <w:r>
              <w:rPr>
                <w:rFonts w:hint="default" w:ascii="Times New Roman" w:hAnsi="Times New Roman" w:eastAsia="宋体" w:cs="Times New Roman"/>
                <w:color w:val="auto"/>
                <w:sz w:val="24"/>
                <w:szCs w:val="24"/>
                <w:lang w:eastAsia="zh-CN"/>
              </w:rPr>
              <w:t>河南博技农业发展有限公司</w:t>
            </w:r>
            <w:r>
              <w:rPr>
                <w:rFonts w:hint="default" w:ascii="Times New Roman" w:hAnsi="Times New Roman" w:eastAsia="宋体" w:cs="Times New Roman"/>
                <w:color w:val="auto"/>
                <w:sz w:val="24"/>
                <w:szCs w:val="24"/>
              </w:rPr>
              <w:t>委托（委托书见附件</w:t>
            </w:r>
            <w:r>
              <w:rPr>
                <w:rFonts w:hint="default" w:ascii="Times New Roman" w:hAnsi="Times New Roman" w:eastAsia="宋体" w:cs="Times New Roman"/>
                <w:color w:val="auto"/>
                <w:sz w:val="24"/>
                <w:szCs w:val="24"/>
                <w:lang w:eastAsia="zh-CN"/>
              </w:rPr>
              <w:t>一</w:t>
            </w:r>
            <w:r>
              <w:rPr>
                <w:rFonts w:hint="default" w:ascii="Times New Roman" w:hAnsi="Times New Roman" w:eastAsia="宋体" w:cs="Times New Roman"/>
                <w:color w:val="auto"/>
                <w:sz w:val="24"/>
                <w:szCs w:val="24"/>
              </w:rPr>
              <w:t>），我公司承担了本项目的环境影响评价工作</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zh-CN" w:eastAsia="zh-CN"/>
              </w:rPr>
              <w:t>根据《建设项目环境影响评价分类管理名录》（2021 年版）项目属于“</w:t>
            </w:r>
            <w:r>
              <w:rPr>
                <w:rFonts w:hint="default" w:ascii="Times New Roman" w:hAnsi="Times New Roman" w:eastAsia="宋体" w:cs="Times New Roman"/>
                <w:color w:val="auto"/>
                <w:sz w:val="24"/>
                <w:szCs w:val="24"/>
                <w:lang w:val="en-US" w:eastAsia="zh-CN"/>
              </w:rPr>
              <w:t>十、农副食品加工业13-20其他农副食品加工139*</w:t>
            </w:r>
            <w:r>
              <w:rPr>
                <w:rFonts w:hint="default" w:ascii="Times New Roman" w:hAnsi="Times New Roman" w:eastAsia="宋体" w:cs="Times New Roman"/>
                <w:color w:val="auto"/>
                <w:sz w:val="24"/>
                <w:szCs w:val="24"/>
                <w:lang w:val="zh-CN" w:eastAsia="zh-CN"/>
              </w:rPr>
              <w:t>”，应当编制环境影响报告表。</w:t>
            </w:r>
          </w:p>
          <w:p w14:paraId="23FC94BF">
            <w:pPr>
              <w:numPr>
                <w:ilvl w:val="0"/>
                <w:numId w:val="0"/>
              </w:numPr>
              <w:autoSpaceDE w:val="0"/>
              <w:autoSpaceDN w:val="0"/>
              <w:adjustRightInd w:val="0"/>
              <w:snapToGrid w:val="0"/>
              <w:spacing w:line="360" w:lineRule="auto"/>
              <w:ind w:firstLine="480" w:firstLineChars="200"/>
              <w:jc w:val="left"/>
              <w:rPr>
                <w:rFonts w:hint="default" w:ascii="Times New Roman" w:hAnsi="Times New Roman" w:eastAsia="宋体" w:cs="Times New Roman"/>
                <w:b w:val="0"/>
                <w:bCs/>
                <w:color w:val="auto"/>
                <w:sz w:val="24"/>
                <w:lang w:val="zh-CN" w:eastAsia="zh-CN"/>
              </w:rPr>
            </w:pPr>
            <w:r>
              <w:rPr>
                <w:rFonts w:hint="default" w:ascii="Times New Roman" w:hAnsi="Times New Roman" w:eastAsia="宋体" w:cs="Times New Roman"/>
                <w:b w:val="0"/>
                <w:bCs/>
                <w:color w:val="auto"/>
                <w:sz w:val="24"/>
                <w:lang w:val="zh-CN" w:eastAsia="zh-CN"/>
              </w:rPr>
              <w:t>接受委托后，我单位组织有关技术人员，进行了现场踏勘，在现场调查和收集有关资料的基础上，本着“科学、公正、客观”的态度，编制完成了本项目环境影响报告表。</w:t>
            </w:r>
          </w:p>
          <w:p w14:paraId="1785B069">
            <w:pPr>
              <w:numPr>
                <w:ilvl w:val="0"/>
                <w:numId w:val="2"/>
              </w:num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项目建设地址及周围环境</w:t>
            </w:r>
          </w:p>
          <w:p w14:paraId="6112734B">
            <w:pPr>
              <w:numPr>
                <w:ilvl w:val="0"/>
                <w:numId w:val="0"/>
              </w:num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经现场踏勘，</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位于</w:t>
            </w:r>
            <w:r>
              <w:rPr>
                <w:rFonts w:hint="default" w:ascii="Times New Roman" w:hAnsi="Times New Roman" w:cs="Times New Roman"/>
                <w:color w:val="auto"/>
                <w:sz w:val="24"/>
                <w:szCs w:val="24"/>
                <w:lang w:eastAsia="zh-CN"/>
              </w:rPr>
              <w:t>滑县新区漓江路与古城路北2号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项目北侧为空地，南侧为蓝天环保；西侧为空地；东侧</w:t>
            </w:r>
            <w:r>
              <w:rPr>
                <w:rFonts w:hint="default" w:ascii="Times New Roman" w:hAnsi="Times New Roman" w:cs="Times New Roman"/>
                <w:color w:val="auto"/>
                <w:sz w:val="24"/>
                <w:szCs w:val="24"/>
                <w:lang w:val="en-US" w:eastAsia="zh-CN"/>
              </w:rPr>
              <w:t>紧邻古城路，</w:t>
            </w:r>
            <w:r>
              <w:rPr>
                <w:rFonts w:hint="default" w:ascii="Times New Roman" w:hAnsi="Times New Roman" w:eastAsia="宋体" w:cs="Times New Roman"/>
                <w:color w:val="auto"/>
                <w:sz w:val="24"/>
                <w:szCs w:val="24"/>
                <w:lang w:val="en-US" w:eastAsia="zh-CN"/>
              </w:rPr>
              <w:t>隔路为美好生活二期小区。</w:t>
            </w:r>
            <w:r>
              <w:rPr>
                <w:rFonts w:hint="default" w:ascii="Times New Roman" w:hAnsi="Times New Roman" w:eastAsia="宋体" w:cs="Times New Roman"/>
                <w:color w:val="auto"/>
                <w:sz w:val="24"/>
                <w:szCs w:val="24"/>
              </w:rPr>
              <w:t>项目周边环境示意图见</w:t>
            </w:r>
            <w:r>
              <w:rPr>
                <w:rFonts w:hint="default" w:ascii="Times New Roman" w:hAnsi="Times New Roman" w:eastAsia="宋体" w:cs="Times New Roman"/>
                <w:color w:val="auto"/>
                <w:sz w:val="24"/>
                <w:szCs w:val="24"/>
                <w:lang w:eastAsia="zh-CN"/>
              </w:rPr>
              <w:t>附图二</w:t>
            </w:r>
            <w:r>
              <w:rPr>
                <w:rFonts w:hint="default" w:ascii="Times New Roman" w:hAnsi="Times New Roman" w:eastAsia="宋体" w:cs="Times New Roman"/>
                <w:color w:val="auto"/>
                <w:sz w:val="24"/>
                <w:szCs w:val="24"/>
              </w:rPr>
              <w:t>。</w:t>
            </w:r>
          </w:p>
          <w:p w14:paraId="657341FC">
            <w:pPr>
              <w:numPr>
                <w:ilvl w:val="0"/>
                <w:numId w:val="0"/>
              </w:num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zh-CN"/>
              </w:rPr>
              <w:t>工程内容及规模</w:t>
            </w:r>
          </w:p>
          <w:p w14:paraId="683146C8">
            <w:pPr>
              <w:pStyle w:val="24"/>
              <w:spacing w:line="52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项目主要建设内容见表2-1。</w:t>
            </w:r>
          </w:p>
          <w:p w14:paraId="720FB740">
            <w:pPr>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表</w:t>
            </w:r>
            <w:r>
              <w:rPr>
                <w:rFonts w:hint="default" w:ascii="Times New Roman" w:hAnsi="Times New Roman" w:eastAsia="宋体" w:cs="Times New Roman"/>
                <w:color w:val="auto"/>
                <w:lang w:val="en-US" w:eastAsia="zh-CN"/>
              </w:rPr>
              <w:t xml:space="preserve">2-1 </w:t>
            </w:r>
            <w:r>
              <w:rPr>
                <w:rFonts w:hint="default" w:ascii="Times New Roman" w:hAnsi="Times New Roman" w:eastAsia="宋体" w:cs="Times New Roman"/>
                <w:color w:val="auto"/>
                <w:lang w:eastAsia="zh-CN"/>
              </w:rPr>
              <w:t>项目主要建设内容一览表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01"/>
              <w:gridCol w:w="853"/>
              <w:gridCol w:w="6293"/>
              <w:gridCol w:w="1226"/>
            </w:tblGrid>
            <w:tr w14:paraId="060A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7B2095E1">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354" w:type="dxa"/>
                  <w:gridSpan w:val="2"/>
                  <w:noWrap w:val="0"/>
                  <w:vAlign w:val="center"/>
                </w:tcPr>
                <w:p w14:paraId="4EBAD19F">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组成</w:t>
                  </w:r>
                </w:p>
              </w:tc>
              <w:tc>
                <w:tcPr>
                  <w:tcW w:w="6293" w:type="dxa"/>
                  <w:noWrap w:val="0"/>
                  <w:vAlign w:val="center"/>
                </w:tcPr>
                <w:p w14:paraId="7070AA0C">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建设内容</w:t>
                  </w:r>
                </w:p>
              </w:tc>
              <w:tc>
                <w:tcPr>
                  <w:tcW w:w="1226" w:type="dxa"/>
                  <w:noWrap w:val="0"/>
                  <w:vAlign w:val="center"/>
                </w:tcPr>
                <w:p w14:paraId="70F438A1">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备注</w:t>
                  </w:r>
                </w:p>
              </w:tc>
            </w:tr>
            <w:tr w14:paraId="4324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noWrap w:val="0"/>
                  <w:vAlign w:val="center"/>
                </w:tcPr>
                <w:p w14:paraId="58115579">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主体工程</w:t>
                  </w:r>
                </w:p>
              </w:tc>
              <w:tc>
                <w:tcPr>
                  <w:tcW w:w="1354" w:type="dxa"/>
                  <w:gridSpan w:val="2"/>
                  <w:noWrap w:val="0"/>
                  <w:vAlign w:val="center"/>
                </w:tcPr>
                <w:p w14:paraId="130A1DD1">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1#厂房</w:t>
                  </w:r>
                </w:p>
              </w:tc>
              <w:tc>
                <w:tcPr>
                  <w:tcW w:w="6293" w:type="dxa"/>
                  <w:noWrap w:val="0"/>
                  <w:vAlign w:val="center"/>
                </w:tcPr>
                <w:p w14:paraId="4328755F">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建筑面积为</w:t>
                  </w:r>
                  <w:r>
                    <w:rPr>
                      <w:rFonts w:hint="default" w:ascii="Times New Roman" w:hAnsi="Times New Roman" w:cs="Times New Roman"/>
                      <w:color w:val="auto"/>
                      <w:sz w:val="21"/>
                      <w:szCs w:val="21"/>
                      <w:highlight w:val="none"/>
                      <w:vertAlign w:val="baseline"/>
                      <w:lang w:val="en-US" w:eastAsia="zh-CN"/>
                    </w:rPr>
                    <w:t>6883.74</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val="en-US" w:eastAsia="zh-CN"/>
                    </w:rPr>
                    <w:t>层</w:t>
                  </w:r>
                  <w:r>
                    <w:rPr>
                      <w:rFonts w:hint="default" w:ascii="Times New Roman" w:hAnsi="Times New Roman" w:cs="Times New Roman"/>
                      <w:color w:val="auto"/>
                      <w:sz w:val="21"/>
                      <w:szCs w:val="21"/>
                      <w:highlight w:val="none"/>
                      <w:vertAlign w:val="baseline"/>
                      <w:lang w:val="en-US" w:eastAsia="zh-CN"/>
                    </w:rPr>
                    <w:t>。（生产车间）</w:t>
                  </w:r>
                </w:p>
              </w:tc>
              <w:tc>
                <w:tcPr>
                  <w:tcW w:w="1226" w:type="dxa"/>
                  <w:noWrap w:val="0"/>
                  <w:vAlign w:val="center"/>
                </w:tcPr>
                <w:p w14:paraId="26055AF6">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新建</w:t>
                  </w:r>
                </w:p>
              </w:tc>
            </w:tr>
            <w:tr w14:paraId="639D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5026B264">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54" w:type="dxa"/>
                  <w:gridSpan w:val="2"/>
                  <w:noWrap w:val="0"/>
                  <w:vAlign w:val="center"/>
                </w:tcPr>
                <w:p w14:paraId="7E9416F4">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2#厂房</w:t>
                  </w:r>
                </w:p>
              </w:tc>
              <w:tc>
                <w:tcPr>
                  <w:tcW w:w="6293" w:type="dxa"/>
                  <w:noWrap w:val="0"/>
                  <w:vAlign w:val="center"/>
                </w:tcPr>
                <w:p w14:paraId="27DE1A73">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建筑面积为</w:t>
                  </w:r>
                  <w:r>
                    <w:rPr>
                      <w:rFonts w:hint="default" w:ascii="Times New Roman" w:hAnsi="Times New Roman" w:cs="Times New Roman"/>
                      <w:color w:val="auto"/>
                      <w:sz w:val="21"/>
                      <w:szCs w:val="21"/>
                      <w:highlight w:val="none"/>
                      <w:vertAlign w:val="baseline"/>
                      <w:lang w:val="en-US" w:eastAsia="zh-CN"/>
                    </w:rPr>
                    <w:t>15473.22</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，5层</w:t>
                  </w:r>
                  <w:r>
                    <w:rPr>
                      <w:rFonts w:hint="default" w:ascii="Times New Roman" w:hAnsi="Times New Roman" w:cs="Times New Roman"/>
                      <w:color w:val="auto"/>
                      <w:sz w:val="21"/>
                      <w:szCs w:val="21"/>
                      <w:highlight w:val="none"/>
                      <w:vertAlign w:val="baseline"/>
                      <w:lang w:val="en-US" w:eastAsia="zh-CN"/>
                    </w:rPr>
                    <w:t>。D1消防水池水泵房、污水处理用房等配套基础设施，生产车间</w:t>
                  </w:r>
                </w:p>
              </w:tc>
              <w:tc>
                <w:tcPr>
                  <w:tcW w:w="1226" w:type="dxa"/>
                  <w:noWrap w:val="0"/>
                  <w:vAlign w:val="center"/>
                </w:tcPr>
                <w:p w14:paraId="0DBF37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新建</w:t>
                  </w:r>
                </w:p>
              </w:tc>
            </w:tr>
            <w:tr w14:paraId="0C06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35186331">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54" w:type="dxa"/>
                  <w:gridSpan w:val="2"/>
                  <w:noWrap w:val="0"/>
                  <w:vAlign w:val="center"/>
                </w:tcPr>
                <w:p w14:paraId="1E20ABA4">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厂房</w:t>
                  </w:r>
                </w:p>
              </w:tc>
              <w:tc>
                <w:tcPr>
                  <w:tcW w:w="6293" w:type="dxa"/>
                  <w:noWrap w:val="0"/>
                  <w:vAlign w:val="center"/>
                </w:tcPr>
                <w:p w14:paraId="1960B465">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建筑面积为</w:t>
                  </w:r>
                  <w:r>
                    <w:rPr>
                      <w:rFonts w:hint="default" w:ascii="Times New Roman" w:hAnsi="Times New Roman" w:cs="Times New Roman"/>
                      <w:color w:val="auto"/>
                      <w:sz w:val="21"/>
                      <w:szCs w:val="21"/>
                      <w:highlight w:val="none"/>
                      <w:vertAlign w:val="baseline"/>
                      <w:lang w:val="en-US" w:eastAsia="zh-CN"/>
                    </w:rPr>
                    <w:t>8978.88</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val="en-US" w:eastAsia="zh-CN"/>
                    </w:rPr>
                    <w:t>层</w:t>
                  </w:r>
                  <w:r>
                    <w:rPr>
                      <w:rFonts w:hint="default" w:ascii="Times New Roman" w:hAnsi="Times New Roman" w:cs="Times New Roman"/>
                      <w:color w:val="auto"/>
                      <w:sz w:val="21"/>
                      <w:szCs w:val="21"/>
                      <w:highlight w:val="none"/>
                      <w:vertAlign w:val="baseline"/>
                      <w:lang w:val="en-US" w:eastAsia="zh-CN"/>
                    </w:rPr>
                    <w:t>，仓库</w:t>
                  </w:r>
                </w:p>
              </w:tc>
              <w:tc>
                <w:tcPr>
                  <w:tcW w:w="1226" w:type="dxa"/>
                  <w:noWrap w:val="0"/>
                  <w:vAlign w:val="center"/>
                </w:tcPr>
                <w:p w14:paraId="1026C4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新建</w:t>
                  </w:r>
                </w:p>
              </w:tc>
            </w:tr>
            <w:tr w14:paraId="112B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7453ACBC">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54" w:type="dxa"/>
                  <w:gridSpan w:val="2"/>
                  <w:noWrap w:val="0"/>
                  <w:vAlign w:val="center"/>
                </w:tcPr>
                <w:p w14:paraId="56266640">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5#厂房</w:t>
                  </w:r>
                </w:p>
              </w:tc>
              <w:tc>
                <w:tcPr>
                  <w:tcW w:w="6293" w:type="dxa"/>
                  <w:noWrap w:val="0"/>
                  <w:vAlign w:val="center"/>
                </w:tcPr>
                <w:p w14:paraId="36739E52">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建筑面积为</w:t>
                  </w:r>
                  <w:r>
                    <w:rPr>
                      <w:rFonts w:hint="default" w:ascii="Times New Roman" w:hAnsi="Times New Roman" w:cs="Times New Roman"/>
                      <w:color w:val="auto"/>
                      <w:sz w:val="21"/>
                      <w:szCs w:val="21"/>
                      <w:highlight w:val="none"/>
                      <w:vertAlign w:val="baseline"/>
                      <w:lang w:val="en-US" w:eastAsia="zh-CN"/>
                    </w:rPr>
                    <w:t>590.00</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层</w:t>
                  </w:r>
                  <w:r>
                    <w:rPr>
                      <w:rFonts w:hint="default" w:ascii="Times New Roman" w:hAnsi="Times New Roman" w:cs="Times New Roman"/>
                      <w:color w:val="auto"/>
                      <w:sz w:val="21"/>
                      <w:szCs w:val="21"/>
                      <w:highlight w:val="none"/>
                      <w:vertAlign w:val="baseline"/>
                      <w:lang w:val="en-US" w:eastAsia="zh-CN"/>
                    </w:rPr>
                    <w:t>，辅助工程。存放配套生产工具</w:t>
                  </w:r>
                </w:p>
              </w:tc>
              <w:tc>
                <w:tcPr>
                  <w:tcW w:w="1226" w:type="dxa"/>
                  <w:noWrap w:val="0"/>
                  <w:vAlign w:val="center"/>
                </w:tcPr>
                <w:p w14:paraId="3F3CAB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新建</w:t>
                  </w:r>
                </w:p>
              </w:tc>
            </w:tr>
            <w:tr w14:paraId="7B5A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noWrap w:val="0"/>
                  <w:vAlign w:val="center"/>
                </w:tcPr>
                <w:p w14:paraId="0ECE5F35">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公用过程</w:t>
                  </w:r>
                </w:p>
              </w:tc>
              <w:tc>
                <w:tcPr>
                  <w:tcW w:w="1354" w:type="dxa"/>
                  <w:gridSpan w:val="2"/>
                  <w:noWrap w:val="0"/>
                  <w:vAlign w:val="center"/>
                </w:tcPr>
                <w:p w14:paraId="608AF31A">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供水</w:t>
                  </w:r>
                </w:p>
              </w:tc>
              <w:tc>
                <w:tcPr>
                  <w:tcW w:w="6293" w:type="dxa"/>
                  <w:noWrap w:val="0"/>
                  <w:vAlign w:val="center"/>
                </w:tcPr>
                <w:p w14:paraId="611E0C11">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滑县产业集聚区供水</w:t>
                  </w:r>
                </w:p>
              </w:tc>
              <w:tc>
                <w:tcPr>
                  <w:tcW w:w="1226" w:type="dxa"/>
                  <w:noWrap w:val="0"/>
                  <w:vAlign w:val="center"/>
                </w:tcPr>
                <w:p w14:paraId="6FC12BF9">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09D0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26" w:type="dxa"/>
                  <w:vMerge w:val="continue"/>
                  <w:noWrap w:val="0"/>
                  <w:vAlign w:val="center"/>
                </w:tcPr>
                <w:p w14:paraId="5E68B733">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54" w:type="dxa"/>
                  <w:gridSpan w:val="2"/>
                  <w:noWrap w:val="0"/>
                  <w:vAlign w:val="center"/>
                </w:tcPr>
                <w:p w14:paraId="77582D4A">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供电</w:t>
                  </w:r>
                </w:p>
              </w:tc>
              <w:tc>
                <w:tcPr>
                  <w:tcW w:w="6293" w:type="dxa"/>
                  <w:noWrap w:val="0"/>
                  <w:vAlign w:val="center"/>
                </w:tcPr>
                <w:p w14:paraId="15388A08">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滑县产业集聚区</w:t>
                  </w:r>
                  <w:r>
                    <w:rPr>
                      <w:rFonts w:hint="default" w:ascii="Times New Roman" w:hAnsi="Times New Roman" w:eastAsia="宋体" w:cs="Times New Roman"/>
                      <w:color w:val="auto"/>
                      <w:sz w:val="21"/>
                      <w:szCs w:val="21"/>
                      <w:lang w:eastAsia="zh-CN"/>
                    </w:rPr>
                    <w:t>供电</w:t>
                  </w:r>
                </w:p>
              </w:tc>
              <w:tc>
                <w:tcPr>
                  <w:tcW w:w="1226" w:type="dxa"/>
                  <w:noWrap w:val="0"/>
                  <w:vAlign w:val="center"/>
                </w:tcPr>
                <w:p w14:paraId="3758C474">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3B33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56833A37">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54" w:type="dxa"/>
                  <w:gridSpan w:val="2"/>
                  <w:noWrap w:val="0"/>
                  <w:vAlign w:val="center"/>
                </w:tcPr>
                <w:p w14:paraId="755B48EE">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采暖</w:t>
                  </w:r>
                </w:p>
              </w:tc>
              <w:tc>
                <w:tcPr>
                  <w:tcW w:w="6293" w:type="dxa"/>
                  <w:noWrap w:val="0"/>
                  <w:vAlign w:val="center"/>
                </w:tcPr>
                <w:p w14:paraId="27740CF1">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冬季办公室采用空调供暖，车间不供暖</w:t>
                  </w:r>
                </w:p>
              </w:tc>
              <w:tc>
                <w:tcPr>
                  <w:tcW w:w="1226" w:type="dxa"/>
                  <w:noWrap w:val="0"/>
                  <w:vAlign w:val="center"/>
                </w:tcPr>
                <w:p w14:paraId="0BD8BABA">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4CF0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426" w:type="dxa"/>
                  <w:vMerge w:val="restart"/>
                  <w:noWrap w:val="0"/>
                  <w:vAlign w:val="center"/>
                </w:tcPr>
                <w:p w14:paraId="75602A3B">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环保工程</w:t>
                  </w:r>
                </w:p>
              </w:tc>
              <w:tc>
                <w:tcPr>
                  <w:tcW w:w="1354" w:type="dxa"/>
                  <w:gridSpan w:val="2"/>
                  <w:noWrap w:val="0"/>
                  <w:vAlign w:val="center"/>
                </w:tcPr>
                <w:p w14:paraId="35E59C23">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废气防治措施</w:t>
                  </w:r>
                </w:p>
              </w:tc>
              <w:tc>
                <w:tcPr>
                  <w:tcW w:w="6293" w:type="dxa"/>
                  <w:noWrap w:val="0"/>
                  <w:vAlign w:val="center"/>
                </w:tcPr>
                <w:p w14:paraId="48FAF523">
                  <w:pPr>
                    <w:pStyle w:val="24"/>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投料工序设置二次密闭，在密闭间上方设置集气罩，粉尘经集气罩+袋式除尘器+1根15m高的排气筒（DA001）</w:t>
                  </w:r>
                </w:p>
              </w:tc>
              <w:tc>
                <w:tcPr>
                  <w:tcW w:w="1226" w:type="dxa"/>
                  <w:noWrap w:val="0"/>
                  <w:vAlign w:val="center"/>
                </w:tcPr>
                <w:p w14:paraId="11DF8C60">
                  <w:pPr>
                    <w:pStyle w:val="24"/>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新建</w:t>
                  </w:r>
                </w:p>
              </w:tc>
            </w:tr>
            <w:tr w14:paraId="3C46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4033C504">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01" w:type="dxa"/>
                  <w:vMerge w:val="restart"/>
                  <w:noWrap w:val="0"/>
                  <w:vAlign w:val="center"/>
                </w:tcPr>
                <w:p w14:paraId="0D8EB11F">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zh-CN"/>
                    </w:rPr>
                  </w:pPr>
                  <w:r>
                    <w:rPr>
                      <w:rFonts w:hint="default" w:ascii="Times New Roman" w:hAnsi="Times New Roman" w:eastAsia="宋体" w:cs="Times New Roman"/>
                      <w:color w:val="auto"/>
                      <w:sz w:val="21"/>
                      <w:szCs w:val="21"/>
                      <w:highlight w:val="none"/>
                      <w:vertAlign w:val="baseline"/>
                      <w:lang w:val="en-US" w:eastAsia="zh-CN"/>
                    </w:rPr>
                    <w:t>废水防治措施</w:t>
                  </w:r>
                </w:p>
              </w:tc>
              <w:tc>
                <w:tcPr>
                  <w:tcW w:w="853" w:type="dxa"/>
                  <w:noWrap w:val="0"/>
                  <w:vAlign w:val="center"/>
                </w:tcPr>
                <w:p w14:paraId="3D4826DD">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综合废水（含设备清洗废水、地面清洗废水和生活污水）</w:t>
                  </w:r>
                </w:p>
              </w:tc>
              <w:tc>
                <w:tcPr>
                  <w:tcW w:w="6293" w:type="dxa"/>
                  <w:noWrap w:val="0"/>
                  <w:vAlign w:val="center"/>
                </w:tcPr>
                <w:p w14:paraId="7B3ECA8E">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zh-CN"/>
                    </w:rPr>
                  </w:pPr>
                  <w:r>
                    <w:rPr>
                      <w:rFonts w:hint="eastAsia" w:ascii="Times New Roman" w:hAnsi="Times New Roman" w:eastAsia="宋体" w:cs="Times New Roman"/>
                      <w:bCs/>
                      <w:color w:val="000000"/>
                      <w:szCs w:val="21"/>
                      <w:lang w:eastAsia="zh-CN"/>
                    </w:rPr>
                    <w:t>综合</w:t>
                  </w:r>
                  <w:r>
                    <w:rPr>
                      <w:rFonts w:hint="default" w:ascii="Times New Roman" w:hAnsi="Times New Roman" w:eastAsia="宋体" w:cs="Times New Roman"/>
                      <w:bCs/>
                      <w:color w:val="000000"/>
                      <w:szCs w:val="21"/>
                      <w:lang w:eastAsia="zh-CN"/>
                    </w:rPr>
                    <w:t>废水经</w:t>
                  </w:r>
                  <w:r>
                    <w:rPr>
                      <w:rFonts w:hint="default"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化粪池+一体化污水处理设施</w:t>
                  </w:r>
                  <w:r>
                    <w:rPr>
                      <w:rFonts w:hint="eastAsia"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处理后，</w:t>
                  </w:r>
                  <w:r>
                    <w:rPr>
                      <w:rFonts w:hint="default" w:ascii="Times New Roman" w:hAnsi="Times New Roman" w:cs="Times New Roman"/>
                      <w:color w:val="auto"/>
                      <w:kern w:val="2"/>
                      <w:sz w:val="21"/>
                      <w:szCs w:val="21"/>
                      <w:highlight w:val="none"/>
                      <w:vertAlign w:val="baseline"/>
                      <w:lang w:val="en-US" w:eastAsia="zh-CN" w:bidi="zh-CN"/>
                    </w:rPr>
                    <w:t>经市政管网排入滑县产业集聚区污水处理厂</w:t>
                  </w:r>
                  <w:r>
                    <w:rPr>
                      <w:rFonts w:hint="eastAsia" w:ascii="Times New Roman" w:hAnsi="Times New Roman" w:cs="Times New Roman"/>
                      <w:color w:val="auto"/>
                      <w:kern w:val="2"/>
                      <w:sz w:val="21"/>
                      <w:szCs w:val="21"/>
                      <w:highlight w:val="none"/>
                      <w:vertAlign w:val="baseline"/>
                      <w:lang w:val="en-US" w:eastAsia="zh-CN" w:bidi="zh-CN"/>
                    </w:rPr>
                    <w:t>集中处理</w:t>
                  </w:r>
                </w:p>
              </w:tc>
              <w:tc>
                <w:tcPr>
                  <w:tcW w:w="1226" w:type="dxa"/>
                  <w:noWrap w:val="0"/>
                  <w:vAlign w:val="center"/>
                </w:tcPr>
                <w:p w14:paraId="4AC2BC08">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zh-CN"/>
                    </w:rPr>
                  </w:pPr>
                  <w:r>
                    <w:rPr>
                      <w:rFonts w:hint="default" w:ascii="Times New Roman" w:hAnsi="Times New Roman" w:cs="Times New Roman"/>
                      <w:color w:val="auto"/>
                      <w:sz w:val="21"/>
                      <w:szCs w:val="21"/>
                      <w:highlight w:val="none"/>
                      <w:vertAlign w:val="baseline"/>
                      <w:lang w:val="en-US" w:eastAsia="zh-CN"/>
                    </w:rPr>
                    <w:t>新建</w:t>
                  </w:r>
                </w:p>
              </w:tc>
            </w:tr>
            <w:tr w14:paraId="5237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425B0683">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01" w:type="dxa"/>
                  <w:vMerge w:val="continue"/>
                  <w:noWrap w:val="0"/>
                  <w:vAlign w:val="center"/>
                </w:tcPr>
                <w:p w14:paraId="09220A2E">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53" w:type="dxa"/>
                  <w:noWrap w:val="0"/>
                  <w:vAlign w:val="center"/>
                </w:tcPr>
                <w:p w14:paraId="0F730AEA">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纯水制备浓水</w:t>
                  </w:r>
                </w:p>
              </w:tc>
              <w:tc>
                <w:tcPr>
                  <w:tcW w:w="6293" w:type="dxa"/>
                  <w:noWrap w:val="0"/>
                  <w:vAlign w:val="center"/>
                </w:tcPr>
                <w:p w14:paraId="63427E10">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全部用于厂区绿化、洒水抑尘。</w:t>
                  </w:r>
                </w:p>
              </w:tc>
              <w:tc>
                <w:tcPr>
                  <w:tcW w:w="1226" w:type="dxa"/>
                  <w:noWrap w:val="0"/>
                  <w:vAlign w:val="center"/>
                </w:tcPr>
                <w:p w14:paraId="72296BBD">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70A4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608A5992">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54" w:type="dxa"/>
                  <w:gridSpan w:val="2"/>
                  <w:noWrap w:val="0"/>
                  <w:vAlign w:val="center"/>
                </w:tcPr>
                <w:p w14:paraId="5FC030A9">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噪声防治措施</w:t>
                  </w:r>
                </w:p>
              </w:tc>
              <w:tc>
                <w:tcPr>
                  <w:tcW w:w="6293" w:type="dxa"/>
                  <w:noWrap w:val="0"/>
                  <w:vAlign w:val="center"/>
                </w:tcPr>
                <w:p w14:paraId="6ADD0D14">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选用低噪声设备，采取减振、隔声等措施 </w:t>
                  </w:r>
                  <w:r>
                    <w:rPr>
                      <w:rFonts w:hint="eastAsia" w:ascii="Times New Roman" w:hAnsi="Times New Roman" w:cs="Times New Roman"/>
                      <w:color w:val="auto"/>
                      <w:sz w:val="21"/>
                      <w:szCs w:val="21"/>
                      <w:highlight w:val="none"/>
                      <w:vertAlign w:val="baseline"/>
                      <w:lang w:val="en-US" w:eastAsia="zh-CN"/>
                    </w:rPr>
                    <w:t>。</w:t>
                  </w:r>
                </w:p>
              </w:tc>
              <w:tc>
                <w:tcPr>
                  <w:tcW w:w="1226" w:type="dxa"/>
                  <w:noWrap w:val="0"/>
                  <w:vAlign w:val="center"/>
                </w:tcPr>
                <w:p w14:paraId="0DCEC5E6">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新建</w:t>
                  </w:r>
                </w:p>
              </w:tc>
            </w:tr>
            <w:tr w14:paraId="5D22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1B422456">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54" w:type="dxa"/>
                  <w:gridSpan w:val="2"/>
                  <w:noWrap w:val="0"/>
                  <w:vAlign w:val="center"/>
                </w:tcPr>
                <w:p w14:paraId="0191F889">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一般固废</w:t>
                  </w:r>
                </w:p>
              </w:tc>
              <w:tc>
                <w:tcPr>
                  <w:tcW w:w="6293" w:type="dxa"/>
                  <w:noWrap w:val="0"/>
                  <w:vAlign w:val="center"/>
                </w:tcPr>
                <w:p w14:paraId="0679F0E9">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废包装材料</w:t>
                  </w:r>
                  <w:r>
                    <w:rPr>
                      <w:rFonts w:hint="default" w:ascii="Times New Roman" w:hAnsi="Times New Roman" w:cs="Times New Roman"/>
                      <w:color w:val="auto"/>
                      <w:sz w:val="21"/>
                      <w:szCs w:val="21"/>
                      <w:lang w:eastAsia="zh-CN"/>
                    </w:rPr>
                    <w:t>和</w:t>
                  </w:r>
                  <w:r>
                    <w:rPr>
                      <w:rFonts w:hint="default" w:ascii="Times New Roman" w:hAnsi="Times New Roman" w:eastAsia="宋体" w:cs="Times New Roman"/>
                      <w:color w:val="auto"/>
                      <w:sz w:val="21"/>
                      <w:szCs w:val="21"/>
                    </w:rPr>
                    <w:t>袋式除尘器收集粉尘收集后</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定期外售</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eastAsia="zh-CN"/>
                    </w:rPr>
                    <w:t>生活垃圾交由环卫部门统一处理</w:t>
                  </w:r>
                  <w:r>
                    <w:rPr>
                      <w:rFonts w:hint="eastAsia" w:ascii="Times New Roman" w:hAnsi="Times New Roman" w:cs="Times New Roman"/>
                      <w:color w:val="auto"/>
                      <w:sz w:val="21"/>
                      <w:szCs w:val="21"/>
                      <w:lang w:eastAsia="zh-CN"/>
                    </w:rPr>
                    <w:t>。</w:t>
                  </w:r>
                </w:p>
              </w:tc>
              <w:tc>
                <w:tcPr>
                  <w:tcW w:w="1226" w:type="dxa"/>
                  <w:noWrap w:val="0"/>
                  <w:vAlign w:val="center"/>
                </w:tcPr>
                <w:p w14:paraId="29A3520E">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vertAlign w:val="baseline"/>
                      <w:lang w:val="en-US" w:eastAsia="zh-CN"/>
                    </w:rPr>
                    <w:t>新建</w:t>
                  </w:r>
                </w:p>
              </w:tc>
            </w:tr>
          </w:tbl>
          <w:p w14:paraId="45F33BF8">
            <w:pPr>
              <w:pStyle w:val="3"/>
              <w:numPr>
                <w:ilvl w:val="0"/>
                <w:numId w:val="0"/>
              </w:numPr>
              <w:ind w:leftChars="228"/>
              <w:rPr>
                <w:rFonts w:hint="default" w:ascii="Times New Roman" w:hAnsi="Times New Roman" w:eastAsia="宋体" w:cs="Times New Roman"/>
                <w:b w:val="0"/>
                <w:bCs/>
                <w:color w:val="auto"/>
                <w:sz w:val="24"/>
                <w:szCs w:val="24"/>
                <w:lang w:val="zh-CN"/>
              </w:rPr>
            </w:pPr>
            <w:r>
              <w:rPr>
                <w:rFonts w:hint="default" w:ascii="Times New Roman" w:hAnsi="Times New Roman" w:eastAsia="宋体"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lang w:val="zh-CN"/>
              </w:rPr>
              <w:t>主要生产设备</w:t>
            </w:r>
          </w:p>
          <w:p w14:paraId="655DDCED">
            <w:pPr>
              <w:numPr>
                <w:ilvl w:val="0"/>
                <w:numId w:val="0"/>
              </w:numPr>
              <w:ind w:leftChars="228"/>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rPr>
              <w:t>本项目主要生产设备一览表见表</w:t>
            </w:r>
            <w:r>
              <w:rPr>
                <w:rFonts w:hint="default" w:ascii="Times New Roman" w:hAnsi="Times New Roman" w:eastAsia="宋体" w:cs="Times New Roman"/>
                <w:color w:val="auto"/>
                <w:sz w:val="24"/>
                <w:szCs w:val="24"/>
                <w:lang w:val="en-US" w:eastAsia="zh-CN"/>
              </w:rPr>
              <w:t>2-2。</w:t>
            </w:r>
          </w:p>
          <w:p w14:paraId="76174929">
            <w:pPr>
              <w:spacing w:line="600" w:lineRule="exact"/>
              <w:jc w:val="center"/>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val="en-US" w:eastAsia="zh-CN"/>
              </w:rPr>
              <w:t>2-2</w:t>
            </w:r>
            <w:r>
              <w:rPr>
                <w:rFonts w:hint="default" w:ascii="Times New Roman" w:hAnsi="Times New Roman" w:eastAsia="宋体" w:cs="Times New Roman"/>
                <w:color w:val="auto"/>
                <w:sz w:val="24"/>
              </w:rPr>
              <w:t xml:space="preserve"> 主要设备一览表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730"/>
              <w:gridCol w:w="2222"/>
              <w:gridCol w:w="1426"/>
              <w:gridCol w:w="999"/>
            </w:tblGrid>
            <w:tr w14:paraId="3976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1" w:type="dxa"/>
                  <w:noWrap w:val="0"/>
                  <w:vAlign w:val="center"/>
                </w:tcPr>
                <w:p w14:paraId="55D86BA7">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730" w:type="dxa"/>
                  <w:noWrap w:val="0"/>
                  <w:vAlign w:val="center"/>
                </w:tcPr>
                <w:p w14:paraId="2D357207">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2222" w:type="dxa"/>
                  <w:noWrap w:val="0"/>
                  <w:vAlign w:val="center"/>
                </w:tcPr>
                <w:p w14:paraId="71827A10">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规格型号</w:t>
                  </w:r>
                </w:p>
              </w:tc>
              <w:tc>
                <w:tcPr>
                  <w:tcW w:w="1426" w:type="dxa"/>
                  <w:noWrap w:val="0"/>
                  <w:vAlign w:val="center"/>
                </w:tcPr>
                <w:p w14:paraId="56BEC423">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999" w:type="dxa"/>
                  <w:noWrap w:val="0"/>
                  <w:vAlign w:val="center"/>
                </w:tcPr>
                <w:p w14:paraId="5FF8B8B3">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1149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1" w:type="dxa"/>
                  <w:noWrap w:val="0"/>
                  <w:vAlign w:val="center"/>
                </w:tcPr>
                <w:p w14:paraId="16CC43DD">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30" w:type="dxa"/>
                  <w:noWrap w:val="0"/>
                  <w:vAlign w:val="center"/>
                </w:tcPr>
                <w:p w14:paraId="0EC4D9AD">
                  <w:pPr>
                    <w:ind w:left="103" w:leftChars="4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投料机</w:t>
                  </w:r>
                </w:p>
              </w:tc>
              <w:tc>
                <w:tcPr>
                  <w:tcW w:w="2222" w:type="dxa"/>
                  <w:noWrap w:val="0"/>
                  <w:vAlign w:val="center"/>
                </w:tcPr>
                <w:p w14:paraId="23D3BACD">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GD4028</w:t>
                  </w:r>
                </w:p>
              </w:tc>
              <w:tc>
                <w:tcPr>
                  <w:tcW w:w="1426" w:type="dxa"/>
                  <w:noWrap w:val="0"/>
                  <w:vAlign w:val="center"/>
                </w:tcPr>
                <w:p w14:paraId="2143774A">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999" w:type="dxa"/>
                  <w:vMerge w:val="restart"/>
                  <w:noWrap w:val="0"/>
                  <w:vAlign w:val="center"/>
                </w:tcPr>
                <w:p w14:paraId="13919BBE">
                  <w:pPr>
                    <w:tabs>
                      <w:tab w:val="left" w:pos="5475"/>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34A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1" w:type="dxa"/>
                  <w:noWrap w:val="0"/>
                  <w:vAlign w:val="center"/>
                </w:tcPr>
                <w:p w14:paraId="0FC3F51E">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30" w:type="dxa"/>
                  <w:noWrap w:val="0"/>
                  <w:vAlign w:val="center"/>
                </w:tcPr>
                <w:p w14:paraId="10A2C627">
                  <w:pPr>
                    <w:ind w:left="103" w:leftChars="4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混合搅拌机</w:t>
                  </w:r>
                </w:p>
              </w:tc>
              <w:tc>
                <w:tcPr>
                  <w:tcW w:w="2222" w:type="dxa"/>
                  <w:noWrap w:val="0"/>
                  <w:vAlign w:val="center"/>
                </w:tcPr>
                <w:p w14:paraId="74DBE24F">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Y71-50A</w:t>
                  </w:r>
                </w:p>
              </w:tc>
              <w:tc>
                <w:tcPr>
                  <w:tcW w:w="1426" w:type="dxa"/>
                  <w:noWrap w:val="0"/>
                  <w:vAlign w:val="center"/>
                </w:tcPr>
                <w:p w14:paraId="1D559AD3">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999" w:type="dxa"/>
                  <w:vMerge w:val="continue"/>
                  <w:noWrap w:val="0"/>
                  <w:vAlign w:val="center"/>
                </w:tcPr>
                <w:p w14:paraId="67B1CC9D">
                  <w:pPr>
                    <w:tabs>
                      <w:tab w:val="left" w:pos="5475"/>
                    </w:tabs>
                    <w:jc w:val="center"/>
                    <w:rPr>
                      <w:rFonts w:hint="default" w:ascii="Times New Roman" w:hAnsi="Times New Roman" w:eastAsia="宋体" w:cs="Times New Roman"/>
                      <w:color w:val="auto"/>
                      <w:sz w:val="21"/>
                      <w:szCs w:val="21"/>
                    </w:rPr>
                  </w:pPr>
                </w:p>
              </w:tc>
            </w:tr>
            <w:tr w14:paraId="3DE2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1" w:type="dxa"/>
                  <w:noWrap w:val="0"/>
                  <w:vAlign w:val="center"/>
                </w:tcPr>
                <w:p w14:paraId="2E564E4D">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30" w:type="dxa"/>
                  <w:noWrap w:val="0"/>
                  <w:vAlign w:val="center"/>
                </w:tcPr>
                <w:p w14:paraId="7674155D">
                  <w:pPr>
                    <w:ind w:left="103" w:leftChars="4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多功能制糖机</w:t>
                  </w:r>
                </w:p>
              </w:tc>
              <w:tc>
                <w:tcPr>
                  <w:tcW w:w="2222" w:type="dxa"/>
                  <w:noWrap w:val="0"/>
                  <w:vAlign w:val="center"/>
                </w:tcPr>
                <w:p w14:paraId="7BFA9DB8">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26" w:type="dxa"/>
                  <w:noWrap w:val="0"/>
                  <w:vAlign w:val="center"/>
                </w:tcPr>
                <w:p w14:paraId="51F6D8C6">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999" w:type="dxa"/>
                  <w:vMerge w:val="continue"/>
                  <w:noWrap w:val="0"/>
                  <w:vAlign w:val="center"/>
                </w:tcPr>
                <w:p w14:paraId="62D30217">
                  <w:pPr>
                    <w:tabs>
                      <w:tab w:val="left" w:pos="5475"/>
                    </w:tabs>
                    <w:jc w:val="center"/>
                    <w:rPr>
                      <w:rFonts w:hint="default" w:ascii="Times New Roman" w:hAnsi="Times New Roman" w:eastAsia="宋体" w:cs="Times New Roman"/>
                      <w:color w:val="auto"/>
                      <w:sz w:val="21"/>
                      <w:szCs w:val="21"/>
                    </w:rPr>
                  </w:pPr>
                </w:p>
              </w:tc>
            </w:tr>
            <w:tr w14:paraId="1ECF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1" w:type="dxa"/>
                  <w:noWrap w:val="0"/>
                  <w:vAlign w:val="center"/>
                </w:tcPr>
                <w:p w14:paraId="4000644F">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730" w:type="dxa"/>
                  <w:noWrap w:val="0"/>
                  <w:vAlign w:val="center"/>
                </w:tcPr>
                <w:p w14:paraId="483756A8">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空气压缩机（</w:t>
                  </w:r>
                  <w:r>
                    <w:rPr>
                      <w:rFonts w:hint="default" w:ascii="Times New Roman" w:hAnsi="Times New Roman" w:eastAsia="宋体" w:cs="Times New Roman"/>
                      <w:color w:val="auto"/>
                      <w:sz w:val="21"/>
                      <w:szCs w:val="21"/>
                      <w:lang w:val="en-US" w:eastAsia="zh-CN"/>
                    </w:rPr>
                    <w:t>GF-63</w:t>
                  </w:r>
                  <w:r>
                    <w:rPr>
                      <w:rFonts w:hint="default" w:ascii="Times New Roman" w:hAnsi="Times New Roman" w:eastAsia="宋体" w:cs="Times New Roman"/>
                      <w:color w:val="auto"/>
                      <w:sz w:val="21"/>
                      <w:szCs w:val="21"/>
                      <w:lang w:eastAsia="zh-CN"/>
                    </w:rPr>
                    <w:t>）</w:t>
                  </w:r>
                </w:p>
              </w:tc>
              <w:tc>
                <w:tcPr>
                  <w:tcW w:w="2222" w:type="dxa"/>
                  <w:noWrap w:val="0"/>
                  <w:vAlign w:val="center"/>
                </w:tcPr>
                <w:p w14:paraId="60614B78">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63MPa</w:t>
                  </w:r>
                </w:p>
              </w:tc>
              <w:tc>
                <w:tcPr>
                  <w:tcW w:w="1426" w:type="dxa"/>
                  <w:noWrap w:val="0"/>
                  <w:vAlign w:val="center"/>
                </w:tcPr>
                <w:p w14:paraId="72101FF9">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台</w:t>
                  </w:r>
                </w:p>
              </w:tc>
              <w:tc>
                <w:tcPr>
                  <w:tcW w:w="999" w:type="dxa"/>
                  <w:vMerge w:val="continue"/>
                  <w:noWrap w:val="0"/>
                  <w:vAlign w:val="center"/>
                </w:tcPr>
                <w:p w14:paraId="3FDD2E85">
                  <w:pPr>
                    <w:tabs>
                      <w:tab w:val="left" w:pos="5475"/>
                    </w:tabs>
                    <w:jc w:val="center"/>
                    <w:rPr>
                      <w:rFonts w:hint="default" w:ascii="Times New Roman" w:hAnsi="Times New Roman" w:eastAsia="宋体" w:cs="Times New Roman"/>
                      <w:color w:val="auto"/>
                      <w:sz w:val="21"/>
                      <w:szCs w:val="21"/>
                    </w:rPr>
                  </w:pPr>
                </w:p>
              </w:tc>
            </w:tr>
            <w:tr w14:paraId="62D4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1" w:type="dxa"/>
                  <w:noWrap w:val="0"/>
                  <w:vAlign w:val="center"/>
                </w:tcPr>
                <w:p w14:paraId="29480F13">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730" w:type="dxa"/>
                  <w:noWrap w:val="0"/>
                  <w:vAlign w:val="center"/>
                </w:tcPr>
                <w:p w14:paraId="18D71F34">
                  <w:pPr>
                    <w:ind w:firstLine="210" w:firstLineChars="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包装机</w:t>
                  </w:r>
                </w:p>
              </w:tc>
              <w:tc>
                <w:tcPr>
                  <w:tcW w:w="2222" w:type="dxa"/>
                  <w:noWrap w:val="0"/>
                  <w:vAlign w:val="center"/>
                </w:tcPr>
                <w:p w14:paraId="6EEFA499">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26" w:type="dxa"/>
                  <w:noWrap w:val="0"/>
                  <w:vAlign w:val="center"/>
                </w:tcPr>
                <w:p w14:paraId="6AF0BE9B">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台</w:t>
                  </w:r>
                </w:p>
              </w:tc>
              <w:tc>
                <w:tcPr>
                  <w:tcW w:w="999" w:type="dxa"/>
                  <w:vMerge w:val="continue"/>
                  <w:noWrap w:val="0"/>
                  <w:vAlign w:val="center"/>
                </w:tcPr>
                <w:p w14:paraId="33775F1F">
                  <w:pPr>
                    <w:tabs>
                      <w:tab w:val="left" w:pos="5475"/>
                    </w:tabs>
                    <w:jc w:val="center"/>
                    <w:rPr>
                      <w:rFonts w:hint="default" w:ascii="Times New Roman" w:hAnsi="Times New Roman" w:eastAsia="宋体" w:cs="Times New Roman"/>
                      <w:color w:val="auto"/>
                      <w:sz w:val="21"/>
                      <w:szCs w:val="21"/>
                    </w:rPr>
                  </w:pPr>
                </w:p>
              </w:tc>
            </w:tr>
            <w:tr w14:paraId="174C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1" w:type="dxa"/>
                  <w:noWrap w:val="0"/>
                  <w:vAlign w:val="center"/>
                </w:tcPr>
                <w:p w14:paraId="095801DF">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30" w:type="dxa"/>
                  <w:noWrap w:val="0"/>
                  <w:vAlign w:val="center"/>
                </w:tcPr>
                <w:p w14:paraId="1600C082">
                  <w:pPr>
                    <w:ind w:firstLine="210" w:firstLineChars="10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自动喷码机</w:t>
                  </w:r>
                </w:p>
              </w:tc>
              <w:tc>
                <w:tcPr>
                  <w:tcW w:w="2222" w:type="dxa"/>
                  <w:noWrap w:val="0"/>
                  <w:vAlign w:val="center"/>
                </w:tcPr>
                <w:p w14:paraId="74E37290">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450直流</w:t>
                  </w:r>
                </w:p>
              </w:tc>
              <w:tc>
                <w:tcPr>
                  <w:tcW w:w="1426" w:type="dxa"/>
                  <w:noWrap w:val="0"/>
                  <w:vAlign w:val="center"/>
                </w:tcPr>
                <w:p w14:paraId="3FC834E0">
                  <w:pPr>
                    <w:tabs>
                      <w:tab w:val="left" w:pos="5475"/>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台</w:t>
                  </w:r>
                </w:p>
              </w:tc>
              <w:tc>
                <w:tcPr>
                  <w:tcW w:w="999" w:type="dxa"/>
                  <w:vMerge w:val="continue"/>
                  <w:noWrap w:val="0"/>
                  <w:vAlign w:val="center"/>
                </w:tcPr>
                <w:p w14:paraId="7F700FE2">
                  <w:pPr>
                    <w:tabs>
                      <w:tab w:val="left" w:pos="5475"/>
                    </w:tabs>
                    <w:jc w:val="center"/>
                    <w:rPr>
                      <w:rFonts w:hint="default" w:ascii="Times New Roman" w:hAnsi="Times New Roman" w:eastAsia="宋体" w:cs="Times New Roman"/>
                      <w:color w:val="auto"/>
                      <w:sz w:val="21"/>
                      <w:szCs w:val="21"/>
                    </w:rPr>
                  </w:pPr>
                </w:p>
              </w:tc>
            </w:tr>
            <w:tr w14:paraId="070E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1" w:type="dxa"/>
                  <w:noWrap w:val="0"/>
                  <w:vAlign w:val="center"/>
                </w:tcPr>
                <w:p w14:paraId="6B15D4EA">
                  <w:pPr>
                    <w:tabs>
                      <w:tab w:val="left" w:pos="5475"/>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730" w:type="dxa"/>
                  <w:noWrap w:val="0"/>
                  <w:vAlign w:val="center"/>
                </w:tcPr>
                <w:p w14:paraId="52DF6157">
                  <w:pPr>
                    <w:ind w:firstLine="210" w:firstLineChars="10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纯水设备</w:t>
                  </w:r>
                </w:p>
              </w:tc>
              <w:tc>
                <w:tcPr>
                  <w:tcW w:w="2222" w:type="dxa"/>
                  <w:noWrap w:val="0"/>
                  <w:vAlign w:val="center"/>
                </w:tcPr>
                <w:p w14:paraId="5CAE7AC9">
                  <w:pPr>
                    <w:tabs>
                      <w:tab w:val="left" w:pos="5475"/>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26" w:type="dxa"/>
                  <w:noWrap w:val="0"/>
                  <w:vAlign w:val="center"/>
                </w:tcPr>
                <w:p w14:paraId="2354554B">
                  <w:pPr>
                    <w:tabs>
                      <w:tab w:val="left" w:pos="5475"/>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c>
                <w:tcPr>
                  <w:tcW w:w="999" w:type="dxa"/>
                  <w:vMerge w:val="continue"/>
                  <w:noWrap w:val="0"/>
                  <w:vAlign w:val="center"/>
                </w:tcPr>
                <w:p w14:paraId="0BC48126">
                  <w:pPr>
                    <w:tabs>
                      <w:tab w:val="left" w:pos="5475"/>
                    </w:tabs>
                    <w:jc w:val="center"/>
                    <w:rPr>
                      <w:rFonts w:hint="default" w:ascii="Times New Roman" w:hAnsi="Times New Roman" w:eastAsia="宋体" w:cs="Times New Roman"/>
                      <w:color w:val="auto"/>
                      <w:sz w:val="21"/>
                      <w:szCs w:val="21"/>
                    </w:rPr>
                  </w:pPr>
                </w:p>
              </w:tc>
            </w:tr>
          </w:tbl>
          <w:p w14:paraId="434470B7">
            <w:pPr>
              <w:pStyle w:val="23"/>
              <w:spacing w:line="360" w:lineRule="auto"/>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根据《产业结构调整指导目录（2024年本）》可知，本项目所用设备均不属于国家禁止或明令淘汰的设备</w:t>
            </w:r>
            <w:r>
              <w:rPr>
                <w:rFonts w:hint="default" w:ascii="Times New Roman" w:hAnsi="Times New Roman" w:eastAsia="宋体" w:cs="Times New Roman"/>
                <w:color w:val="auto"/>
                <w:sz w:val="24"/>
                <w:szCs w:val="24"/>
                <w:lang w:eastAsia="zh-CN"/>
              </w:rPr>
              <w:t>。</w:t>
            </w:r>
          </w:p>
          <w:p w14:paraId="5FE7751F">
            <w:pPr>
              <w:pStyle w:val="23"/>
              <w:numPr>
                <w:ilvl w:val="0"/>
                <w:numId w:val="0"/>
              </w:numPr>
              <w:spacing w:line="360" w:lineRule="auto"/>
              <w:ind w:leftChars="228"/>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zh-CN"/>
              </w:rPr>
              <w:t>主要原辅材料及能源消耗</w:t>
            </w:r>
          </w:p>
          <w:p w14:paraId="7F348EE0">
            <w:pPr>
              <w:tabs>
                <w:tab w:val="left" w:pos="6915"/>
              </w:tabs>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zh-CN"/>
              </w:rPr>
              <w:t>本项目主要原材料及能源消耗情况见表</w:t>
            </w:r>
            <w:r>
              <w:rPr>
                <w:rFonts w:hint="default" w:ascii="Times New Roman" w:hAnsi="Times New Roman" w:eastAsia="宋体" w:cs="Times New Roman"/>
                <w:color w:val="auto"/>
                <w:sz w:val="24"/>
                <w:lang w:val="en-US" w:eastAsia="zh-CN"/>
              </w:rPr>
              <w:t>2-3。</w:t>
            </w:r>
          </w:p>
          <w:p w14:paraId="2D983CC9">
            <w:pPr>
              <w:tabs>
                <w:tab w:val="left" w:pos="6915"/>
              </w:tabs>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rPr>
              <w:t xml:space="preserve">  主要原辅材料用量及能源消耗一览表</w:t>
            </w:r>
          </w:p>
          <w:tbl>
            <w:tblPr>
              <w:tblStyle w:val="19"/>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450"/>
              <w:gridCol w:w="1630"/>
              <w:gridCol w:w="1076"/>
              <w:gridCol w:w="2694"/>
            </w:tblGrid>
            <w:tr w14:paraId="6EB2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797" w:type="dxa"/>
                  <w:noWrap w:val="0"/>
                  <w:vAlign w:val="center"/>
                </w:tcPr>
                <w:p w14:paraId="372F6B6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450" w:type="dxa"/>
                  <w:noWrap w:val="0"/>
                  <w:vAlign w:val="center"/>
                </w:tcPr>
                <w:p w14:paraId="5B85D37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630" w:type="dxa"/>
                  <w:noWrap w:val="0"/>
                  <w:vAlign w:val="center"/>
                </w:tcPr>
                <w:p w14:paraId="7BFA4FC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76" w:type="dxa"/>
                  <w:noWrap w:val="0"/>
                  <w:vAlign w:val="center"/>
                </w:tcPr>
                <w:p w14:paraId="2432BE6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年用量</w:t>
                  </w:r>
                </w:p>
              </w:tc>
              <w:tc>
                <w:tcPr>
                  <w:tcW w:w="2694" w:type="dxa"/>
                  <w:noWrap w:val="0"/>
                  <w:vAlign w:val="center"/>
                </w:tcPr>
                <w:p w14:paraId="15C9A8C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0BA8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97" w:type="dxa"/>
                  <w:noWrap w:val="0"/>
                  <w:vAlign w:val="center"/>
                </w:tcPr>
                <w:p w14:paraId="2132A028">
                  <w:pPr>
                    <w:widowControl/>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val="en-US" w:eastAsia="zh-CN"/>
                    </w:rPr>
                    <w:t>1</w:t>
                  </w:r>
                </w:p>
              </w:tc>
              <w:tc>
                <w:tcPr>
                  <w:tcW w:w="2450" w:type="dxa"/>
                  <w:noWrap w:val="0"/>
                  <w:vAlign w:val="center"/>
                </w:tcPr>
                <w:p w14:paraId="355E95C9">
                  <w:pPr>
                    <w:widowControl/>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玉米淀粉</w:t>
                  </w:r>
                </w:p>
              </w:tc>
              <w:tc>
                <w:tcPr>
                  <w:tcW w:w="1630" w:type="dxa"/>
                  <w:noWrap w:val="0"/>
                  <w:vAlign w:val="center"/>
                </w:tcPr>
                <w:p w14:paraId="70FE7251">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fr-FR"/>
                    </w:rPr>
                    <w:t>t</w:t>
                  </w:r>
                </w:p>
              </w:tc>
              <w:tc>
                <w:tcPr>
                  <w:tcW w:w="1076" w:type="dxa"/>
                  <w:noWrap w:val="0"/>
                  <w:vAlign w:val="center"/>
                </w:tcPr>
                <w:p w14:paraId="0584F12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550</w:t>
                  </w:r>
                </w:p>
              </w:tc>
              <w:tc>
                <w:tcPr>
                  <w:tcW w:w="2694" w:type="dxa"/>
                  <w:noWrap w:val="0"/>
                  <w:vAlign w:val="center"/>
                </w:tcPr>
                <w:p w14:paraId="1600CD55">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外购、粉末状</w:t>
                  </w:r>
                </w:p>
              </w:tc>
            </w:tr>
            <w:tr w14:paraId="6F76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97" w:type="dxa"/>
                  <w:noWrap w:val="0"/>
                  <w:vAlign w:val="center"/>
                </w:tcPr>
                <w:p w14:paraId="1FBE35A9">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450" w:type="dxa"/>
                  <w:noWrap w:val="0"/>
                  <w:vAlign w:val="center"/>
                </w:tcPr>
                <w:p w14:paraId="0213D757">
                  <w:pPr>
                    <w:widowControl/>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酶</w:t>
                  </w:r>
                </w:p>
              </w:tc>
              <w:tc>
                <w:tcPr>
                  <w:tcW w:w="1630" w:type="dxa"/>
                  <w:noWrap w:val="0"/>
                  <w:vAlign w:val="center"/>
                </w:tcPr>
                <w:p w14:paraId="09CB8D34">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p>
              </w:tc>
              <w:tc>
                <w:tcPr>
                  <w:tcW w:w="1076" w:type="dxa"/>
                  <w:noWrap w:val="0"/>
                  <w:vAlign w:val="center"/>
                </w:tcPr>
                <w:p w14:paraId="2139D46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2694" w:type="dxa"/>
                  <w:noWrap w:val="0"/>
                  <w:vAlign w:val="center"/>
                </w:tcPr>
                <w:p w14:paraId="7E6980D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外购、粉末状</w:t>
                  </w:r>
                </w:p>
              </w:tc>
            </w:tr>
            <w:tr w14:paraId="78C7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97" w:type="dxa"/>
                  <w:noWrap w:val="0"/>
                  <w:vAlign w:val="center"/>
                </w:tcPr>
                <w:p w14:paraId="71B1317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450" w:type="dxa"/>
                  <w:noWrap w:val="0"/>
                  <w:vAlign w:val="center"/>
                </w:tcPr>
                <w:p w14:paraId="3C82171C">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630" w:type="dxa"/>
                  <w:noWrap w:val="0"/>
                  <w:vAlign w:val="center"/>
                </w:tcPr>
                <w:p w14:paraId="64196B07">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万kwh</w:t>
                  </w:r>
                </w:p>
              </w:tc>
              <w:tc>
                <w:tcPr>
                  <w:tcW w:w="1076" w:type="dxa"/>
                  <w:noWrap w:val="0"/>
                  <w:vAlign w:val="center"/>
                </w:tcPr>
                <w:p w14:paraId="5CF11A7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2694" w:type="dxa"/>
                  <w:noWrap w:val="0"/>
                  <w:vAlign w:val="center"/>
                </w:tcPr>
                <w:p w14:paraId="75ABC4E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滑县产业集聚区供电</w:t>
                  </w:r>
                </w:p>
              </w:tc>
            </w:tr>
            <w:tr w14:paraId="714C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97" w:type="dxa"/>
                  <w:noWrap w:val="0"/>
                  <w:vAlign w:val="center"/>
                </w:tcPr>
                <w:p w14:paraId="2F4659A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450" w:type="dxa"/>
                  <w:noWrap w:val="0"/>
                  <w:vAlign w:val="center"/>
                </w:tcPr>
                <w:p w14:paraId="6D5ED572">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纯</w:t>
                  </w:r>
                  <w:r>
                    <w:rPr>
                      <w:rFonts w:hint="default" w:ascii="Times New Roman" w:hAnsi="Times New Roman" w:eastAsia="宋体" w:cs="Times New Roman"/>
                      <w:color w:val="auto"/>
                      <w:sz w:val="21"/>
                      <w:szCs w:val="21"/>
                    </w:rPr>
                    <w:t>水</w:t>
                  </w:r>
                </w:p>
              </w:tc>
              <w:tc>
                <w:tcPr>
                  <w:tcW w:w="1630" w:type="dxa"/>
                  <w:noWrap w:val="0"/>
                  <w:vAlign w:val="center"/>
                </w:tcPr>
                <w:p w14:paraId="104EDD95">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1076" w:type="dxa"/>
                  <w:noWrap w:val="0"/>
                  <w:vAlign w:val="center"/>
                </w:tcPr>
                <w:p w14:paraId="13A860B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2694" w:type="dxa"/>
                  <w:noWrap w:val="0"/>
                  <w:vAlign w:val="center"/>
                </w:tcPr>
                <w:p w14:paraId="21F76A1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购买纯水设备自制</w:t>
                  </w:r>
                </w:p>
              </w:tc>
            </w:tr>
          </w:tbl>
          <w:p w14:paraId="05D0DCC5">
            <w:pPr>
              <w:pStyle w:val="23"/>
              <w:numPr>
                <w:ilvl w:val="0"/>
                <w:numId w:val="0"/>
              </w:numPr>
              <w:ind w:leftChars="228"/>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zh-CN"/>
              </w:rPr>
              <w:t>产品方案</w:t>
            </w:r>
          </w:p>
          <w:p w14:paraId="62C937A8">
            <w:pPr>
              <w:pStyle w:val="23"/>
              <w:numPr>
                <w:ilvl w:val="0"/>
                <w:numId w:val="0"/>
              </w:numPr>
              <w:ind w:leftChars="228"/>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zh-CN"/>
              </w:rPr>
              <w:t>项目产品方案与规模见表</w:t>
            </w:r>
            <w:r>
              <w:rPr>
                <w:rFonts w:hint="default" w:ascii="Times New Roman" w:hAnsi="Times New Roman" w:eastAsia="宋体" w:cs="Times New Roman"/>
                <w:color w:val="auto"/>
                <w:sz w:val="24"/>
                <w:lang w:val="en-US" w:eastAsia="zh-CN"/>
              </w:rPr>
              <w:t>2-4。</w:t>
            </w:r>
          </w:p>
          <w:p w14:paraId="0D3CC078">
            <w:pPr>
              <w:pStyle w:val="23"/>
              <w:numPr>
                <w:ilvl w:val="0"/>
                <w:numId w:val="0"/>
              </w:numPr>
              <w:jc w:val="center"/>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en-US" w:eastAsia="zh-CN"/>
              </w:rPr>
              <w:t>表2-4</w:t>
            </w:r>
            <w:r>
              <w:rPr>
                <w:rFonts w:hint="default" w:ascii="Times New Roman" w:hAnsi="Times New Roman" w:eastAsia="宋体" w:cs="Times New Roman"/>
                <w:color w:val="auto"/>
                <w:sz w:val="24"/>
                <w:lang w:val="zh-CN"/>
              </w:rPr>
              <w:t>产品方案及规模</w:t>
            </w:r>
          </w:p>
          <w:tbl>
            <w:tblPr>
              <w:tblStyle w:val="20"/>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2268"/>
              <w:gridCol w:w="1286"/>
              <w:gridCol w:w="3250"/>
            </w:tblGrid>
            <w:tr w14:paraId="2715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noWrap w:val="0"/>
                  <w:vAlign w:val="center"/>
                </w:tcPr>
                <w:p w14:paraId="3FB1CE30">
                  <w:pPr>
                    <w:pStyle w:val="23"/>
                    <w:numPr>
                      <w:ilvl w:val="0"/>
                      <w:numId w:val="0"/>
                    </w:numPr>
                    <w:jc w:val="center"/>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序号</w:t>
                  </w:r>
                </w:p>
              </w:tc>
              <w:tc>
                <w:tcPr>
                  <w:tcW w:w="2268" w:type="dxa"/>
                  <w:noWrap w:val="0"/>
                  <w:vAlign w:val="center"/>
                </w:tcPr>
                <w:p w14:paraId="21CAE187">
                  <w:pPr>
                    <w:pStyle w:val="23"/>
                    <w:numPr>
                      <w:ilvl w:val="0"/>
                      <w:numId w:val="0"/>
                    </w:numPr>
                    <w:jc w:val="center"/>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产品名称</w:t>
                  </w:r>
                </w:p>
              </w:tc>
              <w:tc>
                <w:tcPr>
                  <w:tcW w:w="1286" w:type="dxa"/>
                  <w:noWrap w:val="0"/>
                  <w:vAlign w:val="center"/>
                </w:tcPr>
                <w:p w14:paraId="16DA7053">
                  <w:pPr>
                    <w:pStyle w:val="23"/>
                    <w:numPr>
                      <w:ilvl w:val="0"/>
                      <w:numId w:val="0"/>
                    </w:numPr>
                    <w:jc w:val="center"/>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数量（</w:t>
                  </w:r>
                  <w:r>
                    <w:rPr>
                      <w:rFonts w:hint="default" w:ascii="Times New Roman" w:hAnsi="Times New Roman" w:eastAsia="宋体" w:cs="Times New Roman"/>
                      <w:color w:val="auto"/>
                      <w:sz w:val="21"/>
                      <w:szCs w:val="21"/>
                      <w:vertAlign w:val="baseline"/>
                      <w:lang w:val="en-US" w:eastAsia="zh-CN"/>
                    </w:rPr>
                    <w:t>t</w:t>
                  </w:r>
                  <w:r>
                    <w:rPr>
                      <w:rFonts w:hint="default" w:ascii="Times New Roman" w:hAnsi="Times New Roman" w:eastAsia="宋体" w:cs="Times New Roman"/>
                      <w:color w:val="auto"/>
                      <w:sz w:val="21"/>
                      <w:szCs w:val="21"/>
                      <w:vertAlign w:val="baseline"/>
                      <w:lang w:val="zh-CN" w:eastAsia="zh-CN"/>
                    </w:rPr>
                    <w:t>）</w:t>
                  </w:r>
                </w:p>
              </w:tc>
              <w:tc>
                <w:tcPr>
                  <w:tcW w:w="3250" w:type="dxa"/>
                  <w:noWrap w:val="0"/>
                  <w:vAlign w:val="center"/>
                </w:tcPr>
                <w:p w14:paraId="484C535D">
                  <w:pPr>
                    <w:pStyle w:val="23"/>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规格</w:t>
                  </w:r>
                </w:p>
              </w:tc>
            </w:tr>
            <w:tr w14:paraId="4248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40" w:type="dxa"/>
                  <w:noWrap w:val="0"/>
                  <w:vAlign w:val="center"/>
                </w:tcPr>
                <w:p w14:paraId="53D4DC28">
                  <w:pPr>
                    <w:pStyle w:val="23"/>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268" w:type="dxa"/>
                  <w:noWrap w:val="0"/>
                  <w:vAlign w:val="center"/>
                </w:tcPr>
                <w:p w14:paraId="625AA234">
                  <w:pPr>
                    <w:pStyle w:val="23"/>
                    <w:numPr>
                      <w:ilvl w:val="0"/>
                      <w:numId w:val="0"/>
                    </w:numPr>
                    <w:jc w:val="center"/>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淀粉糖</w:t>
                  </w:r>
                </w:p>
              </w:tc>
              <w:tc>
                <w:tcPr>
                  <w:tcW w:w="1286" w:type="dxa"/>
                  <w:noWrap w:val="0"/>
                  <w:vAlign w:val="center"/>
                </w:tcPr>
                <w:p w14:paraId="5721EEAD">
                  <w:pPr>
                    <w:pStyle w:val="23"/>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350</w:t>
                  </w:r>
                </w:p>
              </w:tc>
              <w:tc>
                <w:tcPr>
                  <w:tcW w:w="3250" w:type="dxa"/>
                  <w:vMerge w:val="restart"/>
                  <w:noWrap w:val="0"/>
                  <w:vAlign w:val="center"/>
                </w:tcPr>
                <w:p w14:paraId="6216CD2D">
                  <w:pPr>
                    <w:pStyle w:val="23"/>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500g/袋、200g/袋、</w:t>
                  </w:r>
                </w:p>
                <w:p w14:paraId="110BA6E8">
                  <w:pPr>
                    <w:pStyle w:val="23"/>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100g/袋</w:t>
                  </w:r>
                </w:p>
              </w:tc>
            </w:tr>
            <w:tr w14:paraId="292D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40" w:type="dxa"/>
                  <w:noWrap w:val="0"/>
                  <w:vAlign w:val="center"/>
                </w:tcPr>
                <w:p w14:paraId="16F18F4C">
                  <w:pPr>
                    <w:pStyle w:val="23"/>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2268" w:type="dxa"/>
                  <w:noWrap w:val="0"/>
                  <w:vAlign w:val="center"/>
                </w:tcPr>
                <w:p w14:paraId="57D44CD0">
                  <w:pPr>
                    <w:pStyle w:val="23"/>
                    <w:numPr>
                      <w:ilvl w:val="0"/>
                      <w:numId w:val="0"/>
                    </w:numPr>
                    <w:jc w:val="center"/>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糖浆</w:t>
                  </w:r>
                </w:p>
              </w:tc>
              <w:tc>
                <w:tcPr>
                  <w:tcW w:w="1286" w:type="dxa"/>
                  <w:noWrap w:val="0"/>
                  <w:vAlign w:val="center"/>
                </w:tcPr>
                <w:p w14:paraId="1E366A39">
                  <w:pPr>
                    <w:pStyle w:val="23"/>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w:t>
                  </w:r>
                </w:p>
              </w:tc>
              <w:tc>
                <w:tcPr>
                  <w:tcW w:w="3250" w:type="dxa"/>
                  <w:vMerge w:val="continue"/>
                  <w:noWrap w:val="0"/>
                  <w:vAlign w:val="center"/>
                </w:tcPr>
                <w:p w14:paraId="7E5C2827">
                  <w:pPr>
                    <w:pStyle w:val="23"/>
                    <w:numPr>
                      <w:ilvl w:val="0"/>
                      <w:numId w:val="0"/>
                    </w:numPr>
                    <w:jc w:val="center"/>
                    <w:rPr>
                      <w:rFonts w:hint="default" w:ascii="Times New Roman" w:hAnsi="Times New Roman" w:eastAsia="宋体" w:cs="Times New Roman"/>
                      <w:color w:val="auto"/>
                      <w:sz w:val="21"/>
                      <w:szCs w:val="21"/>
                      <w:vertAlign w:val="baseline"/>
                      <w:lang w:val="en-US" w:eastAsia="zh-CN"/>
                    </w:rPr>
                  </w:pPr>
                </w:p>
              </w:tc>
            </w:tr>
          </w:tbl>
          <w:p w14:paraId="02D0FFF8">
            <w:pPr>
              <w:pStyle w:val="23"/>
              <w:numPr>
                <w:ilvl w:val="0"/>
                <w:numId w:val="0"/>
              </w:num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7、公用工程</w:t>
            </w:r>
          </w:p>
          <w:p w14:paraId="0244258F">
            <w:pPr>
              <w:pStyle w:val="23"/>
              <w:numPr>
                <w:ilvl w:val="0"/>
                <w:numId w:val="0"/>
              </w:num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7.1供电</w:t>
            </w:r>
          </w:p>
          <w:p w14:paraId="7BD8B9C0">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本项目用电由</w:t>
            </w:r>
            <w:r>
              <w:rPr>
                <w:rFonts w:hint="default" w:ascii="Times New Roman" w:hAnsi="Times New Roman" w:eastAsia="宋体" w:cs="Times New Roman"/>
                <w:color w:val="auto"/>
                <w:sz w:val="24"/>
                <w:szCs w:val="24"/>
                <w:lang w:eastAsia="zh-CN"/>
              </w:rPr>
              <w:t>滑县集聚区</w:t>
            </w:r>
            <w:r>
              <w:rPr>
                <w:rFonts w:hint="default" w:ascii="Times New Roman" w:hAnsi="Times New Roman" w:eastAsia="宋体" w:cs="Times New Roman"/>
                <w:color w:val="auto"/>
                <w:sz w:val="24"/>
                <w:szCs w:val="24"/>
              </w:rPr>
              <w:t>供电网统一供给</w:t>
            </w:r>
            <w:r>
              <w:rPr>
                <w:rFonts w:hint="default" w:ascii="Times New Roman" w:hAnsi="Times New Roman" w:eastAsia="宋体" w:cs="Times New Roman"/>
                <w:color w:val="auto"/>
                <w:sz w:val="24"/>
                <w:szCs w:val="24"/>
                <w:lang w:val="zh-CN"/>
              </w:rPr>
              <w:t>，可满足项目生产需求与生活需求。</w:t>
            </w:r>
          </w:p>
          <w:p w14:paraId="5D4EB8CA">
            <w:pPr>
              <w:pStyle w:val="1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7.2 供热</w:t>
            </w:r>
          </w:p>
          <w:p w14:paraId="5A403FAF">
            <w:pPr>
              <w:pStyle w:val="17"/>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本项目生产车间不供暖，办公室采用空调解决供暖需求。</w:t>
            </w:r>
          </w:p>
          <w:p w14:paraId="5995F9F1">
            <w:pPr>
              <w:pStyle w:val="23"/>
              <w:numPr>
                <w:ilvl w:val="0"/>
                <w:numId w:val="0"/>
              </w:numPr>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7.3供水</w:t>
            </w:r>
          </w:p>
          <w:p w14:paraId="3F99295A">
            <w:pPr>
              <w:autoSpaceDE w:val="0"/>
              <w:autoSpaceDN w:val="0"/>
              <w:adjustRightIn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zh-CN" w:eastAsia="zh-CN" w:bidi="ar-SA"/>
              </w:rPr>
              <w:t>给水：本项目用水为职工生活用水、生产用水、生产设备及</w:t>
            </w:r>
            <w:r>
              <w:rPr>
                <w:rFonts w:hint="default" w:ascii="Times New Roman" w:hAnsi="Times New Roman" w:cs="Times New Roman"/>
                <w:color w:val="auto"/>
                <w:kern w:val="2"/>
                <w:sz w:val="24"/>
                <w:szCs w:val="24"/>
                <w:lang w:val="zh-CN" w:eastAsia="zh-CN" w:bidi="ar-SA"/>
              </w:rPr>
              <w:t>地</w:t>
            </w:r>
            <w:r>
              <w:rPr>
                <w:rFonts w:hint="default" w:ascii="Times New Roman" w:hAnsi="Times New Roman" w:eastAsia="宋体" w:cs="Times New Roman"/>
                <w:color w:val="auto"/>
                <w:kern w:val="2"/>
                <w:sz w:val="24"/>
                <w:szCs w:val="24"/>
                <w:lang w:val="zh-CN" w:eastAsia="zh-CN" w:bidi="ar-SA"/>
              </w:rPr>
              <w:t>面冲洗用水。</w:t>
            </w:r>
            <w:r>
              <w:rPr>
                <w:rFonts w:hint="default" w:ascii="Times New Roman" w:hAnsi="Times New Roman" w:eastAsia="宋体" w:cs="Times New Roman"/>
                <w:color w:val="auto"/>
                <w:kern w:val="2"/>
                <w:sz w:val="24"/>
                <w:szCs w:val="24"/>
                <w:lang w:val="en-US" w:eastAsia="zh-CN" w:bidi="ar-SA"/>
              </w:rPr>
              <w:t>本项目用水由滑县集聚区供水管网供给，能够满足项目用水。</w:t>
            </w:r>
          </w:p>
          <w:p w14:paraId="37F2049E">
            <w:pPr>
              <w:numPr>
                <w:ilvl w:val="0"/>
                <w:numId w:val="3"/>
              </w:numPr>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zh-CN"/>
              </w:rPr>
            </w:pPr>
            <w:r>
              <w:rPr>
                <w:rFonts w:hint="default" w:ascii="Times New Roman" w:hAnsi="Times New Roman" w:eastAsia="宋体" w:cs="Times New Roman"/>
                <w:color w:val="auto"/>
                <w:kern w:val="2"/>
                <w:sz w:val="24"/>
                <w:szCs w:val="24"/>
                <w:highlight w:val="none"/>
                <w:lang w:val="en-US" w:eastAsia="zh-CN" w:bidi="zh-CN"/>
              </w:rPr>
              <w:t>生活用水</w:t>
            </w:r>
          </w:p>
          <w:p w14:paraId="48636FA5">
            <w:pPr>
              <w:pageBreakBefore w:val="0"/>
              <w:numPr>
                <w:ilvl w:val="0"/>
                <w:numId w:val="0"/>
              </w:numP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本项目计划劳动定员</w:t>
            </w:r>
            <w:r>
              <w:rPr>
                <w:rFonts w:hint="default" w:ascii="Times New Roman" w:hAnsi="Times New Roman" w:eastAsia="宋体" w:cs="Times New Roman"/>
                <w:bCs/>
                <w:color w:val="auto"/>
                <w:sz w:val="24"/>
                <w:lang w:val="en-US" w:eastAsia="zh-CN"/>
              </w:rPr>
              <w:t>30</w:t>
            </w:r>
            <w:r>
              <w:rPr>
                <w:rFonts w:hint="default" w:ascii="Times New Roman" w:hAnsi="Times New Roman" w:eastAsia="宋体" w:cs="Times New Roman"/>
                <w:bCs/>
                <w:color w:val="auto"/>
                <w:sz w:val="24"/>
              </w:rPr>
              <w:t>人，</w:t>
            </w:r>
            <w:r>
              <w:rPr>
                <w:rFonts w:hint="default" w:ascii="Times New Roman" w:hAnsi="Times New Roman" w:eastAsia="宋体" w:cs="Times New Roman"/>
                <w:bCs/>
                <w:color w:val="auto"/>
                <w:sz w:val="24"/>
                <w:lang w:eastAsia="zh-CN"/>
              </w:rPr>
              <w:t>均</w:t>
            </w:r>
            <w:r>
              <w:rPr>
                <w:rFonts w:hint="default" w:ascii="Times New Roman" w:hAnsi="Times New Roman" w:eastAsia="宋体" w:cs="Times New Roman"/>
                <w:bCs/>
                <w:color w:val="auto"/>
                <w:sz w:val="24"/>
              </w:rPr>
              <w:t>不在厂区内食宿。根据《安阳市用水定额》，不食宿人员用水量参照人均</w:t>
            </w: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0L/d计算，则生活用水量为</w:t>
            </w:r>
            <w:r>
              <w:rPr>
                <w:rFonts w:hint="default" w:ascii="Times New Roman" w:hAnsi="Times New Roman" w:eastAsia="宋体" w:cs="Times New Roman"/>
                <w:bCs/>
                <w:color w:val="auto"/>
                <w:sz w:val="24"/>
                <w:lang w:val="en-US" w:eastAsia="zh-CN"/>
              </w:rPr>
              <w:t>270</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/a（</w:t>
            </w:r>
            <w:r>
              <w:rPr>
                <w:rFonts w:hint="default" w:ascii="Times New Roman" w:hAnsi="Times New Roman" w:eastAsia="宋体" w:cs="Times New Roman"/>
                <w:bCs/>
                <w:color w:val="auto"/>
                <w:sz w:val="24"/>
                <w:lang w:val="en-US" w:eastAsia="zh-CN"/>
              </w:rPr>
              <w:t>0.9</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/d）</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废水的排放量按用水量的80%计算，则本项目生活污水排放量为</w:t>
            </w:r>
            <w:r>
              <w:rPr>
                <w:rFonts w:hint="default" w:ascii="Times New Roman" w:hAnsi="Times New Roman" w:eastAsia="宋体" w:cs="Times New Roman"/>
                <w:bCs/>
                <w:color w:val="auto"/>
                <w:sz w:val="24"/>
                <w:lang w:val="en-US" w:eastAsia="zh-CN"/>
              </w:rPr>
              <w:t>216</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/a（</w:t>
            </w:r>
            <w:r>
              <w:rPr>
                <w:rFonts w:hint="default" w:ascii="Times New Roman" w:hAnsi="Times New Roman" w:eastAsia="宋体" w:cs="Times New Roman"/>
                <w:bCs/>
                <w:color w:val="auto"/>
                <w:sz w:val="24"/>
                <w:lang w:val="en-US" w:eastAsia="zh-CN"/>
              </w:rPr>
              <w:t>0.72</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/d）。</w:t>
            </w:r>
          </w:p>
          <w:p w14:paraId="4643EB62">
            <w:pPr>
              <w:pStyle w:val="2"/>
              <w:keepNext w:val="0"/>
              <w:keepLines w:val="0"/>
              <w:pageBreakBefore w:val="0"/>
              <w:numPr>
                <w:ilvl w:val="0"/>
                <w:numId w:val="3"/>
              </w:numPr>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生产用水</w:t>
            </w:r>
          </w:p>
          <w:p w14:paraId="411111D2">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本项目生产用水主要是原料用水、生产设备清洗用水和车间地面拖洗用水。</w:t>
            </w:r>
          </w:p>
          <w:p w14:paraId="41D14099">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 w:val="0"/>
                <w:bCs/>
                <w:i w:val="0"/>
                <w:iCs w:val="0"/>
                <w:color w:val="auto"/>
                <w:kern w:val="2"/>
                <w:sz w:val="24"/>
                <w:szCs w:val="24"/>
                <w:lang w:val="en-US" w:eastAsia="zh-CN" w:bidi="ar-SA"/>
              </w:rPr>
            </w:pPr>
            <w:r>
              <w:rPr>
                <w:rFonts w:hint="default" w:ascii="Times New Roman" w:hAnsi="Times New Roman" w:eastAsia="宋体" w:cs="Times New Roman"/>
                <w:b w:val="0"/>
                <w:bCs w:val="0"/>
                <w:i w:val="0"/>
                <w:iCs w:val="0"/>
                <w:color w:val="auto"/>
                <w:kern w:val="2"/>
                <w:sz w:val="24"/>
                <w:szCs w:val="24"/>
                <w:lang w:val="en-US" w:eastAsia="zh-CN" w:bidi="ar-SA"/>
              </w:rPr>
              <w:t>①</w:t>
            </w:r>
            <w:r>
              <w:rPr>
                <w:rFonts w:hint="default" w:ascii="Times New Roman" w:hAnsi="Times New Roman" w:eastAsia="宋体" w:cs="Times New Roman"/>
                <w:b w:val="0"/>
                <w:bCs/>
                <w:i w:val="0"/>
                <w:iCs w:val="0"/>
                <w:color w:val="auto"/>
                <w:kern w:val="2"/>
                <w:sz w:val="24"/>
                <w:szCs w:val="24"/>
                <w:lang w:val="en-US" w:eastAsia="zh-CN" w:bidi="ar-SA"/>
              </w:rPr>
              <w:t>原料用水</w:t>
            </w:r>
          </w:p>
          <w:p w14:paraId="78E895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b w:val="0"/>
                <w:bCs/>
                <w:i w:val="0"/>
                <w:iCs w:val="0"/>
                <w:color w:val="auto"/>
                <w:kern w:val="2"/>
                <w:sz w:val="24"/>
                <w:szCs w:val="24"/>
                <w:lang w:val="en-US" w:eastAsia="zh-CN" w:bidi="ar-SA"/>
              </w:rPr>
              <w:t>根据建设单位提供资料，</w:t>
            </w:r>
            <w:r>
              <w:rPr>
                <w:rFonts w:hint="default" w:ascii="Times New Roman" w:hAnsi="Times New Roman" w:eastAsia="宋体" w:cs="Times New Roman"/>
                <w:b w:val="0"/>
                <w:bCs/>
                <w:i w:val="0"/>
                <w:iCs w:val="0"/>
                <w:color w:val="auto"/>
                <w:kern w:val="2"/>
                <w:sz w:val="24"/>
                <w:szCs w:val="24"/>
                <w:lang w:val="en-US" w:eastAsia="zh-CN" w:bidi="ar-SA"/>
              </w:rPr>
              <w:t>原料用水为</w:t>
            </w:r>
            <w:r>
              <w:rPr>
                <w:rFonts w:hint="default" w:ascii="Times New Roman" w:hAnsi="Times New Roman" w:cs="Times New Roman"/>
                <w:b w:val="0"/>
                <w:bCs/>
                <w:i w:val="0"/>
                <w:iCs w:val="0"/>
                <w:color w:val="auto"/>
                <w:kern w:val="2"/>
                <w:sz w:val="24"/>
                <w:szCs w:val="24"/>
                <w:lang w:val="en-US" w:eastAsia="zh-CN" w:bidi="ar-SA"/>
              </w:rPr>
              <w:t>纯水</w:t>
            </w:r>
            <w:r>
              <w:rPr>
                <w:rFonts w:hint="default" w:ascii="Times New Roman" w:hAnsi="Times New Roman" w:eastAsia="宋体" w:cs="Times New Roman"/>
                <w:b w:val="0"/>
                <w:bCs/>
                <w:i w:val="0"/>
                <w:iCs w:val="0"/>
                <w:color w:val="auto"/>
                <w:kern w:val="2"/>
                <w:sz w:val="24"/>
                <w:szCs w:val="24"/>
                <w:lang w:val="en-US" w:eastAsia="zh-CN" w:bidi="ar-SA"/>
              </w:rPr>
              <w:t>，</w:t>
            </w:r>
            <w:r>
              <w:rPr>
                <w:rFonts w:hint="default" w:ascii="Times New Roman" w:hAnsi="Times New Roman" w:cs="Times New Roman"/>
                <w:b w:val="0"/>
                <w:bCs/>
                <w:i w:val="0"/>
                <w:iCs w:val="0"/>
                <w:color w:val="auto"/>
                <w:kern w:val="2"/>
                <w:sz w:val="24"/>
                <w:szCs w:val="24"/>
                <w:lang w:val="en-US" w:eastAsia="zh-CN" w:bidi="ar-SA"/>
              </w:rPr>
              <w:t>纯水由新购置的纯水制备系统制备，制备能力为5t/h，拟建项目纯水制备效率为75%，年制备纯水</w:t>
            </w:r>
            <w:r>
              <w:rPr>
                <w:rFonts w:hint="default" w:ascii="Times New Roman" w:hAnsi="Times New Roman" w:eastAsia="宋体" w:cs="Times New Roman"/>
                <w:b w:val="0"/>
                <w:bCs/>
                <w:i w:val="0"/>
                <w:iCs w:val="0"/>
                <w:color w:val="auto"/>
                <w:kern w:val="2"/>
                <w:sz w:val="24"/>
                <w:szCs w:val="24"/>
                <w:lang w:val="en-US" w:eastAsia="zh-CN" w:bidi="ar-SA"/>
              </w:rPr>
              <w:t>量80</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/a</w:t>
            </w:r>
            <w:r>
              <w:rPr>
                <w:rFonts w:hint="default" w:ascii="Times New Roman" w:hAnsi="Times New Roman" w:cs="Times New Roman"/>
                <w:bCs/>
                <w:color w:val="auto"/>
                <w:sz w:val="24"/>
                <w:lang w:eastAsia="zh-CN"/>
              </w:rPr>
              <w:t>，产生的浓水为</w:t>
            </w:r>
            <w:r>
              <w:rPr>
                <w:rFonts w:hint="default" w:ascii="Times New Roman" w:hAnsi="Times New Roman" w:cs="Times New Roman"/>
                <w:bCs/>
                <w:color w:val="auto"/>
                <w:sz w:val="24"/>
                <w:lang w:val="en-US" w:eastAsia="zh-CN"/>
              </w:rPr>
              <w:t>27</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/a</w:t>
            </w:r>
            <w:r>
              <w:rPr>
                <w:rFonts w:hint="default" w:ascii="Times New Roman" w:hAnsi="Times New Roman" w:eastAsia="宋体" w:cs="Times New Roman"/>
                <w:b w:val="0"/>
                <w:bCs/>
                <w:i w:val="0"/>
                <w:iCs w:val="0"/>
                <w:color w:val="auto"/>
                <w:kern w:val="2"/>
                <w:sz w:val="24"/>
                <w:szCs w:val="24"/>
                <w:lang w:val="en-US" w:eastAsia="zh-CN" w:bidi="ar-SA"/>
              </w:rPr>
              <w:t>，</w:t>
            </w:r>
            <w:r>
              <w:rPr>
                <w:rFonts w:hint="default" w:ascii="Times New Roman" w:hAnsi="Times New Roman" w:cs="Times New Roman"/>
                <w:b w:val="0"/>
                <w:bCs/>
                <w:i w:val="0"/>
                <w:iCs w:val="0"/>
                <w:color w:val="auto"/>
                <w:kern w:val="2"/>
                <w:sz w:val="24"/>
                <w:szCs w:val="24"/>
                <w:lang w:val="en-US" w:eastAsia="zh-CN" w:bidi="ar-SA"/>
              </w:rPr>
              <w:t>纯水</w:t>
            </w:r>
            <w:r>
              <w:rPr>
                <w:rFonts w:hint="default" w:ascii="Times New Roman" w:hAnsi="Times New Roman" w:eastAsia="宋体" w:cs="Times New Roman"/>
                <w:b w:val="0"/>
                <w:bCs/>
                <w:i w:val="0"/>
                <w:iCs w:val="0"/>
                <w:color w:val="auto"/>
                <w:kern w:val="2"/>
                <w:sz w:val="24"/>
                <w:szCs w:val="24"/>
                <w:lang w:val="en-US" w:eastAsia="zh-CN" w:bidi="ar-SA"/>
              </w:rPr>
              <w:t>全部用于生产，</w:t>
            </w:r>
            <w:r>
              <w:rPr>
                <w:rFonts w:hint="default" w:ascii="Times New Roman" w:hAnsi="Times New Roman" w:cs="Times New Roman"/>
                <w:b w:val="0"/>
                <w:bCs/>
                <w:i w:val="0"/>
                <w:iCs w:val="0"/>
                <w:color w:val="auto"/>
                <w:kern w:val="2"/>
                <w:sz w:val="24"/>
                <w:szCs w:val="24"/>
                <w:lang w:val="en-US" w:eastAsia="zh-CN" w:bidi="ar-SA"/>
              </w:rPr>
              <w:t>产生的浓水全部用于厂区绿化、洒水抑尘。</w:t>
            </w:r>
          </w:p>
          <w:p w14:paraId="720113F1">
            <w:pPr>
              <w:pStyle w:val="2"/>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②生产设备清洗用水</w:t>
            </w:r>
          </w:p>
          <w:p w14:paraId="2746E259">
            <w:pPr>
              <w:pStyle w:val="2"/>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项目生产过程中所用的搅拌机、多功能制糖机等生产设备均需定期清洗。根据建设单位提供资料，生产设备清洗用水量为 162m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/a（0.54m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/d）。</w:t>
            </w:r>
          </w:p>
          <w:p w14:paraId="4BE5033C">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③地面冲洗用水</w:t>
            </w:r>
          </w:p>
          <w:p w14:paraId="3E0F46DD">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按照清洁生产要求，本项目生产车间地面需定期进行清洗，采用拖布拖洗的方式，频率为每天一次，清洗用水量平均按0.5L/次·m</w:t>
            </w:r>
            <w:r>
              <w:rPr>
                <w:rFonts w:hint="default" w:ascii="Times New Roman" w:hAnsi="Times New Roman" w:eastAsia="宋体" w:cs="Times New Roman"/>
                <w:bCs/>
                <w:color w:val="auto"/>
                <w:kern w:val="2"/>
                <w:sz w:val="24"/>
                <w:szCs w:val="24"/>
                <w:vertAlign w:val="superscript"/>
                <w:lang w:val="en-US" w:eastAsia="zh-CN" w:bidi="ar-SA"/>
              </w:rPr>
              <w:t>2</w:t>
            </w:r>
            <w:r>
              <w:rPr>
                <w:rFonts w:hint="default" w:ascii="Times New Roman" w:hAnsi="Times New Roman" w:eastAsia="宋体" w:cs="Times New Roman"/>
                <w:bCs/>
                <w:color w:val="auto"/>
                <w:kern w:val="2"/>
                <w:sz w:val="24"/>
                <w:szCs w:val="24"/>
                <w:lang w:val="en-US" w:eastAsia="zh-CN" w:bidi="ar-SA"/>
              </w:rPr>
              <w:t>核算，本项目生产车间面积4000m</w:t>
            </w:r>
            <w:r>
              <w:rPr>
                <w:rFonts w:hint="default" w:ascii="Times New Roman" w:hAnsi="Times New Roman" w:eastAsia="宋体" w:cs="Times New Roman"/>
                <w:bCs/>
                <w:color w:val="auto"/>
                <w:kern w:val="2"/>
                <w:sz w:val="24"/>
                <w:szCs w:val="24"/>
                <w:vertAlign w:val="superscript"/>
                <w:lang w:val="en-US" w:eastAsia="zh-CN" w:bidi="ar-SA"/>
              </w:rPr>
              <w:t>2</w:t>
            </w:r>
            <w:r>
              <w:rPr>
                <w:rFonts w:hint="default" w:ascii="Times New Roman" w:hAnsi="Times New Roman" w:eastAsia="宋体" w:cs="Times New Roman"/>
                <w:bCs/>
                <w:color w:val="auto"/>
                <w:kern w:val="2"/>
                <w:sz w:val="24"/>
                <w:szCs w:val="24"/>
                <w:lang w:val="en-US" w:eastAsia="zh-CN" w:bidi="ar-SA"/>
              </w:rPr>
              <w:t>，则地面拖洗用水量为111m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/a（0.37m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/d）。</w:t>
            </w:r>
          </w:p>
          <w:p w14:paraId="2CE02EF0">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本项目用水总量为6</w:t>
            </w:r>
            <w:r>
              <w:rPr>
                <w:rFonts w:hint="default" w:ascii="Times New Roman" w:hAnsi="Times New Roman" w:cs="Times New Roman"/>
                <w:bCs/>
                <w:color w:val="auto"/>
                <w:kern w:val="2"/>
                <w:sz w:val="24"/>
                <w:szCs w:val="24"/>
                <w:lang w:val="en-US" w:eastAsia="zh-CN" w:bidi="ar-SA"/>
              </w:rPr>
              <w:t>50</w:t>
            </w:r>
            <w:r>
              <w:rPr>
                <w:rFonts w:hint="default" w:ascii="Times New Roman" w:hAnsi="Times New Roman" w:eastAsia="宋体" w:cs="Times New Roman"/>
                <w:bCs/>
                <w:color w:val="auto"/>
                <w:kern w:val="2"/>
                <w:sz w:val="24"/>
                <w:szCs w:val="24"/>
                <w:lang w:val="en-US" w:eastAsia="zh-CN" w:bidi="ar-SA"/>
              </w:rPr>
              <w:t>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/a。</w:t>
            </w:r>
          </w:p>
          <w:p w14:paraId="2A43BF82">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本项目产生的废水主要是生产设备冲洗废水、车间地面冲洗废水和生活污水，</w:t>
            </w:r>
            <w:r>
              <w:rPr>
                <w:rFonts w:hint="default" w:ascii="Times New Roman" w:hAnsi="Times New Roman" w:cs="Times New Roman"/>
                <w:bCs/>
                <w:color w:val="auto"/>
                <w:kern w:val="2"/>
                <w:sz w:val="24"/>
                <w:szCs w:val="24"/>
                <w:lang w:val="en-US" w:eastAsia="zh-CN" w:bidi="ar-SA"/>
              </w:rPr>
              <w:t>生</w:t>
            </w:r>
            <w:r>
              <w:rPr>
                <w:rFonts w:hint="default" w:ascii="Times New Roman" w:hAnsi="Times New Roman" w:eastAsia="宋体" w:cs="Times New Roman"/>
                <w:bCs/>
                <w:color w:val="auto"/>
                <w:kern w:val="2"/>
                <w:sz w:val="24"/>
                <w:szCs w:val="24"/>
                <w:lang w:val="en-US" w:eastAsia="zh-CN" w:bidi="ar-SA"/>
              </w:rPr>
              <w:t>活污水经化粪池，和</w:t>
            </w:r>
            <w:r>
              <w:rPr>
                <w:rFonts w:hint="default" w:ascii="Times New Roman" w:hAnsi="Times New Roman" w:cs="Times New Roman"/>
                <w:bCs/>
                <w:color w:val="auto"/>
                <w:kern w:val="2"/>
                <w:sz w:val="24"/>
                <w:szCs w:val="24"/>
                <w:lang w:val="en-US" w:eastAsia="zh-CN" w:bidi="ar-SA"/>
              </w:rPr>
              <w:t>生产</w:t>
            </w:r>
            <w:r>
              <w:rPr>
                <w:rFonts w:hint="default" w:ascii="Times New Roman" w:hAnsi="Times New Roman" w:eastAsia="宋体" w:cs="Times New Roman"/>
                <w:bCs/>
                <w:color w:val="auto"/>
                <w:kern w:val="2"/>
                <w:sz w:val="24"/>
                <w:szCs w:val="24"/>
                <w:lang w:val="en-US" w:eastAsia="zh-CN" w:bidi="ar-SA"/>
              </w:rPr>
              <w:t>设备清洗废水、</w:t>
            </w:r>
            <w:r>
              <w:rPr>
                <w:rFonts w:hint="default" w:ascii="Times New Roman" w:hAnsi="Times New Roman" w:cs="Times New Roman"/>
                <w:bCs/>
                <w:color w:val="auto"/>
                <w:kern w:val="2"/>
                <w:sz w:val="24"/>
                <w:szCs w:val="24"/>
                <w:lang w:val="en-US" w:eastAsia="zh-CN" w:bidi="ar-SA"/>
              </w:rPr>
              <w:t>车间</w:t>
            </w:r>
            <w:r>
              <w:rPr>
                <w:rFonts w:hint="default" w:ascii="Times New Roman" w:hAnsi="Times New Roman" w:eastAsia="宋体" w:cs="Times New Roman"/>
                <w:bCs/>
                <w:color w:val="auto"/>
                <w:kern w:val="2"/>
                <w:sz w:val="24"/>
                <w:szCs w:val="24"/>
                <w:lang w:val="en-US" w:eastAsia="zh-CN" w:bidi="ar-SA"/>
              </w:rPr>
              <w:t>地面清洗废水经市政管网排入滑县产业集聚区污水处理厂本项目水平衡图见图1。</w:t>
            </w:r>
          </w:p>
          <w:p w14:paraId="6CF8ADF2">
            <w:pPr>
              <w:pStyle w:val="6"/>
              <w:rPr>
                <w:rFonts w:hint="default" w:ascii="Times New Roman" w:hAnsi="Times New Roman" w:eastAsia="宋体" w:cs="Times New Roman"/>
                <w:b w:val="0"/>
                <w:bCs/>
                <w:i w:val="0"/>
                <w:iCs w:val="0"/>
                <w:color w:val="auto"/>
                <w:kern w:val="2"/>
                <w:sz w:val="24"/>
                <w:szCs w:val="24"/>
                <w:lang w:val="en-US" w:eastAsia="zh-CN" w:bidi="ar-SA"/>
              </w:rPr>
            </w:pPr>
            <w:r>
              <w:rPr>
                <w:rFonts w:hint="default" w:ascii="Times New Roman" w:hAnsi="Times New Roman" w:eastAsia="宋体" w:cs="Times New Roman"/>
                <w:b w:val="0"/>
                <w:bCs/>
                <w:i w:val="0"/>
                <w:iCs w:val="0"/>
                <w:color w:val="auto"/>
                <w:kern w:val="2"/>
                <w:sz w:val="24"/>
                <w:szCs w:val="24"/>
                <w:lang w:val="en-US" w:eastAsia="zh-CN" w:bidi="ar-SA"/>
              </w:rPr>
              <w:t>新鲜水：6</w:t>
            </w:r>
            <w:r>
              <w:rPr>
                <w:rFonts w:hint="default" w:ascii="Times New Roman" w:hAnsi="Times New Roman" w:cs="Times New Roman"/>
                <w:b w:val="0"/>
                <w:bCs/>
                <w:i w:val="0"/>
                <w:iCs w:val="0"/>
                <w:color w:val="auto"/>
                <w:kern w:val="2"/>
                <w:sz w:val="24"/>
                <w:szCs w:val="24"/>
                <w:lang w:val="en-US" w:eastAsia="zh-CN" w:bidi="ar-SA"/>
              </w:rPr>
              <w:t>50</w:t>
            </w:r>
            <w:r>
              <w:rPr>
                <w:rFonts w:hint="default" w:ascii="Times New Roman" w:hAnsi="Times New Roman" w:eastAsia="宋体" w:cs="Times New Roman"/>
                <w:b w:val="0"/>
                <w:bCs w:val="0"/>
                <w:i w:val="0"/>
                <w:iCs w:val="0"/>
                <w:color w:val="auto"/>
                <w:kern w:val="2"/>
                <w:sz w:val="24"/>
                <w:szCs w:val="24"/>
                <w:lang w:val="en-US" w:eastAsia="zh-CN" w:bidi="ar-SA"/>
              </w:rPr>
              <w:t>m</w:t>
            </w:r>
            <w:r>
              <w:rPr>
                <w:rFonts w:hint="default" w:ascii="Times New Roman" w:hAnsi="Times New Roman" w:eastAsia="宋体" w:cs="Times New Roman"/>
                <w:b w:val="0"/>
                <w:bCs w:val="0"/>
                <w:i w:val="0"/>
                <w:iCs w:val="0"/>
                <w:color w:val="auto"/>
                <w:kern w:val="2"/>
                <w:sz w:val="24"/>
                <w:szCs w:val="24"/>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lang w:val="en-US" w:eastAsia="zh-CN" w:bidi="ar-SA"/>
              </w:rPr>
              <w:t>/a</w:t>
            </w:r>
          </w:p>
          <w:p w14:paraId="77CDD6F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rPr>
            </w:pPr>
            <w:r>
              <w:rPr>
                <w:rFonts w:hint="default" w:ascii="Times New Roman" w:hAnsi="Times New Roman" w:cs="Times New Roman"/>
              </w:rPr>
              <w:drawing>
                <wp:inline distT="0" distB="0" distL="114300" distR="114300">
                  <wp:extent cx="4591050" cy="259080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6"/>
                          <a:stretch>
                            <a:fillRect/>
                          </a:stretch>
                        </pic:blipFill>
                        <pic:spPr>
                          <a:xfrm>
                            <a:off x="0" y="0"/>
                            <a:ext cx="4591050" cy="2590800"/>
                          </a:xfrm>
                          <a:prstGeom prst="rect">
                            <a:avLst/>
                          </a:prstGeom>
                          <a:noFill/>
                          <a:ln>
                            <a:noFill/>
                          </a:ln>
                        </pic:spPr>
                      </pic:pic>
                    </a:graphicData>
                  </a:graphic>
                </wp:inline>
              </w:drawing>
            </w:r>
          </w:p>
          <w:p w14:paraId="0817A38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图1项目水平衡图</w:t>
            </w:r>
          </w:p>
          <w:p w14:paraId="375D87A6">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bCs/>
                <w:color w:val="auto"/>
                <w:kern w:val="2"/>
                <w:sz w:val="24"/>
                <w:szCs w:val="24"/>
                <w:lang w:val="en-US" w:eastAsia="zh-CN" w:bidi="ar-SA"/>
              </w:rPr>
            </w:pPr>
            <w:r>
              <w:rPr>
                <w:rFonts w:hint="default" w:ascii="Times New Roman" w:hAnsi="Times New Roman" w:cs="Times New Roman"/>
                <w:bCs/>
                <w:color w:val="auto"/>
                <w:kern w:val="2"/>
                <w:sz w:val="24"/>
                <w:szCs w:val="24"/>
                <w:lang w:val="en-US" w:eastAsia="zh-CN" w:bidi="ar-SA"/>
              </w:rPr>
              <w:t>7.4排水</w:t>
            </w:r>
          </w:p>
          <w:p w14:paraId="32B4097F">
            <w:pPr>
              <w:pStyle w:val="2"/>
              <w:keepNext w:val="0"/>
              <w:keepLines w:val="0"/>
              <w:pageBreakBefore w:val="0"/>
              <w:widowControl w:val="0"/>
              <w:kinsoku/>
              <w:wordWrap/>
              <w:overflowPunct/>
              <w:topLinePunct w:val="0"/>
              <w:autoSpaceDE w:val="0"/>
              <w:autoSpaceDN w:val="0"/>
              <w:bidi w:val="0"/>
              <w:adjustRightInd w:val="0"/>
              <w:snapToGrid/>
              <w:spacing w:before="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cs="Times New Roman"/>
                <w:bCs/>
                <w:color w:val="auto"/>
                <w:kern w:val="2"/>
                <w:sz w:val="24"/>
                <w:szCs w:val="24"/>
                <w:lang w:val="en-US" w:eastAsia="zh-CN" w:bidi="ar-SA"/>
              </w:rPr>
              <w:t>本项目采用雨污分流排水体制，初期雨水进入初期雨水池，其余雨水直接排入市政雨水管网接驳点。</w:t>
            </w:r>
            <w:r>
              <w:rPr>
                <w:rFonts w:hint="default" w:ascii="Times New Roman" w:hAnsi="Times New Roman" w:eastAsia="宋体" w:cs="Times New Roman"/>
                <w:bCs/>
                <w:color w:val="auto"/>
                <w:kern w:val="2"/>
                <w:sz w:val="24"/>
                <w:szCs w:val="24"/>
                <w:lang w:val="en-US" w:eastAsia="zh-CN" w:bidi="ar-SA"/>
              </w:rPr>
              <w:t>废水经化粪池+一体化污水处理设施</w:t>
            </w:r>
            <w:r>
              <w:rPr>
                <w:rFonts w:hint="eastAsia" w:ascii="Times New Roman" w:hAnsi="Times New Roman" w:eastAsia="宋体" w:cs="Times New Roman"/>
                <w:bCs/>
                <w:color w:val="auto"/>
                <w:kern w:val="2"/>
                <w:sz w:val="24"/>
                <w:szCs w:val="24"/>
                <w:lang w:val="en-US" w:eastAsia="zh-CN" w:bidi="ar-SA"/>
              </w:rPr>
              <w:t>处理后，</w:t>
            </w:r>
            <w:r>
              <w:rPr>
                <w:rFonts w:hint="default" w:ascii="Times New Roman" w:hAnsi="Times New Roman" w:eastAsia="宋体" w:cs="Times New Roman"/>
                <w:bCs/>
                <w:color w:val="auto"/>
                <w:kern w:val="2"/>
                <w:sz w:val="24"/>
                <w:szCs w:val="24"/>
                <w:lang w:val="en-US" w:eastAsia="zh-CN" w:bidi="ar-SA"/>
              </w:rPr>
              <w:t>经市政管网排入滑县产业集聚区污水处理厂。</w:t>
            </w:r>
          </w:p>
          <w:p w14:paraId="2B125AF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8、劳动定员和工作制度</w:t>
            </w:r>
          </w:p>
          <w:p w14:paraId="2FF38042">
            <w:pPr>
              <w:pStyle w:val="17"/>
              <w:keepNext w:val="0"/>
              <w:keepLines w:val="0"/>
              <w:pageBreakBefore w:val="0"/>
              <w:numPr>
                <w:ilvl w:val="0"/>
                <w:numId w:val="0"/>
              </w:numPr>
              <w:kinsoku/>
              <w:wordWrap/>
              <w:overflowPunct/>
              <w:topLinePunct w:val="0"/>
              <w:bidi w:val="0"/>
              <w:spacing w:line="360" w:lineRule="auto"/>
              <w:ind w:right="113"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本项目劳动定员</w:t>
            </w:r>
            <w:r>
              <w:rPr>
                <w:rFonts w:hint="default" w:ascii="Times New Roman" w:hAnsi="Times New Roman" w:eastAsia="宋体" w:cs="Times New Roman"/>
                <w:color w:val="auto"/>
                <w:sz w:val="24"/>
                <w:szCs w:val="24"/>
                <w:lang w:val="en-US" w:eastAsia="zh-CN"/>
              </w:rPr>
              <w:t>30人，每班工作8小时，年工作时间为300天。</w:t>
            </w:r>
          </w:p>
          <w:p w14:paraId="67EFD248">
            <w:pPr>
              <w:pStyle w:val="17"/>
              <w:keepNext w:val="0"/>
              <w:keepLines w:val="0"/>
              <w:pageBreakBefore w:val="0"/>
              <w:numPr>
                <w:ilvl w:val="0"/>
                <w:numId w:val="0"/>
              </w:numPr>
              <w:kinsoku/>
              <w:wordWrap/>
              <w:overflowPunct/>
              <w:topLinePunct w:val="0"/>
              <w:bidi w:val="0"/>
              <w:spacing w:line="360" w:lineRule="auto"/>
              <w:ind w:right="113"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9、厂区平面布置</w:t>
            </w:r>
          </w:p>
          <w:p w14:paraId="615681B8">
            <w:pPr>
              <w:pStyle w:val="17"/>
              <w:keepNext w:val="0"/>
              <w:keepLines w:val="0"/>
              <w:pageBreakBefore w:val="0"/>
              <w:numPr>
                <w:ilvl w:val="0"/>
                <w:numId w:val="0"/>
              </w:numPr>
              <w:kinsoku/>
              <w:wordWrap/>
              <w:overflowPunct/>
              <w:topLinePunct w:val="0"/>
              <w:bidi w:val="0"/>
              <w:spacing w:line="360" w:lineRule="auto"/>
              <w:ind w:right="113" w:rightChars="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本项目地块呈长方形，地势平缓，根据四邻周边地形、市政道路情况、主导风向以及工艺生产流程特点，车间布设各功能明确，项目东北侧主要为生产区，西侧为仓库，项，工程平面布置图见附图</w:t>
            </w:r>
            <w:r>
              <w:rPr>
                <w:rFonts w:hint="default" w:ascii="Times New Roman" w:hAnsi="Times New Roman"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w:t>
            </w:r>
          </w:p>
        </w:tc>
      </w:tr>
      <w:tr w14:paraId="6FED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5" w:type="dxa"/>
            <w:noWrap w:val="0"/>
            <w:vAlign w:val="center"/>
          </w:tcPr>
          <w:p w14:paraId="78BCB0DC">
            <w:pPr>
              <w:spacing w:line="500" w:lineRule="exact"/>
              <w:jc w:val="center"/>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工艺流程和产排污环节</w:t>
            </w:r>
          </w:p>
        </w:tc>
        <w:tc>
          <w:tcPr>
            <w:tcW w:w="8890" w:type="dxa"/>
            <w:noWrap w:val="0"/>
            <w:vAlign w:val="top"/>
          </w:tcPr>
          <w:p w14:paraId="3D297BA8">
            <w:pPr>
              <w:pStyle w:val="23"/>
              <w:spacing w:line="36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一、施工期：</w:t>
            </w:r>
          </w:p>
          <w:p w14:paraId="15ADE3DF">
            <w:pPr>
              <w:pStyle w:val="23"/>
              <w:spacing w:line="36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项目施工期工艺流程及产污环节：</w:t>
            </w:r>
          </w:p>
          <w:p w14:paraId="563F473E">
            <w:pPr>
              <w:pStyle w:val="23"/>
              <w:ind w:left="0" w:leftChars="0" w:firstLine="0" w:firstLineChars="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rPr>
              <w:drawing>
                <wp:inline distT="0" distB="0" distL="114300" distR="114300">
                  <wp:extent cx="4410075" cy="1000125"/>
                  <wp:effectExtent l="0" t="0" r="9525" b="952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7"/>
                          <a:stretch>
                            <a:fillRect/>
                          </a:stretch>
                        </pic:blipFill>
                        <pic:spPr>
                          <a:xfrm>
                            <a:off x="0" y="0"/>
                            <a:ext cx="4410075" cy="1000125"/>
                          </a:xfrm>
                          <a:prstGeom prst="rect">
                            <a:avLst/>
                          </a:prstGeom>
                          <a:noFill/>
                          <a:ln>
                            <a:noFill/>
                          </a:ln>
                        </pic:spPr>
                      </pic:pic>
                    </a:graphicData>
                  </a:graphic>
                </wp:inline>
              </w:drawing>
            </w:r>
          </w:p>
          <w:p w14:paraId="1FE0817B">
            <w:pPr>
              <w:spacing w:line="240" w:lineRule="atLeast"/>
              <w:jc w:val="both"/>
              <w:rPr>
                <w:rFonts w:hint="default" w:ascii="Times New Roman" w:hAnsi="Times New Roman" w:eastAsia="宋体" w:cs="Times New Roman"/>
                <w:color w:val="auto"/>
                <w:sz w:val="24"/>
              </w:rPr>
            </w:pPr>
          </w:p>
          <w:p w14:paraId="4AAB0EDF">
            <w:pPr>
              <w:spacing w:line="240" w:lineRule="atLeast"/>
              <w:ind w:firstLine="120" w:firstLineChars="5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图</w:t>
            </w:r>
            <w:r>
              <w:rPr>
                <w:rFonts w:hint="default" w:ascii="Times New Roman" w:hAnsi="Times New Roman" w:eastAsia="宋体" w:cs="Times New Roman"/>
                <w:color w:val="auto"/>
                <w:sz w:val="24"/>
                <w:lang w:val="en-US" w:eastAsia="zh-CN"/>
              </w:rPr>
              <w:t>2 施工期</w:t>
            </w:r>
            <w:r>
              <w:rPr>
                <w:rFonts w:hint="default" w:ascii="Times New Roman" w:hAnsi="Times New Roman" w:eastAsia="宋体" w:cs="Times New Roman"/>
                <w:color w:val="auto"/>
                <w:sz w:val="24"/>
              </w:rPr>
              <w:t>工艺流程及产污节点示意图</w:t>
            </w:r>
          </w:p>
          <w:p w14:paraId="63576E09">
            <w:pPr>
              <w:pStyle w:val="23"/>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二、营运期：</w:t>
            </w:r>
          </w:p>
          <w:p w14:paraId="6717A517">
            <w:pPr>
              <w:pStyle w:val="23"/>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rPr>
              <w:drawing>
                <wp:inline distT="0" distB="0" distL="114300" distR="114300">
                  <wp:extent cx="5143500" cy="13716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rcRect l="3897" t="7508" r="2710" b="7586"/>
                          <a:stretch>
                            <a:fillRect/>
                          </a:stretch>
                        </pic:blipFill>
                        <pic:spPr>
                          <a:xfrm>
                            <a:off x="0" y="0"/>
                            <a:ext cx="5143500" cy="1371600"/>
                          </a:xfrm>
                          <a:prstGeom prst="rect">
                            <a:avLst/>
                          </a:prstGeom>
                          <a:noFill/>
                          <a:ln>
                            <a:noFill/>
                          </a:ln>
                        </pic:spPr>
                      </pic:pic>
                    </a:graphicData>
                  </a:graphic>
                </wp:inline>
              </w:drawing>
            </w:r>
          </w:p>
          <w:p w14:paraId="23627F92">
            <w:pPr>
              <w:spacing w:line="240" w:lineRule="atLeast"/>
              <w:ind w:firstLine="120" w:firstLineChars="5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图</w:t>
            </w:r>
            <w:r>
              <w:rPr>
                <w:rFonts w:hint="default" w:ascii="Times New Roman" w:hAnsi="Times New Roman" w:eastAsia="宋体" w:cs="Times New Roman"/>
                <w:color w:val="auto"/>
                <w:sz w:val="24"/>
                <w:lang w:val="en-US" w:eastAsia="zh-CN"/>
              </w:rPr>
              <w:t>3 营运期</w:t>
            </w:r>
            <w:r>
              <w:rPr>
                <w:rFonts w:hint="default" w:ascii="Times New Roman" w:hAnsi="Times New Roman" w:eastAsia="宋体" w:cs="Times New Roman"/>
                <w:color w:val="auto"/>
                <w:sz w:val="24"/>
              </w:rPr>
              <w:t>工艺流程及产污节点示意图</w:t>
            </w:r>
          </w:p>
          <w:p w14:paraId="506658EF">
            <w:pPr>
              <w:spacing w:line="520" w:lineRule="exact"/>
              <w:ind w:firstLine="120" w:firstLineChars="50"/>
              <w:rPr>
                <w:rFonts w:hint="default" w:ascii="Times New Roman" w:hAnsi="Times New Roman" w:eastAsia="宋体" w:cs="Times New Roman"/>
                <w:color w:val="auto"/>
              </w:rPr>
            </w:pPr>
            <w:r>
              <w:rPr>
                <w:rFonts w:hint="default" w:ascii="Times New Roman" w:hAnsi="Times New Roman" w:eastAsia="宋体" w:cs="Times New Roman"/>
                <w:color w:val="auto"/>
                <w:sz w:val="24"/>
              </w:rPr>
              <w:t>工艺流程简述：</w:t>
            </w:r>
          </w:p>
          <w:p w14:paraId="0C84D8A4">
            <w:pPr>
              <w:pStyle w:val="23"/>
              <w:keepNext w:val="0"/>
              <w:keepLines w:val="0"/>
              <w:pageBreakBefore w:val="0"/>
              <w:widowControl w:val="0"/>
              <w:numPr>
                <w:ilvl w:val="0"/>
                <w:numId w:val="4"/>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投料：将玉米淀粉、酶等原料中加入一定量的纯净水进行调和，在拌粉机中充分混合均匀。搅拌后在多功能制糖机</w:t>
            </w:r>
            <w:r>
              <w:rPr>
                <w:rFonts w:hint="default" w:ascii="Times New Roman" w:hAnsi="Times New Roman" w:cs="Times New Roman"/>
                <w:color w:val="auto"/>
                <w:kern w:val="2"/>
                <w:sz w:val="24"/>
                <w:szCs w:val="24"/>
                <w:lang w:val="en-US" w:eastAsia="zh-CN" w:bidi="ar-SA"/>
              </w:rPr>
              <w:t>（一般控制在283-303kPa，温度142-145°C，时间是8-9min）</w:t>
            </w:r>
            <w:r>
              <w:rPr>
                <w:rFonts w:hint="default" w:ascii="Times New Roman" w:hAnsi="Times New Roman" w:eastAsia="宋体" w:cs="Times New Roman"/>
                <w:color w:val="auto"/>
                <w:kern w:val="2"/>
                <w:sz w:val="24"/>
                <w:szCs w:val="24"/>
                <w:lang w:val="en-US" w:eastAsia="zh-CN" w:bidi="ar-SA"/>
              </w:rPr>
              <w:t>进行制糖，离心分离回收，经空气压缩机得到不同的淀粉糖或糖浆。</w:t>
            </w:r>
          </w:p>
          <w:p w14:paraId="4D0B2CE0">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（2）软水制备工艺</w:t>
            </w:r>
          </w:p>
          <w:p w14:paraId="19356AD2">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本项目软水制备采用反渗透法。工艺说明：反渗透技术是利用压力差为动力的膜分离过滤技术，其孔径小至纳米级，在一定的压力下，H</w:t>
            </w:r>
            <w:r>
              <w:rPr>
                <w:rFonts w:hint="default" w:ascii="Times New Roman" w:hAnsi="Times New Roman" w:cs="Times New Roman"/>
                <w:color w:val="auto"/>
                <w:kern w:val="2"/>
                <w:sz w:val="24"/>
                <w:szCs w:val="24"/>
                <w:vertAlign w:val="subscript"/>
                <w:lang w:val="en-US" w:eastAsia="zh-CN" w:bidi="ar-SA"/>
              </w:rPr>
              <w:t>2</w:t>
            </w:r>
            <w:r>
              <w:rPr>
                <w:rFonts w:hint="default" w:ascii="Times New Roman" w:hAnsi="Times New Roman" w:cs="Times New Roman"/>
                <w:color w:val="auto"/>
                <w:kern w:val="2"/>
                <w:sz w:val="24"/>
                <w:szCs w:val="24"/>
                <w:lang w:val="en-US" w:eastAsia="zh-CN" w:bidi="ar-SA"/>
              </w:rPr>
              <w:t>O分子可以通过RO膜，而原水中的无机盐、重金属离子、有机物、胶体、细菌、病毒等杂质无法透过RO膜，从而使可以透过的纯水和无法透过的浓缩水严格区分开来。</w:t>
            </w:r>
          </w:p>
          <w:p w14:paraId="135B1A43">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12" w:firstLineChars="200"/>
              <w:jc w:val="left"/>
              <w:textAlignment w:val="auto"/>
              <w:rPr>
                <w:rFonts w:hint="default" w:ascii="Times New Roman" w:hAnsi="Times New Roman" w:eastAsia="宋体" w:cs="Times New Roman"/>
                <w:bCs/>
                <w:color w:val="auto"/>
                <w:spacing w:val="8"/>
                <w:kern w:val="24"/>
                <w:sz w:val="24"/>
                <w:lang w:val="en-US" w:eastAsia="zh-CN"/>
              </w:rPr>
            </w:pPr>
            <w:r>
              <w:rPr>
                <w:rFonts w:hint="default" w:ascii="Times New Roman" w:hAnsi="Times New Roman" w:eastAsia="宋体" w:cs="Times New Roman"/>
                <w:bCs/>
                <w:color w:val="auto"/>
                <w:spacing w:val="8"/>
                <w:kern w:val="24"/>
                <w:sz w:val="24"/>
                <w:lang w:val="en-US" w:eastAsia="zh-CN"/>
              </w:rPr>
              <w:t>三、生产过程产排环节</w:t>
            </w:r>
          </w:p>
          <w:p w14:paraId="49F87612">
            <w:pPr>
              <w:pStyle w:val="23"/>
              <w:keepNext w:val="0"/>
              <w:keepLines w:val="0"/>
              <w:pageBreakBefore w:val="0"/>
              <w:widowControl w:val="0"/>
              <w:numPr>
                <w:ilvl w:val="0"/>
                <w:numId w:val="0"/>
              </w:numPr>
              <w:kinsoku/>
              <w:wordWrap/>
              <w:overflowPunct/>
              <w:topLinePunct w:val="0"/>
              <w:autoSpaceDE/>
              <w:autoSpaceDN/>
              <w:bidi w:val="0"/>
              <w:spacing w:line="360" w:lineRule="auto"/>
              <w:ind w:firstLine="512" w:firstLineChars="200"/>
              <w:jc w:val="left"/>
              <w:textAlignment w:val="auto"/>
              <w:rPr>
                <w:rFonts w:hint="default" w:ascii="Times New Roman" w:hAnsi="Times New Roman" w:eastAsia="宋体" w:cs="Times New Roman"/>
                <w:bCs/>
                <w:color w:val="auto"/>
                <w:spacing w:val="8"/>
                <w:kern w:val="24"/>
                <w:sz w:val="24"/>
                <w:lang w:val="en-US" w:eastAsia="zh-CN"/>
              </w:rPr>
            </w:pPr>
            <w:r>
              <w:rPr>
                <w:rFonts w:hint="default" w:ascii="Times New Roman" w:hAnsi="Times New Roman" w:eastAsia="宋体" w:cs="Times New Roman"/>
                <w:bCs/>
                <w:color w:val="auto"/>
                <w:spacing w:val="8"/>
                <w:kern w:val="24"/>
                <w:sz w:val="24"/>
                <w:lang w:val="en-US" w:eastAsia="zh-CN"/>
              </w:rPr>
              <w:t>3.1施工期产排环节</w:t>
            </w:r>
          </w:p>
          <w:p w14:paraId="06962253">
            <w:pPr>
              <w:pStyle w:val="23"/>
              <w:keepNext w:val="0"/>
              <w:keepLines w:val="0"/>
              <w:pageBreakBefore w:val="0"/>
              <w:widowControl w:val="0"/>
              <w:numPr>
                <w:ilvl w:val="0"/>
                <w:numId w:val="0"/>
              </w:numPr>
              <w:kinsoku/>
              <w:wordWrap/>
              <w:overflowPunct/>
              <w:topLinePunct w:val="0"/>
              <w:autoSpaceDE/>
              <w:autoSpaceDN/>
              <w:bidi w:val="0"/>
              <w:spacing w:line="360" w:lineRule="auto"/>
              <w:ind w:firstLine="512" w:firstLineChars="200"/>
              <w:jc w:val="left"/>
              <w:textAlignment w:val="auto"/>
              <w:rPr>
                <w:rFonts w:hint="default" w:ascii="Times New Roman" w:hAnsi="Times New Roman" w:eastAsia="宋体" w:cs="Times New Roman"/>
                <w:bCs/>
                <w:color w:val="auto"/>
                <w:spacing w:val="8"/>
                <w:kern w:val="24"/>
                <w:sz w:val="24"/>
                <w:lang w:val="en-US" w:eastAsia="zh-CN"/>
              </w:rPr>
            </w:pPr>
            <w:r>
              <w:rPr>
                <w:rFonts w:hint="default" w:ascii="Times New Roman" w:hAnsi="Times New Roman" w:eastAsia="宋体" w:cs="Times New Roman"/>
                <w:bCs/>
                <w:color w:val="auto"/>
                <w:spacing w:val="8"/>
                <w:kern w:val="24"/>
                <w:sz w:val="24"/>
                <w:lang w:val="en-US" w:eastAsia="zh-CN"/>
              </w:rPr>
              <w:t>本项目施工期主要为土建施工产生的扬尘和噪声。</w:t>
            </w:r>
          </w:p>
          <w:p w14:paraId="4A04A8C1">
            <w:pPr>
              <w:pStyle w:val="23"/>
              <w:keepNext w:val="0"/>
              <w:keepLines w:val="0"/>
              <w:pageBreakBefore w:val="0"/>
              <w:widowControl w:val="0"/>
              <w:numPr>
                <w:ilvl w:val="0"/>
                <w:numId w:val="0"/>
              </w:numPr>
              <w:kinsoku/>
              <w:wordWrap/>
              <w:overflowPunct/>
              <w:topLinePunct w:val="0"/>
              <w:autoSpaceDE/>
              <w:autoSpaceDN/>
              <w:bidi w:val="0"/>
              <w:spacing w:line="360" w:lineRule="auto"/>
              <w:ind w:firstLine="512" w:firstLineChars="200"/>
              <w:jc w:val="left"/>
              <w:textAlignment w:val="auto"/>
              <w:rPr>
                <w:rFonts w:hint="default" w:ascii="Times New Roman" w:hAnsi="Times New Roman" w:eastAsia="宋体" w:cs="Times New Roman"/>
                <w:bCs/>
                <w:color w:val="auto"/>
                <w:spacing w:val="8"/>
                <w:kern w:val="24"/>
                <w:sz w:val="24"/>
                <w:lang w:val="en-US" w:eastAsia="zh-CN"/>
              </w:rPr>
            </w:pPr>
            <w:r>
              <w:rPr>
                <w:rFonts w:hint="default" w:ascii="Times New Roman" w:hAnsi="Times New Roman" w:eastAsia="宋体" w:cs="Times New Roman"/>
                <w:bCs/>
                <w:color w:val="auto"/>
                <w:spacing w:val="8"/>
                <w:kern w:val="24"/>
                <w:sz w:val="24"/>
                <w:lang w:val="en-US" w:eastAsia="zh-CN"/>
              </w:rPr>
              <w:t xml:space="preserve">3.2营运期产排环节 </w:t>
            </w:r>
          </w:p>
          <w:p w14:paraId="2A58716E">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4"/>
                <w:lang w:val="en-US" w:eastAsia="zh-CN"/>
              </w:rPr>
            </w:pPr>
            <w:r>
              <w:rPr>
                <w:rFonts w:hint="default" w:ascii="Times New Roman" w:hAnsi="Times New Roman" w:eastAsia="宋体" w:cs="Times New Roman"/>
                <w:bCs/>
                <w:color w:val="auto"/>
                <w:spacing w:val="8"/>
                <w:kern w:val="24"/>
                <w:sz w:val="24"/>
                <w:lang w:val="en-US" w:eastAsia="zh-CN"/>
              </w:rPr>
              <w:t>表2-5 产污环节与污染物种类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2190"/>
              <w:gridCol w:w="4496"/>
            </w:tblGrid>
            <w:tr w14:paraId="04AF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Align w:val="center"/>
                </w:tcPr>
                <w:p w14:paraId="49A27133">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项目</w:t>
                  </w:r>
                </w:p>
              </w:tc>
              <w:tc>
                <w:tcPr>
                  <w:tcW w:w="2190" w:type="dxa"/>
                  <w:vAlign w:val="center"/>
                </w:tcPr>
                <w:p w14:paraId="2304B067">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产污环节</w:t>
                  </w:r>
                </w:p>
              </w:tc>
              <w:tc>
                <w:tcPr>
                  <w:tcW w:w="4496" w:type="dxa"/>
                  <w:vAlign w:val="center"/>
                </w:tcPr>
                <w:p w14:paraId="6B2FF3CE">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污染物因子</w:t>
                  </w:r>
                </w:p>
              </w:tc>
            </w:tr>
            <w:tr w14:paraId="4538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Align w:val="center"/>
                </w:tcPr>
                <w:p w14:paraId="1D3B9546">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废气</w:t>
                  </w:r>
                </w:p>
              </w:tc>
              <w:tc>
                <w:tcPr>
                  <w:tcW w:w="2190" w:type="dxa"/>
                  <w:vAlign w:val="center"/>
                </w:tcPr>
                <w:p w14:paraId="439D1DCB">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投料</w:t>
                  </w:r>
                </w:p>
              </w:tc>
              <w:tc>
                <w:tcPr>
                  <w:tcW w:w="4496" w:type="dxa"/>
                  <w:vAlign w:val="center"/>
                </w:tcPr>
                <w:p w14:paraId="4CE2C3F9">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颗粒物</w:t>
                  </w:r>
                </w:p>
              </w:tc>
            </w:tr>
            <w:tr w14:paraId="4C59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57" w:type="dxa"/>
                  <w:vMerge w:val="restart"/>
                  <w:vAlign w:val="center"/>
                </w:tcPr>
                <w:p w14:paraId="6906678E">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cs="Times New Roman"/>
                      <w:bCs/>
                      <w:color w:val="auto"/>
                      <w:spacing w:val="8"/>
                      <w:kern w:val="24"/>
                      <w:sz w:val="21"/>
                      <w:szCs w:val="21"/>
                      <w:vertAlign w:val="baseline"/>
                      <w:lang w:val="en-US" w:eastAsia="zh-CN"/>
                    </w:rPr>
                    <w:t>废水</w:t>
                  </w:r>
                </w:p>
              </w:tc>
              <w:tc>
                <w:tcPr>
                  <w:tcW w:w="2190" w:type="dxa"/>
                  <w:vAlign w:val="center"/>
                </w:tcPr>
                <w:p w14:paraId="001C6949">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cs="Times New Roman"/>
                      <w:bCs/>
                      <w:color w:val="auto"/>
                      <w:spacing w:val="8"/>
                      <w:kern w:val="24"/>
                      <w:sz w:val="21"/>
                      <w:szCs w:val="21"/>
                      <w:vertAlign w:val="baseline"/>
                      <w:lang w:val="en-US" w:eastAsia="zh-CN"/>
                    </w:rPr>
                    <w:t>职工生活</w:t>
                  </w:r>
                </w:p>
              </w:tc>
              <w:tc>
                <w:tcPr>
                  <w:tcW w:w="4496" w:type="dxa"/>
                  <w:vAlign w:val="center"/>
                </w:tcPr>
                <w:p w14:paraId="0C96B6C5">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cs="Times New Roman"/>
                      <w:bCs/>
                      <w:color w:val="auto"/>
                      <w:spacing w:val="8"/>
                      <w:kern w:val="24"/>
                      <w:sz w:val="21"/>
                      <w:szCs w:val="21"/>
                      <w:vertAlign w:val="baseline"/>
                      <w:lang w:val="en-US" w:eastAsia="zh-CN"/>
                    </w:rPr>
                    <w:t>COD、氨氮等</w:t>
                  </w:r>
                </w:p>
              </w:tc>
            </w:tr>
            <w:tr w14:paraId="7E94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57" w:type="dxa"/>
                  <w:vMerge w:val="continue"/>
                  <w:vAlign w:val="center"/>
                </w:tcPr>
                <w:p w14:paraId="3102FA6A">
                  <w:pPr>
                    <w:pStyle w:val="23"/>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rPr>
                  </w:pPr>
                </w:p>
              </w:tc>
              <w:tc>
                <w:tcPr>
                  <w:tcW w:w="2190" w:type="dxa"/>
                  <w:vAlign w:val="center"/>
                </w:tcPr>
                <w:p w14:paraId="28C16020">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cs="Times New Roman"/>
                      <w:bCs/>
                      <w:color w:val="auto"/>
                      <w:spacing w:val="8"/>
                      <w:kern w:val="24"/>
                      <w:sz w:val="21"/>
                      <w:szCs w:val="21"/>
                      <w:vertAlign w:val="baseline"/>
                      <w:lang w:val="en-US" w:eastAsia="zh-CN"/>
                    </w:rPr>
                  </w:pPr>
                  <w:r>
                    <w:rPr>
                      <w:rFonts w:hint="default" w:ascii="Times New Roman" w:hAnsi="Times New Roman" w:cs="Times New Roman"/>
                      <w:bCs/>
                      <w:color w:val="auto"/>
                      <w:spacing w:val="8"/>
                      <w:kern w:val="24"/>
                      <w:sz w:val="21"/>
                      <w:szCs w:val="21"/>
                      <w:vertAlign w:val="baseline"/>
                      <w:lang w:val="en-US" w:eastAsia="zh-CN"/>
                    </w:rPr>
                    <w:t>生产设备清洗</w:t>
                  </w:r>
                </w:p>
              </w:tc>
              <w:tc>
                <w:tcPr>
                  <w:tcW w:w="4496" w:type="dxa"/>
                  <w:vAlign w:val="center"/>
                </w:tcPr>
                <w:p w14:paraId="51B5D45C">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cs="Times New Roman"/>
                      <w:bCs/>
                      <w:color w:val="auto"/>
                      <w:spacing w:val="8"/>
                      <w:kern w:val="24"/>
                      <w:sz w:val="21"/>
                      <w:szCs w:val="21"/>
                      <w:vertAlign w:val="baseline"/>
                      <w:lang w:val="en-US" w:eastAsia="zh-CN"/>
                    </w:rPr>
                  </w:pPr>
                  <w:r>
                    <w:rPr>
                      <w:rFonts w:hint="default" w:ascii="Times New Roman" w:hAnsi="Times New Roman" w:cs="Times New Roman"/>
                      <w:bCs/>
                      <w:color w:val="auto"/>
                      <w:spacing w:val="8"/>
                      <w:kern w:val="24"/>
                      <w:sz w:val="21"/>
                      <w:szCs w:val="21"/>
                      <w:vertAlign w:val="baseline"/>
                      <w:lang w:val="en-US" w:eastAsia="zh-CN"/>
                    </w:rPr>
                    <w:t>COD、氨氮等</w:t>
                  </w:r>
                </w:p>
              </w:tc>
            </w:tr>
            <w:tr w14:paraId="1DF1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57" w:type="dxa"/>
                  <w:vMerge w:val="continue"/>
                  <w:vAlign w:val="center"/>
                </w:tcPr>
                <w:p w14:paraId="70F592CA">
                  <w:pPr>
                    <w:pStyle w:val="23"/>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bCs/>
                      <w:color w:val="auto"/>
                      <w:spacing w:val="8"/>
                      <w:kern w:val="24"/>
                      <w:sz w:val="21"/>
                      <w:szCs w:val="21"/>
                      <w:vertAlign w:val="baseline"/>
                      <w:lang w:val="en-US" w:eastAsia="zh-CN"/>
                    </w:rPr>
                  </w:pPr>
                </w:p>
              </w:tc>
              <w:tc>
                <w:tcPr>
                  <w:tcW w:w="2190" w:type="dxa"/>
                  <w:vAlign w:val="center"/>
                </w:tcPr>
                <w:p w14:paraId="4978D1C9">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cs="Times New Roman"/>
                      <w:bCs/>
                      <w:color w:val="auto"/>
                      <w:spacing w:val="8"/>
                      <w:kern w:val="24"/>
                      <w:sz w:val="21"/>
                      <w:szCs w:val="21"/>
                      <w:vertAlign w:val="baseline"/>
                      <w:lang w:val="en-US" w:eastAsia="zh-CN"/>
                    </w:rPr>
                  </w:pPr>
                  <w:r>
                    <w:rPr>
                      <w:rFonts w:hint="default" w:ascii="Times New Roman" w:hAnsi="Times New Roman" w:cs="Times New Roman"/>
                      <w:bCs/>
                      <w:color w:val="auto"/>
                      <w:spacing w:val="8"/>
                      <w:kern w:val="24"/>
                      <w:sz w:val="21"/>
                      <w:szCs w:val="21"/>
                      <w:vertAlign w:val="baseline"/>
                      <w:lang w:val="en-US" w:eastAsia="zh-CN"/>
                    </w:rPr>
                    <w:t>车间地面冲洗</w:t>
                  </w:r>
                </w:p>
              </w:tc>
              <w:tc>
                <w:tcPr>
                  <w:tcW w:w="4496" w:type="dxa"/>
                  <w:vAlign w:val="center"/>
                </w:tcPr>
                <w:p w14:paraId="174123CB">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cs="Times New Roman"/>
                      <w:bCs/>
                      <w:color w:val="auto"/>
                      <w:spacing w:val="8"/>
                      <w:kern w:val="24"/>
                      <w:sz w:val="21"/>
                      <w:szCs w:val="21"/>
                      <w:vertAlign w:val="baseline"/>
                      <w:lang w:val="en-US" w:eastAsia="zh-CN"/>
                    </w:rPr>
                  </w:pPr>
                  <w:r>
                    <w:rPr>
                      <w:rFonts w:hint="default" w:ascii="Times New Roman" w:hAnsi="Times New Roman" w:cs="Times New Roman"/>
                      <w:bCs/>
                      <w:color w:val="auto"/>
                      <w:spacing w:val="8"/>
                      <w:kern w:val="24"/>
                      <w:sz w:val="21"/>
                      <w:szCs w:val="21"/>
                      <w:vertAlign w:val="baseline"/>
                      <w:lang w:val="en-US" w:eastAsia="zh-CN"/>
                    </w:rPr>
                    <w:t>COD、氨氮等</w:t>
                  </w:r>
                </w:p>
              </w:tc>
            </w:tr>
            <w:tr w14:paraId="33EE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57" w:type="dxa"/>
                  <w:vMerge w:val="continue"/>
                  <w:vAlign w:val="center"/>
                </w:tcPr>
                <w:p w14:paraId="549B2EE2">
                  <w:pPr>
                    <w:pStyle w:val="23"/>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bCs/>
                      <w:color w:val="auto"/>
                      <w:spacing w:val="8"/>
                      <w:kern w:val="24"/>
                      <w:sz w:val="21"/>
                      <w:szCs w:val="21"/>
                      <w:vertAlign w:val="baseline"/>
                      <w:lang w:val="en-US" w:eastAsia="zh-CN"/>
                    </w:rPr>
                  </w:pPr>
                </w:p>
              </w:tc>
              <w:tc>
                <w:tcPr>
                  <w:tcW w:w="2190" w:type="dxa"/>
                  <w:vAlign w:val="center"/>
                </w:tcPr>
                <w:p w14:paraId="6B526E8C">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cs="Times New Roman"/>
                      <w:bCs/>
                      <w:color w:val="auto"/>
                      <w:spacing w:val="8"/>
                      <w:kern w:val="24"/>
                      <w:sz w:val="21"/>
                      <w:szCs w:val="21"/>
                      <w:vertAlign w:val="baseline"/>
                      <w:lang w:val="en-US" w:eastAsia="zh-CN"/>
                    </w:rPr>
                  </w:pPr>
                  <w:r>
                    <w:rPr>
                      <w:rFonts w:hint="default" w:ascii="Times New Roman" w:hAnsi="Times New Roman" w:cs="Times New Roman"/>
                      <w:bCs/>
                      <w:color w:val="auto"/>
                      <w:spacing w:val="8"/>
                      <w:kern w:val="24"/>
                      <w:sz w:val="21"/>
                      <w:szCs w:val="21"/>
                      <w:vertAlign w:val="baseline"/>
                      <w:lang w:val="en-US" w:eastAsia="zh-CN"/>
                    </w:rPr>
                    <w:t>纯水制备</w:t>
                  </w:r>
                </w:p>
              </w:tc>
              <w:tc>
                <w:tcPr>
                  <w:tcW w:w="4496" w:type="dxa"/>
                  <w:vAlign w:val="center"/>
                </w:tcPr>
                <w:p w14:paraId="042670DC">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cs="Times New Roman"/>
                      <w:bCs/>
                      <w:color w:val="auto"/>
                      <w:spacing w:val="8"/>
                      <w:kern w:val="24"/>
                      <w:sz w:val="21"/>
                      <w:szCs w:val="21"/>
                      <w:vertAlign w:val="baseline"/>
                      <w:lang w:val="en-US" w:eastAsia="zh-CN"/>
                    </w:rPr>
                  </w:pPr>
                  <w:r>
                    <w:rPr>
                      <w:rFonts w:hint="default" w:ascii="Times New Roman" w:hAnsi="Times New Roman" w:cs="Times New Roman"/>
                      <w:bCs/>
                      <w:color w:val="auto"/>
                      <w:spacing w:val="8"/>
                      <w:kern w:val="24"/>
                      <w:sz w:val="21"/>
                      <w:szCs w:val="21"/>
                      <w:vertAlign w:val="baseline"/>
                      <w:lang w:val="en-US" w:eastAsia="zh-CN"/>
                    </w:rPr>
                    <w:t>COD、氨氮等</w:t>
                  </w:r>
                </w:p>
              </w:tc>
            </w:tr>
            <w:tr w14:paraId="4BB6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Align w:val="center"/>
                </w:tcPr>
                <w:p w14:paraId="6F01C2DA">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噪声</w:t>
                  </w:r>
                </w:p>
              </w:tc>
              <w:tc>
                <w:tcPr>
                  <w:tcW w:w="2190" w:type="dxa"/>
                  <w:vAlign w:val="center"/>
                </w:tcPr>
                <w:p w14:paraId="6DEDC50A">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生产过程</w:t>
                  </w:r>
                </w:p>
              </w:tc>
              <w:tc>
                <w:tcPr>
                  <w:tcW w:w="4496" w:type="dxa"/>
                  <w:vAlign w:val="center"/>
                </w:tcPr>
                <w:p w14:paraId="725156AE">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机械运行过程中产生的噪声</w:t>
                  </w:r>
                </w:p>
              </w:tc>
            </w:tr>
            <w:tr w14:paraId="673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Merge w:val="restart"/>
                  <w:vAlign w:val="center"/>
                </w:tcPr>
                <w:p w14:paraId="7F213532">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一般固废</w:t>
                  </w:r>
                </w:p>
              </w:tc>
              <w:tc>
                <w:tcPr>
                  <w:tcW w:w="2190" w:type="dxa"/>
                  <w:vAlign w:val="center"/>
                </w:tcPr>
                <w:p w14:paraId="4C5ECA70">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生产过程</w:t>
                  </w:r>
                </w:p>
              </w:tc>
              <w:tc>
                <w:tcPr>
                  <w:tcW w:w="4496" w:type="dxa"/>
                  <w:vAlign w:val="center"/>
                </w:tcPr>
                <w:p w14:paraId="58215F83">
                  <w:pPr>
                    <w:pStyle w:val="23"/>
                    <w:keepNext w:val="0"/>
                    <w:keepLines w:val="0"/>
                    <w:pageBreakBefore w:val="0"/>
                    <w:widowControl w:val="0"/>
                    <w:numPr>
                      <w:ilvl w:val="0"/>
                      <w:numId w:val="0"/>
                    </w:numPr>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bCs/>
                      <w:color w:val="auto"/>
                      <w:spacing w:val="8"/>
                      <w:kern w:val="24"/>
                      <w:sz w:val="21"/>
                      <w:szCs w:val="21"/>
                      <w:vertAlign w:val="baseline"/>
                      <w:lang w:val="en-US" w:eastAsia="zh-CN" w:bidi="ar-SA"/>
                    </w:rPr>
                  </w:pPr>
                  <w:r>
                    <w:rPr>
                      <w:rFonts w:hint="default" w:ascii="Times New Roman" w:hAnsi="Times New Roman" w:eastAsia="宋体" w:cs="Times New Roman"/>
                      <w:bCs/>
                      <w:color w:val="auto"/>
                      <w:spacing w:val="8"/>
                      <w:kern w:val="24"/>
                      <w:sz w:val="21"/>
                      <w:szCs w:val="21"/>
                      <w:vertAlign w:val="baseline"/>
                      <w:lang w:val="en-US" w:eastAsia="zh-CN" w:bidi="ar-SA"/>
                    </w:rPr>
                    <w:t>废包装材料</w:t>
                  </w:r>
                </w:p>
              </w:tc>
            </w:tr>
            <w:tr w14:paraId="1A58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Merge w:val="continue"/>
                  <w:vAlign w:val="center"/>
                </w:tcPr>
                <w:p w14:paraId="368B790F">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p>
              </w:tc>
              <w:tc>
                <w:tcPr>
                  <w:tcW w:w="2190" w:type="dxa"/>
                  <w:vAlign w:val="center"/>
                </w:tcPr>
                <w:p w14:paraId="20D7966B">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搅拌工序</w:t>
                  </w:r>
                </w:p>
              </w:tc>
              <w:tc>
                <w:tcPr>
                  <w:tcW w:w="4496" w:type="dxa"/>
                  <w:vAlign w:val="center"/>
                </w:tcPr>
                <w:p w14:paraId="1FE60AD5">
                  <w:pPr>
                    <w:pStyle w:val="23"/>
                    <w:keepNext w:val="0"/>
                    <w:keepLines w:val="0"/>
                    <w:pageBreakBefore w:val="0"/>
                    <w:widowControl w:val="0"/>
                    <w:numPr>
                      <w:ilvl w:val="0"/>
                      <w:numId w:val="0"/>
                    </w:numPr>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bCs/>
                      <w:color w:val="auto"/>
                      <w:spacing w:val="8"/>
                      <w:kern w:val="24"/>
                      <w:sz w:val="21"/>
                      <w:szCs w:val="21"/>
                      <w:vertAlign w:val="baseline"/>
                      <w:lang w:val="en-US" w:eastAsia="zh-CN" w:bidi="ar-SA"/>
                    </w:rPr>
                  </w:pPr>
                  <w:r>
                    <w:rPr>
                      <w:rFonts w:hint="default" w:ascii="Times New Roman" w:hAnsi="Times New Roman" w:eastAsia="宋体" w:cs="Times New Roman"/>
                      <w:bCs/>
                      <w:color w:val="auto"/>
                      <w:spacing w:val="8"/>
                      <w:kern w:val="24"/>
                      <w:sz w:val="21"/>
                      <w:szCs w:val="21"/>
                      <w:vertAlign w:val="baseline"/>
                      <w:lang w:val="en-US" w:eastAsia="zh-CN" w:bidi="ar-SA"/>
                    </w:rPr>
                    <w:t>袋式除尘器收集粉尘</w:t>
                  </w:r>
                </w:p>
              </w:tc>
            </w:tr>
            <w:tr w14:paraId="44A0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Merge w:val="continue"/>
                  <w:vAlign w:val="center"/>
                </w:tcPr>
                <w:p w14:paraId="64243F6F">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p>
              </w:tc>
              <w:tc>
                <w:tcPr>
                  <w:tcW w:w="2190" w:type="dxa"/>
                  <w:vAlign w:val="center"/>
                </w:tcPr>
                <w:p w14:paraId="7323A892">
                  <w:pPr>
                    <w:pStyle w:val="23"/>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spacing w:val="8"/>
                      <w:kern w:val="24"/>
                      <w:sz w:val="21"/>
                      <w:szCs w:val="21"/>
                      <w:vertAlign w:val="baseline"/>
                      <w:lang w:val="en-US" w:eastAsia="zh-CN"/>
                    </w:rPr>
                  </w:pPr>
                  <w:r>
                    <w:rPr>
                      <w:rFonts w:hint="default" w:ascii="Times New Roman" w:hAnsi="Times New Roman" w:eastAsia="宋体" w:cs="Times New Roman"/>
                      <w:bCs/>
                      <w:color w:val="auto"/>
                      <w:spacing w:val="8"/>
                      <w:kern w:val="24"/>
                      <w:sz w:val="21"/>
                      <w:szCs w:val="21"/>
                      <w:vertAlign w:val="baseline"/>
                      <w:lang w:val="en-US" w:eastAsia="zh-CN"/>
                    </w:rPr>
                    <w:t>职工生活</w:t>
                  </w:r>
                </w:p>
              </w:tc>
              <w:tc>
                <w:tcPr>
                  <w:tcW w:w="4496" w:type="dxa"/>
                  <w:vAlign w:val="center"/>
                </w:tcPr>
                <w:p w14:paraId="0B4CF3B8">
                  <w:pPr>
                    <w:pStyle w:val="23"/>
                    <w:keepNext w:val="0"/>
                    <w:keepLines w:val="0"/>
                    <w:pageBreakBefore w:val="0"/>
                    <w:widowControl w:val="0"/>
                    <w:numPr>
                      <w:ilvl w:val="0"/>
                      <w:numId w:val="0"/>
                    </w:numPr>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bCs/>
                      <w:color w:val="auto"/>
                      <w:spacing w:val="8"/>
                      <w:kern w:val="24"/>
                      <w:sz w:val="21"/>
                      <w:szCs w:val="21"/>
                      <w:vertAlign w:val="baseline"/>
                      <w:lang w:val="en-US" w:eastAsia="zh-CN" w:bidi="ar-SA"/>
                    </w:rPr>
                  </w:pPr>
                  <w:r>
                    <w:rPr>
                      <w:rFonts w:hint="default" w:ascii="Times New Roman" w:hAnsi="Times New Roman" w:eastAsia="宋体" w:cs="Times New Roman"/>
                      <w:bCs/>
                      <w:color w:val="auto"/>
                      <w:spacing w:val="8"/>
                      <w:kern w:val="24"/>
                      <w:sz w:val="21"/>
                      <w:szCs w:val="21"/>
                      <w:vertAlign w:val="baseline"/>
                      <w:lang w:val="en-US" w:eastAsia="zh-CN" w:bidi="ar-SA"/>
                    </w:rPr>
                    <w:t>生活垃圾</w:t>
                  </w:r>
                </w:p>
              </w:tc>
            </w:tr>
          </w:tbl>
          <w:p w14:paraId="3E83DFCB">
            <w:pPr>
              <w:spacing w:line="500" w:lineRule="exact"/>
              <w:rPr>
                <w:rFonts w:hint="default" w:ascii="Times New Roman" w:hAnsi="Times New Roman" w:eastAsia="宋体" w:cs="Times New Roman"/>
                <w:color w:val="auto"/>
                <w:sz w:val="24"/>
                <w:lang w:val="zh-CN"/>
              </w:rPr>
            </w:pPr>
          </w:p>
        </w:tc>
      </w:tr>
      <w:tr w14:paraId="3551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635" w:type="dxa"/>
            <w:noWrap w:val="0"/>
            <w:vAlign w:val="top"/>
          </w:tcPr>
          <w:p w14:paraId="57CAE6FC">
            <w:pPr>
              <w:pStyle w:val="23"/>
              <w:ind w:left="0" w:leftChars="0" w:firstLine="0" w:firstLineChars="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en-US" w:eastAsia="zh-CN"/>
              </w:rPr>
              <w:t>与项目有关的原有环境污染问题</w:t>
            </w:r>
          </w:p>
        </w:tc>
        <w:tc>
          <w:tcPr>
            <w:tcW w:w="8890" w:type="dxa"/>
            <w:noWrap w:val="0"/>
            <w:vAlign w:val="top"/>
          </w:tcPr>
          <w:p w14:paraId="78706ED6">
            <w:pPr>
              <w:spacing w:line="500" w:lineRule="exact"/>
              <w:rPr>
                <w:rFonts w:hint="default" w:ascii="Times New Roman" w:hAnsi="Times New Roman" w:cs="Times New Roman"/>
                <w:color w:val="auto"/>
                <w:lang w:val="zh-CN" w:eastAsia="zh-CN"/>
              </w:rPr>
            </w:pPr>
            <w:r>
              <w:rPr>
                <w:rFonts w:hint="default" w:ascii="Times New Roman" w:hAnsi="Times New Roman" w:eastAsia="宋体" w:cs="Times New Roman"/>
                <w:color w:val="auto"/>
                <w:sz w:val="24"/>
                <w:lang w:val="zh-CN"/>
              </w:rPr>
              <w:t>本项目为新建项目，不存在与本项目有关的原有污染情况及环境问题。</w:t>
            </w:r>
          </w:p>
        </w:tc>
      </w:tr>
    </w:tbl>
    <w:p w14:paraId="43286EF5">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5FB80A06">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1072795B">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76B44079">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39933C97">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48483B86">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5A1D0849">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523497E9">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44614A64">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7AC01DF2">
      <w:pPr>
        <w:pStyle w:val="23"/>
        <w:numPr>
          <w:ilvl w:val="0"/>
          <w:numId w:val="0"/>
        </w:numPr>
        <w:ind w:leftChars="0"/>
        <w:jc w:val="both"/>
        <w:rPr>
          <w:rFonts w:hint="default" w:ascii="Times New Roman" w:hAnsi="Times New Roman" w:eastAsia="宋体" w:cs="Times New Roman"/>
          <w:color w:val="auto"/>
          <w:sz w:val="28"/>
          <w:szCs w:val="28"/>
          <w:lang w:eastAsia="zh-CN"/>
        </w:rPr>
      </w:pPr>
    </w:p>
    <w:p w14:paraId="3E4B0E85">
      <w:pPr>
        <w:pStyle w:val="23"/>
        <w:numPr>
          <w:ilvl w:val="0"/>
          <w:numId w:val="0"/>
        </w:numPr>
        <w:ind w:leftChars="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三、区域环境质量现状、环境保护目标及评价标准</w:t>
      </w:r>
    </w:p>
    <w:tbl>
      <w:tblPr>
        <w:tblStyle w:val="19"/>
        <w:tblW w:w="946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9028"/>
      </w:tblGrid>
      <w:tr w14:paraId="025F5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24" w:type="dxa"/>
            <w:tcBorders>
              <w:bottom w:val="single" w:color="auto" w:sz="4" w:space="0"/>
            </w:tcBorders>
            <w:noWrap w:val="0"/>
            <w:vAlign w:val="center"/>
          </w:tcPr>
          <w:p w14:paraId="055A565A">
            <w:pPr>
              <w:spacing w:line="600" w:lineRule="exact"/>
              <w:jc w:val="center"/>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lang w:eastAsia="zh-CN"/>
              </w:rPr>
              <w:t>区域环境质量现状</w:t>
            </w:r>
          </w:p>
        </w:tc>
        <w:tc>
          <w:tcPr>
            <w:tcW w:w="8544" w:type="dxa"/>
            <w:tcBorders>
              <w:bottom w:val="single" w:color="auto" w:sz="4" w:space="0"/>
            </w:tcBorders>
            <w:noWrap w:val="0"/>
            <w:vAlign w:val="top"/>
          </w:tcPr>
          <w:p w14:paraId="0F7AFECD">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1、环境空气</w:t>
            </w:r>
            <w:r>
              <w:rPr>
                <w:rFonts w:hint="default" w:ascii="Times New Roman" w:hAnsi="Times New Roman" w:eastAsia="宋体" w:cs="Times New Roman"/>
                <w:b/>
                <w:bCs/>
                <w:color w:val="auto"/>
                <w:sz w:val="24"/>
                <w:lang w:eastAsia="zh-CN"/>
              </w:rPr>
              <w:t>质量现状</w:t>
            </w:r>
          </w:p>
          <w:p w14:paraId="632C3E6D">
            <w:pPr>
              <w:spacing w:line="60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cs="Times New Roman"/>
                <w:color w:val="auto"/>
                <w:sz w:val="24"/>
              </w:rPr>
              <w:t>为了解本项目所在区域大气环境质量现状，本次环评引用安阳市生态环境局滑县分局公布的《2023年滑县生态环境状况公报》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滑县</w:t>
            </w:r>
            <w:r>
              <w:rPr>
                <w:rFonts w:hint="default" w:ascii="Times New Roman" w:hAnsi="Times New Roman" w:eastAsia="宋体" w:cs="Times New Roman"/>
                <w:color w:val="auto"/>
                <w:sz w:val="24"/>
                <w:szCs w:val="24"/>
              </w:rPr>
              <w:t>基本污染物统计数据见下表 3-</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p>
          <w:p w14:paraId="7793DFE8">
            <w:pPr>
              <w:autoSpaceDE w:val="0"/>
              <w:autoSpaceDN w:val="0"/>
              <w:adjustRightInd w:val="0"/>
              <w:snapToGrid w:val="0"/>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b w:val="0"/>
                <w:bCs w:val="0"/>
                <w:color w:val="auto"/>
                <w:kern w:val="0"/>
                <w:sz w:val="24"/>
                <w:szCs w:val="24"/>
                <w:lang w:val="en-US" w:eastAsia="zh-CN" w:bidi="ar"/>
              </w:rPr>
              <w:t xml:space="preserve">表3-1 </w:t>
            </w:r>
            <w:r>
              <w:rPr>
                <w:rFonts w:hint="default" w:ascii="Times New Roman" w:hAnsi="Times New Roman" w:eastAsia="宋体" w:cs="Times New Roman"/>
                <w:color w:val="auto"/>
                <w:sz w:val="24"/>
              </w:rPr>
              <w:t>滑县2023年区域空气质量评价表</w:t>
            </w:r>
          </w:p>
          <w:p w14:paraId="35276B58">
            <w:pPr>
              <w:autoSpaceDE w:val="0"/>
              <w:autoSpaceDN w:val="0"/>
              <w:adjustRightInd w:val="0"/>
              <w:snapToGrid w:val="0"/>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单位：ug/m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（一氧化碳：mg/m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955"/>
              <w:gridCol w:w="959"/>
              <w:gridCol w:w="977"/>
              <w:gridCol w:w="977"/>
              <w:gridCol w:w="954"/>
              <w:gridCol w:w="955"/>
              <w:gridCol w:w="960"/>
              <w:gridCol w:w="1034"/>
            </w:tblGrid>
            <w:tr w14:paraId="5792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52" w:type="dxa"/>
                  <w:vMerge w:val="restart"/>
                  <w:noWrap w:val="0"/>
                  <w:vAlign w:val="center"/>
                </w:tcPr>
                <w:p w14:paraId="0F64BF3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项目</w:t>
                  </w:r>
                </w:p>
              </w:tc>
              <w:tc>
                <w:tcPr>
                  <w:tcW w:w="3940" w:type="dxa"/>
                  <w:gridSpan w:val="4"/>
                  <w:noWrap w:val="0"/>
                  <w:vAlign w:val="center"/>
                </w:tcPr>
                <w:p w14:paraId="2B7CD7DF">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日均值评价</w:t>
                  </w:r>
                </w:p>
              </w:tc>
              <w:tc>
                <w:tcPr>
                  <w:tcW w:w="1971" w:type="dxa"/>
                  <w:gridSpan w:val="2"/>
                  <w:noWrap w:val="0"/>
                  <w:vAlign w:val="center"/>
                </w:tcPr>
                <w:p w14:paraId="48F06B7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年均值评价</w:t>
                  </w:r>
                </w:p>
              </w:tc>
              <w:tc>
                <w:tcPr>
                  <w:tcW w:w="2055" w:type="dxa"/>
                  <w:gridSpan w:val="2"/>
                  <w:noWrap w:val="0"/>
                  <w:vAlign w:val="center"/>
                </w:tcPr>
                <w:p w14:paraId="257082C1">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特定百分位数评价</w:t>
                  </w:r>
                </w:p>
              </w:tc>
            </w:tr>
            <w:tr w14:paraId="5A77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052" w:type="dxa"/>
                  <w:vMerge w:val="continue"/>
                  <w:noWrap w:val="0"/>
                  <w:vAlign w:val="center"/>
                </w:tcPr>
                <w:p w14:paraId="795160A0">
                  <w:pPr>
                    <w:jc w:val="center"/>
                    <w:rPr>
                      <w:rFonts w:hint="default" w:ascii="Times New Roman" w:hAnsi="Times New Roman" w:eastAsia="宋体" w:cs="Times New Roman"/>
                      <w:bCs/>
                      <w:color w:val="auto"/>
                      <w:szCs w:val="21"/>
                    </w:rPr>
                  </w:pPr>
                </w:p>
              </w:tc>
              <w:tc>
                <w:tcPr>
                  <w:tcW w:w="984" w:type="dxa"/>
                  <w:noWrap w:val="0"/>
                  <w:vAlign w:val="center"/>
                </w:tcPr>
                <w:p w14:paraId="739C009A">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最小值</w:t>
                  </w:r>
                </w:p>
              </w:tc>
              <w:tc>
                <w:tcPr>
                  <w:tcW w:w="984" w:type="dxa"/>
                  <w:noWrap w:val="0"/>
                  <w:vAlign w:val="center"/>
                </w:tcPr>
                <w:p w14:paraId="61E1876E">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最大值</w:t>
                  </w:r>
                </w:p>
              </w:tc>
              <w:tc>
                <w:tcPr>
                  <w:tcW w:w="985" w:type="dxa"/>
                  <w:noWrap w:val="0"/>
                  <w:vAlign w:val="center"/>
                </w:tcPr>
                <w:p w14:paraId="0EDEB9A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样本数（个）</w:t>
                  </w:r>
                </w:p>
              </w:tc>
              <w:tc>
                <w:tcPr>
                  <w:tcW w:w="987" w:type="dxa"/>
                  <w:noWrap w:val="0"/>
                  <w:vAlign w:val="center"/>
                </w:tcPr>
                <w:p w14:paraId="1A8D619F">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达标率（%）</w:t>
                  </w:r>
                </w:p>
              </w:tc>
              <w:tc>
                <w:tcPr>
                  <w:tcW w:w="985" w:type="dxa"/>
                  <w:noWrap w:val="0"/>
                  <w:vAlign w:val="center"/>
                </w:tcPr>
                <w:p w14:paraId="2D3E86EC">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浓度</w:t>
                  </w:r>
                </w:p>
              </w:tc>
              <w:tc>
                <w:tcPr>
                  <w:tcW w:w="986" w:type="dxa"/>
                  <w:noWrap w:val="0"/>
                  <w:vAlign w:val="center"/>
                </w:tcPr>
                <w:p w14:paraId="63934FEA">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类别</w:t>
                  </w:r>
                </w:p>
              </w:tc>
              <w:tc>
                <w:tcPr>
                  <w:tcW w:w="985" w:type="dxa"/>
                  <w:noWrap w:val="0"/>
                  <w:vAlign w:val="center"/>
                </w:tcPr>
                <w:p w14:paraId="0FF79E6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浓度</w:t>
                  </w:r>
                </w:p>
              </w:tc>
              <w:tc>
                <w:tcPr>
                  <w:tcW w:w="1070" w:type="dxa"/>
                  <w:noWrap w:val="0"/>
                  <w:vAlign w:val="center"/>
                </w:tcPr>
                <w:p w14:paraId="2E076CD1">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类别</w:t>
                  </w:r>
                </w:p>
              </w:tc>
            </w:tr>
            <w:tr w14:paraId="67C2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52" w:type="dxa"/>
                  <w:noWrap w:val="0"/>
                  <w:vAlign w:val="center"/>
                </w:tcPr>
                <w:p w14:paraId="22BD9E5F">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SO</w:t>
                  </w:r>
                  <w:r>
                    <w:rPr>
                      <w:rFonts w:hint="default" w:ascii="Times New Roman" w:hAnsi="Times New Roman" w:eastAsia="宋体" w:cs="Times New Roman"/>
                      <w:bCs/>
                      <w:color w:val="auto"/>
                      <w:szCs w:val="21"/>
                      <w:vertAlign w:val="subscript"/>
                    </w:rPr>
                    <w:t>2</w:t>
                  </w:r>
                </w:p>
              </w:tc>
              <w:tc>
                <w:tcPr>
                  <w:tcW w:w="984" w:type="dxa"/>
                  <w:noWrap w:val="0"/>
                  <w:vAlign w:val="center"/>
                </w:tcPr>
                <w:p w14:paraId="0F424D4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984" w:type="dxa"/>
                  <w:noWrap w:val="0"/>
                  <w:vAlign w:val="center"/>
                </w:tcPr>
                <w:p w14:paraId="5E3D1B80">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38</w:t>
                  </w:r>
                </w:p>
              </w:tc>
              <w:tc>
                <w:tcPr>
                  <w:tcW w:w="985" w:type="dxa"/>
                  <w:noWrap w:val="0"/>
                  <w:vAlign w:val="center"/>
                </w:tcPr>
                <w:p w14:paraId="3C8F961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365</w:t>
                  </w:r>
                </w:p>
              </w:tc>
              <w:tc>
                <w:tcPr>
                  <w:tcW w:w="987" w:type="dxa"/>
                  <w:noWrap w:val="0"/>
                  <w:vAlign w:val="center"/>
                </w:tcPr>
                <w:p w14:paraId="5C0642DF">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100</w:t>
                  </w:r>
                </w:p>
              </w:tc>
              <w:tc>
                <w:tcPr>
                  <w:tcW w:w="985" w:type="dxa"/>
                  <w:noWrap w:val="0"/>
                  <w:vAlign w:val="center"/>
                </w:tcPr>
                <w:p w14:paraId="70EB3F2F">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13</w:t>
                  </w:r>
                </w:p>
              </w:tc>
              <w:tc>
                <w:tcPr>
                  <w:tcW w:w="986" w:type="dxa"/>
                  <w:noWrap w:val="0"/>
                  <w:vAlign w:val="center"/>
                </w:tcPr>
                <w:p w14:paraId="56CA727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一级</w:t>
                  </w:r>
                </w:p>
              </w:tc>
              <w:tc>
                <w:tcPr>
                  <w:tcW w:w="985" w:type="dxa"/>
                  <w:noWrap w:val="0"/>
                  <w:vAlign w:val="center"/>
                </w:tcPr>
                <w:p w14:paraId="452437DD">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27</w:t>
                  </w:r>
                </w:p>
              </w:tc>
              <w:tc>
                <w:tcPr>
                  <w:tcW w:w="1070" w:type="dxa"/>
                  <w:noWrap w:val="0"/>
                  <w:vAlign w:val="center"/>
                </w:tcPr>
                <w:p w14:paraId="1ACABA2A">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二级</w:t>
                  </w:r>
                </w:p>
              </w:tc>
            </w:tr>
            <w:tr w14:paraId="3867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52" w:type="dxa"/>
                  <w:noWrap w:val="0"/>
                  <w:vAlign w:val="center"/>
                </w:tcPr>
                <w:p w14:paraId="74A0624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NO</w:t>
                  </w:r>
                  <w:r>
                    <w:rPr>
                      <w:rFonts w:hint="default" w:ascii="Times New Roman" w:hAnsi="Times New Roman" w:eastAsia="宋体" w:cs="Times New Roman"/>
                      <w:bCs/>
                      <w:color w:val="auto"/>
                      <w:szCs w:val="21"/>
                      <w:vertAlign w:val="subscript"/>
                    </w:rPr>
                    <w:t>2</w:t>
                  </w:r>
                </w:p>
              </w:tc>
              <w:tc>
                <w:tcPr>
                  <w:tcW w:w="984" w:type="dxa"/>
                  <w:noWrap w:val="0"/>
                  <w:vAlign w:val="center"/>
                </w:tcPr>
                <w:p w14:paraId="1756E36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984" w:type="dxa"/>
                  <w:noWrap w:val="0"/>
                  <w:vAlign w:val="center"/>
                </w:tcPr>
                <w:p w14:paraId="4AEADD7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69</w:t>
                  </w:r>
                </w:p>
              </w:tc>
              <w:tc>
                <w:tcPr>
                  <w:tcW w:w="985" w:type="dxa"/>
                  <w:noWrap w:val="0"/>
                  <w:vAlign w:val="center"/>
                </w:tcPr>
                <w:p w14:paraId="06452B1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356</w:t>
                  </w:r>
                </w:p>
              </w:tc>
              <w:tc>
                <w:tcPr>
                  <w:tcW w:w="987" w:type="dxa"/>
                  <w:noWrap w:val="0"/>
                  <w:vAlign w:val="center"/>
                </w:tcPr>
                <w:p w14:paraId="43668CF2">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100</w:t>
                  </w:r>
                </w:p>
              </w:tc>
              <w:tc>
                <w:tcPr>
                  <w:tcW w:w="985" w:type="dxa"/>
                  <w:noWrap w:val="0"/>
                  <w:vAlign w:val="center"/>
                </w:tcPr>
                <w:p w14:paraId="0F0AD98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28</w:t>
                  </w:r>
                </w:p>
              </w:tc>
              <w:tc>
                <w:tcPr>
                  <w:tcW w:w="986" w:type="dxa"/>
                  <w:noWrap w:val="0"/>
                  <w:vAlign w:val="center"/>
                </w:tcPr>
                <w:p w14:paraId="3BC5FBF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一级</w:t>
                  </w:r>
                </w:p>
              </w:tc>
              <w:tc>
                <w:tcPr>
                  <w:tcW w:w="985" w:type="dxa"/>
                  <w:noWrap w:val="0"/>
                  <w:vAlign w:val="center"/>
                </w:tcPr>
                <w:p w14:paraId="4B23A7C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64</w:t>
                  </w:r>
                </w:p>
              </w:tc>
              <w:tc>
                <w:tcPr>
                  <w:tcW w:w="1070" w:type="dxa"/>
                  <w:noWrap w:val="0"/>
                  <w:vAlign w:val="center"/>
                </w:tcPr>
                <w:p w14:paraId="447AADDD">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二级</w:t>
                  </w:r>
                </w:p>
              </w:tc>
            </w:tr>
            <w:tr w14:paraId="084F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52" w:type="dxa"/>
                  <w:noWrap w:val="0"/>
                  <w:vAlign w:val="center"/>
                </w:tcPr>
                <w:p w14:paraId="7C472CC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PM</w:t>
                  </w:r>
                  <w:r>
                    <w:rPr>
                      <w:rFonts w:hint="default" w:ascii="Times New Roman" w:hAnsi="Times New Roman" w:eastAsia="宋体" w:cs="Times New Roman"/>
                      <w:bCs/>
                      <w:color w:val="auto"/>
                      <w:szCs w:val="21"/>
                      <w:vertAlign w:val="subscript"/>
                    </w:rPr>
                    <w:t>2.5</w:t>
                  </w:r>
                </w:p>
              </w:tc>
              <w:tc>
                <w:tcPr>
                  <w:tcW w:w="984" w:type="dxa"/>
                  <w:noWrap w:val="0"/>
                  <w:vAlign w:val="center"/>
                </w:tcPr>
                <w:p w14:paraId="5B13B53E">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w:t>
                  </w:r>
                </w:p>
              </w:tc>
              <w:tc>
                <w:tcPr>
                  <w:tcW w:w="984" w:type="dxa"/>
                  <w:noWrap w:val="0"/>
                  <w:vAlign w:val="center"/>
                </w:tcPr>
                <w:p w14:paraId="19CD457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228</w:t>
                  </w:r>
                </w:p>
              </w:tc>
              <w:tc>
                <w:tcPr>
                  <w:tcW w:w="985" w:type="dxa"/>
                  <w:noWrap w:val="0"/>
                  <w:vAlign w:val="center"/>
                </w:tcPr>
                <w:p w14:paraId="5F5E656D">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341</w:t>
                  </w:r>
                </w:p>
              </w:tc>
              <w:tc>
                <w:tcPr>
                  <w:tcW w:w="987" w:type="dxa"/>
                  <w:noWrap w:val="0"/>
                  <w:vAlign w:val="center"/>
                </w:tcPr>
                <w:p w14:paraId="3B45927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85.34</w:t>
                  </w:r>
                </w:p>
              </w:tc>
              <w:tc>
                <w:tcPr>
                  <w:tcW w:w="985" w:type="dxa"/>
                  <w:noWrap w:val="0"/>
                  <w:vAlign w:val="center"/>
                </w:tcPr>
                <w:p w14:paraId="5500746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48</w:t>
                  </w:r>
                  <w:r>
                    <w:rPr>
                      <w:rFonts w:hint="default" w:ascii="Times New Roman" w:hAnsi="Times New Roman" w:eastAsia="宋体" w:cs="Times New Roman"/>
                      <w:bCs/>
                      <w:color w:val="auto"/>
                      <w:szCs w:val="21"/>
                      <w:vertAlign w:val="superscript"/>
                    </w:rPr>
                    <w:t>＊</w:t>
                  </w:r>
                </w:p>
              </w:tc>
              <w:tc>
                <w:tcPr>
                  <w:tcW w:w="986" w:type="dxa"/>
                  <w:noWrap w:val="0"/>
                  <w:vAlign w:val="center"/>
                </w:tcPr>
                <w:p w14:paraId="23E4A54D">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超二级</w:t>
                  </w:r>
                </w:p>
              </w:tc>
              <w:tc>
                <w:tcPr>
                  <w:tcW w:w="985" w:type="dxa"/>
                  <w:noWrap w:val="0"/>
                  <w:vAlign w:val="center"/>
                </w:tcPr>
                <w:p w14:paraId="2639480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132</w:t>
                  </w:r>
                </w:p>
              </w:tc>
              <w:tc>
                <w:tcPr>
                  <w:tcW w:w="1070" w:type="dxa"/>
                  <w:noWrap w:val="0"/>
                  <w:vAlign w:val="center"/>
                </w:tcPr>
                <w:p w14:paraId="7A848872">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超二级</w:t>
                  </w:r>
                </w:p>
              </w:tc>
            </w:tr>
            <w:tr w14:paraId="0290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52" w:type="dxa"/>
                  <w:noWrap w:val="0"/>
                  <w:vAlign w:val="center"/>
                </w:tcPr>
                <w:p w14:paraId="21CFA00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PM</w:t>
                  </w:r>
                  <w:r>
                    <w:rPr>
                      <w:rFonts w:hint="default" w:ascii="Times New Roman" w:hAnsi="Times New Roman" w:eastAsia="宋体" w:cs="Times New Roman"/>
                      <w:bCs/>
                      <w:color w:val="auto"/>
                      <w:szCs w:val="21"/>
                      <w:vertAlign w:val="subscript"/>
                    </w:rPr>
                    <w:t>10</w:t>
                  </w:r>
                </w:p>
              </w:tc>
              <w:tc>
                <w:tcPr>
                  <w:tcW w:w="984" w:type="dxa"/>
                  <w:noWrap w:val="0"/>
                  <w:vAlign w:val="center"/>
                </w:tcPr>
                <w:p w14:paraId="46D387E0">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12</w:t>
                  </w:r>
                </w:p>
              </w:tc>
              <w:tc>
                <w:tcPr>
                  <w:tcW w:w="984" w:type="dxa"/>
                  <w:noWrap w:val="0"/>
                  <w:vAlign w:val="center"/>
                </w:tcPr>
                <w:p w14:paraId="4ED9793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286</w:t>
                  </w:r>
                </w:p>
              </w:tc>
              <w:tc>
                <w:tcPr>
                  <w:tcW w:w="985" w:type="dxa"/>
                  <w:noWrap w:val="0"/>
                  <w:vAlign w:val="center"/>
                </w:tcPr>
                <w:p w14:paraId="11BB0D36">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320</w:t>
                  </w:r>
                </w:p>
              </w:tc>
              <w:tc>
                <w:tcPr>
                  <w:tcW w:w="987" w:type="dxa"/>
                  <w:noWrap w:val="0"/>
                  <w:vAlign w:val="center"/>
                </w:tcPr>
                <w:p w14:paraId="494ECC6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89.06</w:t>
                  </w:r>
                </w:p>
              </w:tc>
              <w:tc>
                <w:tcPr>
                  <w:tcW w:w="985" w:type="dxa"/>
                  <w:noWrap w:val="0"/>
                  <w:vAlign w:val="center"/>
                </w:tcPr>
                <w:p w14:paraId="78C41970">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82</w:t>
                  </w:r>
                  <w:r>
                    <w:rPr>
                      <w:rFonts w:hint="default" w:ascii="Times New Roman" w:hAnsi="Times New Roman" w:eastAsia="宋体" w:cs="Times New Roman"/>
                      <w:bCs/>
                      <w:color w:val="auto"/>
                      <w:szCs w:val="21"/>
                      <w:vertAlign w:val="superscript"/>
                    </w:rPr>
                    <w:t>＊</w:t>
                  </w:r>
                </w:p>
              </w:tc>
              <w:tc>
                <w:tcPr>
                  <w:tcW w:w="986" w:type="dxa"/>
                  <w:noWrap w:val="0"/>
                  <w:vAlign w:val="center"/>
                </w:tcPr>
                <w:p w14:paraId="5249860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超二级</w:t>
                  </w:r>
                </w:p>
              </w:tc>
              <w:tc>
                <w:tcPr>
                  <w:tcW w:w="985" w:type="dxa"/>
                  <w:noWrap w:val="0"/>
                  <w:vAlign w:val="center"/>
                </w:tcPr>
                <w:p w14:paraId="10D7BEDD">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186</w:t>
                  </w:r>
                </w:p>
              </w:tc>
              <w:tc>
                <w:tcPr>
                  <w:tcW w:w="1070" w:type="dxa"/>
                  <w:noWrap w:val="0"/>
                  <w:vAlign w:val="center"/>
                </w:tcPr>
                <w:p w14:paraId="5E0A3FF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超二级</w:t>
                  </w:r>
                </w:p>
              </w:tc>
            </w:tr>
            <w:tr w14:paraId="0A34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052" w:type="dxa"/>
                  <w:noWrap w:val="0"/>
                  <w:vAlign w:val="center"/>
                </w:tcPr>
                <w:p w14:paraId="486D815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一氧化碳</w:t>
                  </w:r>
                </w:p>
              </w:tc>
              <w:tc>
                <w:tcPr>
                  <w:tcW w:w="984" w:type="dxa"/>
                  <w:noWrap w:val="0"/>
                  <w:vAlign w:val="center"/>
                </w:tcPr>
                <w:p w14:paraId="65EDC67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0.2</w:t>
                  </w:r>
                </w:p>
              </w:tc>
              <w:tc>
                <w:tcPr>
                  <w:tcW w:w="984" w:type="dxa"/>
                  <w:noWrap w:val="0"/>
                  <w:vAlign w:val="center"/>
                </w:tcPr>
                <w:p w14:paraId="6C54B19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1.8</w:t>
                  </w:r>
                </w:p>
              </w:tc>
              <w:tc>
                <w:tcPr>
                  <w:tcW w:w="985" w:type="dxa"/>
                  <w:noWrap w:val="0"/>
                  <w:vAlign w:val="center"/>
                </w:tcPr>
                <w:p w14:paraId="6790FE9E">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356</w:t>
                  </w:r>
                </w:p>
              </w:tc>
              <w:tc>
                <w:tcPr>
                  <w:tcW w:w="987" w:type="dxa"/>
                  <w:noWrap w:val="0"/>
                  <w:vAlign w:val="center"/>
                </w:tcPr>
                <w:p w14:paraId="4563715C">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100</w:t>
                  </w:r>
                </w:p>
              </w:tc>
              <w:tc>
                <w:tcPr>
                  <w:tcW w:w="985" w:type="dxa"/>
                  <w:noWrap w:val="0"/>
                  <w:vAlign w:val="center"/>
                </w:tcPr>
                <w:p w14:paraId="6E50C4FD">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w:t>
                  </w:r>
                </w:p>
              </w:tc>
              <w:tc>
                <w:tcPr>
                  <w:tcW w:w="986" w:type="dxa"/>
                  <w:noWrap w:val="0"/>
                  <w:vAlign w:val="center"/>
                </w:tcPr>
                <w:p w14:paraId="443A061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w:t>
                  </w:r>
                </w:p>
              </w:tc>
              <w:tc>
                <w:tcPr>
                  <w:tcW w:w="985" w:type="dxa"/>
                  <w:noWrap w:val="0"/>
                  <w:vAlign w:val="center"/>
                </w:tcPr>
                <w:p w14:paraId="722250F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1.4</w:t>
                  </w:r>
                </w:p>
              </w:tc>
              <w:tc>
                <w:tcPr>
                  <w:tcW w:w="1070" w:type="dxa"/>
                  <w:noWrap w:val="0"/>
                  <w:vAlign w:val="center"/>
                </w:tcPr>
                <w:p w14:paraId="04338B3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一级</w:t>
                  </w:r>
                </w:p>
              </w:tc>
            </w:tr>
            <w:tr w14:paraId="6F82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52" w:type="dxa"/>
                  <w:noWrap w:val="0"/>
                  <w:vAlign w:val="center"/>
                </w:tcPr>
                <w:p w14:paraId="1EEF1B7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臭氧</w:t>
                  </w:r>
                </w:p>
              </w:tc>
              <w:tc>
                <w:tcPr>
                  <w:tcW w:w="984" w:type="dxa"/>
                  <w:noWrap w:val="0"/>
                  <w:vAlign w:val="center"/>
                </w:tcPr>
                <w:p w14:paraId="6C03ED8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16</w:t>
                  </w:r>
                </w:p>
              </w:tc>
              <w:tc>
                <w:tcPr>
                  <w:tcW w:w="984" w:type="dxa"/>
                  <w:noWrap w:val="0"/>
                  <w:vAlign w:val="center"/>
                </w:tcPr>
                <w:p w14:paraId="2DFF4D91">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236</w:t>
                  </w:r>
                </w:p>
              </w:tc>
              <w:tc>
                <w:tcPr>
                  <w:tcW w:w="985" w:type="dxa"/>
                  <w:noWrap w:val="0"/>
                  <w:vAlign w:val="center"/>
                </w:tcPr>
                <w:p w14:paraId="0D57A26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356</w:t>
                  </w:r>
                </w:p>
              </w:tc>
              <w:tc>
                <w:tcPr>
                  <w:tcW w:w="987" w:type="dxa"/>
                  <w:noWrap w:val="0"/>
                  <w:vAlign w:val="center"/>
                </w:tcPr>
                <w:p w14:paraId="3478BD8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83.7</w:t>
                  </w:r>
                </w:p>
              </w:tc>
              <w:tc>
                <w:tcPr>
                  <w:tcW w:w="985" w:type="dxa"/>
                  <w:noWrap w:val="0"/>
                  <w:vAlign w:val="center"/>
                </w:tcPr>
                <w:p w14:paraId="6659406A">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w:t>
                  </w:r>
                </w:p>
              </w:tc>
              <w:tc>
                <w:tcPr>
                  <w:tcW w:w="986" w:type="dxa"/>
                  <w:noWrap w:val="0"/>
                  <w:vAlign w:val="center"/>
                </w:tcPr>
                <w:p w14:paraId="3F44184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w:t>
                  </w:r>
                </w:p>
              </w:tc>
              <w:tc>
                <w:tcPr>
                  <w:tcW w:w="985" w:type="dxa"/>
                  <w:noWrap w:val="0"/>
                  <w:vAlign w:val="center"/>
                </w:tcPr>
                <w:p w14:paraId="189497B0">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173</w:t>
                  </w:r>
                </w:p>
              </w:tc>
              <w:tc>
                <w:tcPr>
                  <w:tcW w:w="1070" w:type="dxa"/>
                  <w:noWrap w:val="0"/>
                  <w:vAlign w:val="center"/>
                </w:tcPr>
                <w:p w14:paraId="555CBF4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超二级</w:t>
                  </w:r>
                </w:p>
              </w:tc>
            </w:tr>
            <w:tr w14:paraId="5B9F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52" w:type="dxa"/>
                  <w:noWrap w:val="0"/>
                  <w:vAlign w:val="center"/>
                </w:tcPr>
                <w:p w14:paraId="0D57B51F">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备注</w:t>
                  </w:r>
                </w:p>
              </w:tc>
              <w:tc>
                <w:tcPr>
                  <w:tcW w:w="7966" w:type="dxa"/>
                  <w:gridSpan w:val="8"/>
                  <w:noWrap w:val="0"/>
                  <w:vAlign w:val="center"/>
                </w:tcPr>
                <w:p w14:paraId="1A8F1152">
                  <w:pP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带“</w:t>
                  </w:r>
                  <w:r>
                    <w:rPr>
                      <w:rFonts w:hint="default" w:ascii="Times New Roman" w:hAnsi="Times New Roman" w:eastAsia="宋体" w:cs="Times New Roman"/>
                      <w:bCs/>
                      <w:color w:val="auto"/>
                      <w:szCs w:val="21"/>
                      <w:vertAlign w:val="superscript"/>
                    </w:rPr>
                    <w:t>＊</w:t>
                  </w:r>
                  <w:r>
                    <w:rPr>
                      <w:rFonts w:hint="default" w:ascii="Times New Roman" w:hAnsi="Times New Roman" w:eastAsia="宋体" w:cs="Times New Roman"/>
                      <w:bCs/>
                      <w:color w:val="auto"/>
                      <w:szCs w:val="21"/>
                    </w:rPr>
                    <w:t>”为剔除沙尘天气影响后数据</w:t>
                  </w:r>
                </w:p>
              </w:tc>
            </w:tr>
          </w:tbl>
          <w:p w14:paraId="6F3C2475">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根据上表统计可知</w:t>
            </w:r>
            <w:r>
              <w:rPr>
                <w:rFonts w:hint="default" w:ascii="Times New Roman" w:hAnsi="Times New Roman" w:eastAsia="宋体" w:cs="Times New Roman"/>
                <w:color w:val="auto"/>
                <w:sz w:val="24"/>
              </w:rPr>
              <w:t>滑县常规大气污染物中SO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年均浓度、CO</w:t>
            </w:r>
            <w:r>
              <w:rPr>
                <w:rFonts w:hint="default" w:ascii="Times New Roman" w:hAnsi="Times New Roman" w:eastAsia="宋体" w:cs="Times New Roman"/>
                <w:color w:val="auto"/>
                <w:sz w:val="24"/>
                <w:vertAlign w:val="subscript"/>
              </w:rPr>
              <w:t>24</w:t>
            </w:r>
            <w:r>
              <w:rPr>
                <w:rFonts w:hint="default" w:ascii="Times New Roman" w:hAnsi="Times New Roman" w:eastAsia="宋体" w:cs="Times New Roman"/>
                <w:color w:val="auto"/>
                <w:sz w:val="24"/>
              </w:rPr>
              <w:t>小时平均浓度第95百分位数，满足《环境空气质量标准》（GB 3095-2012）二级标准，PM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年均浓度、O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日最大8小时平均浓度第90百分位数超标，PM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为影响该区域空气质量的首要污染物。本项目所在区域滑县的环境空气质量为不达标区。</w:t>
            </w:r>
          </w:p>
          <w:p w14:paraId="2D365BB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color w:val="auto"/>
                <w:sz w:val="24"/>
              </w:rPr>
              <w:t>分析超标原因为：随着滑县工业的快速发展、能源消费和机动车保有量的快速增长，排放的大量二氧化碳、氮氧化物与挥发性有机物导致PM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等二次污染呈加剧态势。</w:t>
            </w:r>
          </w:p>
          <w:p w14:paraId="683E60A4">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针对区域空气质量不达标情况，目前，滑县各政府部门正在贯彻落实《河南省 2024 年蓝天保卫战实施方案》（豫环委办[2024]7 号）、安阳市生态环境保护委员会关于印发《安阳市2024-2025年空气质量持续改善暨综合指数“退后十”攻坚行动方案》、《滑县2024-2025年环境空气质量改善攻坚行动方案》等文件，随着强力推进结构减排、强力推进工业深度治理工程减排、强化挥发性有机物治理减排、强化移动源污染防治减排等主要任务的推进实施，将不断改善区域环境空气质量。</w:t>
            </w:r>
          </w:p>
          <w:p w14:paraId="58CAC9FD">
            <w:pPr>
              <w:pStyle w:val="23"/>
              <w:keepNext w:val="0"/>
              <w:keepLines w:val="0"/>
              <w:pageBreakBefore w:val="0"/>
              <w:numPr>
                <w:ilvl w:val="0"/>
                <w:numId w:val="0"/>
              </w:numPr>
              <w:kinsoku/>
              <w:wordWrap/>
              <w:overflowPunct/>
              <w:topLinePunct w:val="0"/>
              <w:autoSpaceDE/>
              <w:autoSpaceDN/>
              <w:bidi w:val="0"/>
              <w:spacing w:line="360" w:lineRule="auto"/>
              <w:ind w:leftChars="0" w:firstLine="482" w:firstLineChars="200"/>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lang w:val="en-US" w:eastAsia="zh-CN"/>
              </w:rPr>
              <w:t>2、地表水环境质量现状</w:t>
            </w:r>
          </w:p>
          <w:p w14:paraId="593379A7">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w:t>项目所在区域纳污河流为金堤河，评价引用安阳市生态环境局滑县分局公布的《2023年滑县生态环境状况公报》中金堤河大韩桥自动站断面监测数据</w:t>
            </w:r>
            <w:r>
              <w:rPr>
                <w:rFonts w:hint="default" w:ascii="Times New Roman" w:hAnsi="Times New Roman" w:eastAsia="宋体" w:cs="Times New Roman"/>
                <w:color w:val="auto"/>
                <w:kern w:val="0"/>
                <w:sz w:val="24"/>
                <w:lang w:bidi="ar"/>
              </w:rPr>
              <w:t>，见下表</w:t>
            </w:r>
            <w:r>
              <w:rPr>
                <w:rFonts w:hint="default" w:ascii="Times New Roman" w:hAnsi="Times New Roman" w:eastAsia="宋体" w:cs="Times New Roman"/>
                <w:color w:val="auto"/>
                <w:sz w:val="24"/>
              </w:rPr>
              <w:t>：</w:t>
            </w:r>
          </w:p>
          <w:p w14:paraId="66B83B65">
            <w:pPr>
              <w:autoSpaceDE w:val="0"/>
              <w:autoSpaceDN w:val="0"/>
              <w:adjustRightInd w:val="0"/>
              <w:snapToGrid w:val="0"/>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表3-2</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 xml:space="preserve"> 2023年大韩桥自动站各评价因子监测浓度及评价结果</w:t>
            </w:r>
          </w:p>
          <w:p w14:paraId="6E478C8C">
            <w:pPr>
              <w:adjustRightInd w:val="0"/>
              <w:spacing w:line="360" w:lineRule="exact"/>
              <w:ind w:firstLine="480" w:firstLineChars="200"/>
              <w:jc w:val="righ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单位：mg/L（pH值除外）</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711"/>
              <w:gridCol w:w="711"/>
              <w:gridCol w:w="621"/>
              <w:gridCol w:w="738"/>
              <w:gridCol w:w="711"/>
              <w:gridCol w:w="801"/>
              <w:gridCol w:w="711"/>
              <w:gridCol w:w="801"/>
              <w:gridCol w:w="828"/>
              <w:gridCol w:w="621"/>
              <w:gridCol w:w="621"/>
              <w:gridCol w:w="531"/>
            </w:tblGrid>
            <w:tr w14:paraId="451A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noWrap w:val="0"/>
                  <w:vAlign w:val="center"/>
                </w:tcPr>
                <w:p w14:paraId="712AD10F">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因子</w:t>
                  </w:r>
                </w:p>
              </w:tc>
              <w:tc>
                <w:tcPr>
                  <w:tcW w:w="591" w:type="dxa"/>
                  <w:noWrap w:val="0"/>
                  <w:vAlign w:val="center"/>
                </w:tcPr>
                <w:p w14:paraId="6AD7D23D">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pH</w:t>
                  </w:r>
                </w:p>
              </w:tc>
              <w:tc>
                <w:tcPr>
                  <w:tcW w:w="573" w:type="dxa"/>
                  <w:noWrap w:val="0"/>
                  <w:vAlign w:val="center"/>
                </w:tcPr>
                <w:p w14:paraId="5BDC00F9">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溶解氧</w:t>
                  </w:r>
                </w:p>
              </w:tc>
              <w:tc>
                <w:tcPr>
                  <w:tcW w:w="563" w:type="dxa"/>
                  <w:noWrap w:val="0"/>
                  <w:vAlign w:val="center"/>
                </w:tcPr>
                <w:p w14:paraId="50155157">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高锰酸盐指数</w:t>
                  </w:r>
                </w:p>
              </w:tc>
              <w:tc>
                <w:tcPr>
                  <w:tcW w:w="732" w:type="dxa"/>
                  <w:noWrap w:val="0"/>
                  <w:vAlign w:val="center"/>
                </w:tcPr>
                <w:p w14:paraId="1E3BF900">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五日生化需氧量</w:t>
                  </w:r>
                </w:p>
              </w:tc>
              <w:tc>
                <w:tcPr>
                  <w:tcW w:w="552" w:type="dxa"/>
                  <w:noWrap w:val="0"/>
                  <w:vAlign w:val="center"/>
                </w:tcPr>
                <w:p w14:paraId="0D5CEB15">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氨氮</w:t>
                  </w:r>
                </w:p>
              </w:tc>
              <w:tc>
                <w:tcPr>
                  <w:tcW w:w="624" w:type="dxa"/>
                  <w:noWrap w:val="0"/>
                  <w:vAlign w:val="center"/>
                </w:tcPr>
                <w:p w14:paraId="45EDF2E6">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石油类</w:t>
                  </w:r>
                </w:p>
              </w:tc>
              <w:tc>
                <w:tcPr>
                  <w:tcW w:w="625" w:type="dxa"/>
                  <w:noWrap w:val="0"/>
                  <w:vAlign w:val="center"/>
                </w:tcPr>
                <w:p w14:paraId="4A49CACA">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挥发酚</w:t>
                  </w:r>
                </w:p>
              </w:tc>
              <w:tc>
                <w:tcPr>
                  <w:tcW w:w="629" w:type="dxa"/>
                  <w:noWrap w:val="0"/>
                  <w:vAlign w:val="center"/>
                </w:tcPr>
                <w:p w14:paraId="21AADCF5">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汞</w:t>
                  </w:r>
                </w:p>
              </w:tc>
              <w:tc>
                <w:tcPr>
                  <w:tcW w:w="733" w:type="dxa"/>
                  <w:noWrap w:val="0"/>
                  <w:vAlign w:val="center"/>
                </w:tcPr>
                <w:p w14:paraId="49E26D18">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铅</w:t>
                  </w:r>
                </w:p>
              </w:tc>
              <w:tc>
                <w:tcPr>
                  <w:tcW w:w="624" w:type="dxa"/>
                  <w:noWrap w:val="0"/>
                  <w:vAlign w:val="center"/>
                </w:tcPr>
                <w:p w14:paraId="7B416D36">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化学需氧量</w:t>
                  </w:r>
                </w:p>
              </w:tc>
              <w:tc>
                <w:tcPr>
                  <w:tcW w:w="492" w:type="dxa"/>
                  <w:noWrap w:val="0"/>
                  <w:vAlign w:val="center"/>
                </w:tcPr>
                <w:p w14:paraId="0A15A4B7">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总磷</w:t>
                  </w:r>
                </w:p>
              </w:tc>
              <w:tc>
                <w:tcPr>
                  <w:tcW w:w="492" w:type="dxa"/>
                  <w:noWrap w:val="0"/>
                  <w:vAlign w:val="center"/>
                </w:tcPr>
                <w:p w14:paraId="74130A44">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总氮</w:t>
                  </w:r>
                </w:p>
              </w:tc>
            </w:tr>
            <w:tr w14:paraId="685D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noWrap w:val="0"/>
                  <w:vAlign w:val="center"/>
                </w:tcPr>
                <w:p w14:paraId="21602384">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年均值</w:t>
                  </w:r>
                </w:p>
              </w:tc>
              <w:tc>
                <w:tcPr>
                  <w:tcW w:w="769" w:type="dxa"/>
                  <w:noWrap w:val="0"/>
                  <w:vAlign w:val="center"/>
                </w:tcPr>
                <w:p w14:paraId="0D70285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7.91</w:t>
                  </w:r>
                </w:p>
              </w:tc>
              <w:tc>
                <w:tcPr>
                  <w:tcW w:w="743" w:type="dxa"/>
                  <w:noWrap w:val="0"/>
                  <w:vAlign w:val="center"/>
                </w:tcPr>
                <w:p w14:paraId="33AD5EDB">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7.03</w:t>
                  </w:r>
                </w:p>
              </w:tc>
              <w:tc>
                <w:tcPr>
                  <w:tcW w:w="727" w:type="dxa"/>
                  <w:noWrap w:val="0"/>
                  <w:vAlign w:val="center"/>
                </w:tcPr>
                <w:p w14:paraId="4D79CBBB">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3.37</w:t>
                  </w:r>
                </w:p>
              </w:tc>
              <w:tc>
                <w:tcPr>
                  <w:tcW w:w="982" w:type="dxa"/>
                  <w:noWrap w:val="0"/>
                  <w:vAlign w:val="center"/>
                </w:tcPr>
                <w:p w14:paraId="1FF328BF">
                  <w:pPr>
                    <w:ind w:firstLine="23" w:firstLineChars="13"/>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2.71</w:t>
                  </w:r>
                </w:p>
              </w:tc>
              <w:tc>
                <w:tcPr>
                  <w:tcW w:w="711" w:type="dxa"/>
                  <w:noWrap w:val="0"/>
                  <w:vAlign w:val="center"/>
                </w:tcPr>
                <w:p w14:paraId="3C3CB918">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0.378</w:t>
                  </w:r>
                </w:p>
              </w:tc>
              <w:tc>
                <w:tcPr>
                  <w:tcW w:w="819" w:type="dxa"/>
                  <w:noWrap w:val="0"/>
                  <w:vAlign w:val="center"/>
                </w:tcPr>
                <w:p w14:paraId="68EC4319">
                  <w:pPr>
                    <w:ind w:firstLine="23" w:firstLineChars="13"/>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0.0125</w:t>
                  </w:r>
                </w:p>
              </w:tc>
              <w:tc>
                <w:tcPr>
                  <w:tcW w:w="821" w:type="dxa"/>
                  <w:noWrap w:val="0"/>
                  <w:vAlign w:val="center"/>
                </w:tcPr>
                <w:p w14:paraId="729542C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0.0003</w:t>
                  </w:r>
                </w:p>
              </w:tc>
              <w:tc>
                <w:tcPr>
                  <w:tcW w:w="827" w:type="dxa"/>
                  <w:noWrap w:val="0"/>
                  <w:vAlign w:val="center"/>
                </w:tcPr>
                <w:p w14:paraId="6041AD8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0.00002</w:t>
                  </w:r>
                </w:p>
              </w:tc>
              <w:tc>
                <w:tcPr>
                  <w:tcW w:w="983" w:type="dxa"/>
                  <w:noWrap w:val="0"/>
                  <w:vAlign w:val="center"/>
                </w:tcPr>
                <w:p w14:paraId="2F499715">
                  <w:pPr>
                    <w:ind w:firstLine="23" w:firstLineChars="13"/>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0.00052</w:t>
                  </w:r>
                </w:p>
              </w:tc>
              <w:tc>
                <w:tcPr>
                  <w:tcW w:w="819" w:type="dxa"/>
                  <w:noWrap w:val="0"/>
                  <w:vAlign w:val="center"/>
                </w:tcPr>
                <w:p w14:paraId="286B0031">
                  <w:pPr>
                    <w:ind w:firstLine="23" w:firstLineChars="13"/>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14.2</w:t>
                  </w:r>
                </w:p>
              </w:tc>
              <w:tc>
                <w:tcPr>
                  <w:tcW w:w="621" w:type="dxa"/>
                  <w:noWrap w:val="0"/>
                  <w:vAlign w:val="center"/>
                </w:tcPr>
                <w:p w14:paraId="52DF165B">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0.127</w:t>
                  </w:r>
                </w:p>
              </w:tc>
              <w:tc>
                <w:tcPr>
                  <w:tcW w:w="621" w:type="dxa"/>
                  <w:noWrap w:val="0"/>
                  <w:vAlign w:val="center"/>
                </w:tcPr>
                <w:p w14:paraId="30718207">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3.70</w:t>
                  </w:r>
                </w:p>
              </w:tc>
            </w:tr>
            <w:tr w14:paraId="11D6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noWrap w:val="0"/>
                  <w:vAlign w:val="center"/>
                </w:tcPr>
                <w:p w14:paraId="318CFDA2">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类别</w:t>
                  </w:r>
                </w:p>
              </w:tc>
              <w:tc>
                <w:tcPr>
                  <w:tcW w:w="769" w:type="dxa"/>
                  <w:noWrap w:val="0"/>
                  <w:vAlign w:val="center"/>
                </w:tcPr>
                <w:p w14:paraId="62D205AE">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743" w:type="dxa"/>
                  <w:noWrap w:val="0"/>
                  <w:vAlign w:val="center"/>
                </w:tcPr>
                <w:p w14:paraId="14A057CA">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727" w:type="dxa"/>
                  <w:noWrap w:val="0"/>
                  <w:vAlign w:val="center"/>
                </w:tcPr>
                <w:p w14:paraId="1F6B8425">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Ⅳ</w:t>
                  </w:r>
                </w:p>
              </w:tc>
              <w:tc>
                <w:tcPr>
                  <w:tcW w:w="982" w:type="dxa"/>
                  <w:noWrap w:val="0"/>
                  <w:vAlign w:val="center"/>
                </w:tcPr>
                <w:p w14:paraId="25507977">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Ⅲ</w:t>
                  </w:r>
                </w:p>
              </w:tc>
              <w:tc>
                <w:tcPr>
                  <w:tcW w:w="711" w:type="dxa"/>
                  <w:noWrap w:val="0"/>
                  <w:vAlign w:val="center"/>
                </w:tcPr>
                <w:p w14:paraId="24A853FD">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Ⅲ</w:t>
                  </w:r>
                </w:p>
              </w:tc>
              <w:tc>
                <w:tcPr>
                  <w:tcW w:w="819" w:type="dxa"/>
                  <w:noWrap w:val="0"/>
                  <w:vAlign w:val="center"/>
                </w:tcPr>
                <w:p w14:paraId="79805E78">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821" w:type="dxa"/>
                  <w:noWrap w:val="0"/>
                  <w:vAlign w:val="center"/>
                </w:tcPr>
                <w:p w14:paraId="23A2FC00">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827" w:type="dxa"/>
                  <w:noWrap w:val="0"/>
                  <w:vAlign w:val="center"/>
                </w:tcPr>
                <w:p w14:paraId="51BF3C4B">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983" w:type="dxa"/>
                  <w:noWrap w:val="0"/>
                  <w:vAlign w:val="center"/>
                </w:tcPr>
                <w:p w14:paraId="30BB94AA">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819" w:type="dxa"/>
                  <w:noWrap w:val="0"/>
                  <w:vAlign w:val="center"/>
                </w:tcPr>
                <w:p w14:paraId="19EF72D3">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621" w:type="dxa"/>
                  <w:noWrap w:val="0"/>
                  <w:vAlign w:val="center"/>
                </w:tcPr>
                <w:p w14:paraId="017F103F">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Ⅲ</w:t>
                  </w:r>
                </w:p>
              </w:tc>
              <w:tc>
                <w:tcPr>
                  <w:tcW w:w="621" w:type="dxa"/>
                  <w:noWrap w:val="0"/>
                  <w:vAlign w:val="center"/>
                </w:tcPr>
                <w:p w14:paraId="7E4F2C4B">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r>
            <w:tr w14:paraId="4ED7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noWrap w:val="0"/>
                  <w:vAlign w:val="center"/>
                </w:tcPr>
                <w:p w14:paraId="35C4C739">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超标倍数</w:t>
                  </w:r>
                </w:p>
              </w:tc>
              <w:tc>
                <w:tcPr>
                  <w:tcW w:w="769" w:type="dxa"/>
                  <w:noWrap w:val="0"/>
                  <w:vAlign w:val="center"/>
                </w:tcPr>
                <w:p w14:paraId="6F31D64E">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743" w:type="dxa"/>
                  <w:noWrap w:val="0"/>
                  <w:vAlign w:val="center"/>
                </w:tcPr>
                <w:p w14:paraId="6C289AFF">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727" w:type="dxa"/>
                  <w:noWrap w:val="0"/>
                  <w:vAlign w:val="center"/>
                </w:tcPr>
                <w:p w14:paraId="021D5638">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0.15</w:t>
                  </w:r>
                </w:p>
              </w:tc>
              <w:tc>
                <w:tcPr>
                  <w:tcW w:w="982" w:type="dxa"/>
                  <w:noWrap w:val="0"/>
                  <w:vAlign w:val="center"/>
                </w:tcPr>
                <w:p w14:paraId="097D7AD1">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711" w:type="dxa"/>
                  <w:noWrap w:val="0"/>
                  <w:vAlign w:val="center"/>
                </w:tcPr>
                <w:p w14:paraId="42186664">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819" w:type="dxa"/>
                  <w:noWrap w:val="0"/>
                  <w:vAlign w:val="center"/>
                </w:tcPr>
                <w:p w14:paraId="5EAE8EF9">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821" w:type="dxa"/>
                  <w:noWrap w:val="0"/>
                  <w:vAlign w:val="center"/>
                </w:tcPr>
                <w:p w14:paraId="41830F2B">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827" w:type="dxa"/>
                  <w:noWrap w:val="0"/>
                  <w:vAlign w:val="center"/>
                </w:tcPr>
                <w:p w14:paraId="68492890">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983" w:type="dxa"/>
                  <w:noWrap w:val="0"/>
                  <w:vAlign w:val="center"/>
                </w:tcPr>
                <w:p w14:paraId="5EFD7C8C">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819" w:type="dxa"/>
                  <w:noWrap w:val="0"/>
                  <w:vAlign w:val="center"/>
                </w:tcPr>
                <w:p w14:paraId="093B9915">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621" w:type="dxa"/>
                  <w:noWrap w:val="0"/>
                  <w:vAlign w:val="center"/>
                </w:tcPr>
                <w:p w14:paraId="27B2E689">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621" w:type="dxa"/>
                  <w:noWrap w:val="0"/>
                  <w:vAlign w:val="center"/>
                </w:tcPr>
                <w:p w14:paraId="41B0F3BA">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r>
            <w:tr w14:paraId="19FD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noWrap w:val="0"/>
                  <w:vAlign w:val="center"/>
                </w:tcPr>
                <w:p w14:paraId="40958F70">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因子</w:t>
                  </w:r>
                </w:p>
              </w:tc>
              <w:tc>
                <w:tcPr>
                  <w:tcW w:w="769" w:type="dxa"/>
                  <w:noWrap w:val="0"/>
                  <w:vAlign w:val="center"/>
                </w:tcPr>
                <w:p w14:paraId="1DC26B0D">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铜</w:t>
                  </w:r>
                </w:p>
              </w:tc>
              <w:tc>
                <w:tcPr>
                  <w:tcW w:w="743" w:type="dxa"/>
                  <w:noWrap w:val="0"/>
                  <w:vAlign w:val="center"/>
                </w:tcPr>
                <w:p w14:paraId="6B500F09">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锌</w:t>
                  </w:r>
                </w:p>
              </w:tc>
              <w:tc>
                <w:tcPr>
                  <w:tcW w:w="727" w:type="dxa"/>
                  <w:noWrap w:val="0"/>
                  <w:vAlign w:val="center"/>
                </w:tcPr>
                <w:p w14:paraId="20A84B8E">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氟化物</w:t>
                  </w:r>
                </w:p>
              </w:tc>
              <w:tc>
                <w:tcPr>
                  <w:tcW w:w="982" w:type="dxa"/>
                  <w:noWrap w:val="0"/>
                  <w:vAlign w:val="center"/>
                </w:tcPr>
                <w:p w14:paraId="0B04DC12">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硒</w:t>
                  </w:r>
                </w:p>
              </w:tc>
              <w:tc>
                <w:tcPr>
                  <w:tcW w:w="711" w:type="dxa"/>
                  <w:noWrap w:val="0"/>
                  <w:vAlign w:val="center"/>
                </w:tcPr>
                <w:p w14:paraId="18561C11">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砷</w:t>
                  </w:r>
                </w:p>
              </w:tc>
              <w:tc>
                <w:tcPr>
                  <w:tcW w:w="819" w:type="dxa"/>
                  <w:noWrap w:val="0"/>
                  <w:vAlign w:val="center"/>
                </w:tcPr>
                <w:p w14:paraId="4BFBAFEF">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镉</w:t>
                  </w:r>
                </w:p>
              </w:tc>
              <w:tc>
                <w:tcPr>
                  <w:tcW w:w="821" w:type="dxa"/>
                  <w:noWrap w:val="0"/>
                  <w:vAlign w:val="center"/>
                </w:tcPr>
                <w:p w14:paraId="1F481E9B">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六价铬</w:t>
                  </w:r>
                </w:p>
              </w:tc>
              <w:tc>
                <w:tcPr>
                  <w:tcW w:w="827" w:type="dxa"/>
                  <w:noWrap w:val="0"/>
                  <w:vAlign w:val="center"/>
                </w:tcPr>
                <w:p w14:paraId="30DB1923">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氰化物</w:t>
                  </w:r>
                </w:p>
              </w:tc>
              <w:tc>
                <w:tcPr>
                  <w:tcW w:w="983" w:type="dxa"/>
                  <w:noWrap w:val="0"/>
                  <w:vAlign w:val="center"/>
                </w:tcPr>
                <w:p w14:paraId="21BE7FDE">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阴离子表面活性剂</w:t>
                  </w:r>
                </w:p>
              </w:tc>
              <w:tc>
                <w:tcPr>
                  <w:tcW w:w="819" w:type="dxa"/>
                  <w:noWrap w:val="0"/>
                  <w:vAlign w:val="center"/>
                </w:tcPr>
                <w:p w14:paraId="248FA53B">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硫化物</w:t>
                  </w:r>
                </w:p>
              </w:tc>
              <w:tc>
                <w:tcPr>
                  <w:tcW w:w="621" w:type="dxa"/>
                  <w:noWrap w:val="0"/>
                  <w:vAlign w:val="center"/>
                </w:tcPr>
                <w:p w14:paraId="01EFF92A">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电导率</w:t>
                  </w:r>
                </w:p>
              </w:tc>
              <w:tc>
                <w:tcPr>
                  <w:tcW w:w="621" w:type="dxa"/>
                  <w:noWrap w:val="0"/>
                  <w:vAlign w:val="center"/>
                </w:tcPr>
                <w:p w14:paraId="67D361A3">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水温</w:t>
                  </w:r>
                </w:p>
              </w:tc>
            </w:tr>
            <w:tr w14:paraId="27D2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noWrap w:val="0"/>
                  <w:vAlign w:val="center"/>
                </w:tcPr>
                <w:p w14:paraId="40810C69">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年均值</w:t>
                  </w:r>
                </w:p>
              </w:tc>
              <w:tc>
                <w:tcPr>
                  <w:tcW w:w="769" w:type="dxa"/>
                  <w:noWrap w:val="0"/>
                  <w:vAlign w:val="center"/>
                </w:tcPr>
                <w:p w14:paraId="0CEF94E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743" w:type="dxa"/>
                  <w:noWrap w:val="0"/>
                  <w:vAlign w:val="center"/>
                </w:tcPr>
                <w:p w14:paraId="5FB89C7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727" w:type="dxa"/>
                  <w:noWrap w:val="0"/>
                  <w:vAlign w:val="center"/>
                </w:tcPr>
                <w:p w14:paraId="3173B3D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0.568</w:t>
                  </w:r>
                </w:p>
              </w:tc>
              <w:tc>
                <w:tcPr>
                  <w:tcW w:w="982" w:type="dxa"/>
                  <w:noWrap w:val="0"/>
                  <w:vAlign w:val="center"/>
                </w:tcPr>
                <w:p w14:paraId="3DC32FF1">
                  <w:pPr>
                    <w:ind w:firstLine="23" w:firstLineChars="13"/>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0.0003</w:t>
                  </w:r>
                </w:p>
              </w:tc>
              <w:tc>
                <w:tcPr>
                  <w:tcW w:w="711" w:type="dxa"/>
                  <w:noWrap w:val="0"/>
                  <w:vAlign w:val="center"/>
                </w:tcPr>
                <w:p w14:paraId="66A2C86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0.0022</w:t>
                  </w:r>
                </w:p>
              </w:tc>
              <w:tc>
                <w:tcPr>
                  <w:tcW w:w="819" w:type="dxa"/>
                  <w:noWrap w:val="0"/>
                  <w:vAlign w:val="center"/>
                </w:tcPr>
                <w:p w14:paraId="7F75441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0.00007</w:t>
                  </w:r>
                </w:p>
              </w:tc>
              <w:tc>
                <w:tcPr>
                  <w:tcW w:w="821" w:type="dxa"/>
                  <w:noWrap w:val="0"/>
                  <w:vAlign w:val="center"/>
                </w:tcPr>
                <w:p w14:paraId="55208EF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827" w:type="dxa"/>
                  <w:noWrap w:val="0"/>
                  <w:vAlign w:val="center"/>
                </w:tcPr>
                <w:p w14:paraId="10699C9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983" w:type="dxa"/>
                  <w:noWrap w:val="0"/>
                  <w:vAlign w:val="center"/>
                </w:tcPr>
                <w:p w14:paraId="7C15147D">
                  <w:pPr>
                    <w:ind w:firstLine="23" w:firstLineChars="13"/>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0.045</w:t>
                  </w:r>
                </w:p>
              </w:tc>
              <w:tc>
                <w:tcPr>
                  <w:tcW w:w="819" w:type="dxa"/>
                  <w:noWrap w:val="0"/>
                  <w:vAlign w:val="center"/>
                </w:tcPr>
                <w:p w14:paraId="67D675A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w:t>
                  </w:r>
                </w:p>
              </w:tc>
              <w:tc>
                <w:tcPr>
                  <w:tcW w:w="621" w:type="dxa"/>
                  <w:noWrap w:val="0"/>
                  <w:vAlign w:val="center"/>
                </w:tcPr>
                <w:p w14:paraId="6641E783">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101.6</w:t>
                  </w:r>
                </w:p>
              </w:tc>
              <w:tc>
                <w:tcPr>
                  <w:tcW w:w="621" w:type="dxa"/>
                  <w:noWrap w:val="0"/>
                  <w:vAlign w:val="center"/>
                </w:tcPr>
                <w:p w14:paraId="2D815AE7">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17.5</w:t>
                  </w:r>
                </w:p>
              </w:tc>
            </w:tr>
            <w:tr w14:paraId="1F01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noWrap w:val="0"/>
                  <w:vAlign w:val="center"/>
                </w:tcPr>
                <w:p w14:paraId="1CB6AEB3">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类别</w:t>
                  </w:r>
                </w:p>
              </w:tc>
              <w:tc>
                <w:tcPr>
                  <w:tcW w:w="769" w:type="dxa"/>
                  <w:noWrap w:val="0"/>
                  <w:vAlign w:val="center"/>
                </w:tcPr>
                <w:p w14:paraId="44493E00">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743" w:type="dxa"/>
                  <w:noWrap w:val="0"/>
                  <w:vAlign w:val="center"/>
                </w:tcPr>
                <w:p w14:paraId="7773CA01">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727" w:type="dxa"/>
                  <w:noWrap w:val="0"/>
                  <w:vAlign w:val="center"/>
                </w:tcPr>
                <w:p w14:paraId="54B3450B">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982" w:type="dxa"/>
                  <w:noWrap w:val="0"/>
                  <w:vAlign w:val="center"/>
                </w:tcPr>
                <w:p w14:paraId="154231FC">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711" w:type="dxa"/>
                  <w:noWrap w:val="0"/>
                  <w:vAlign w:val="center"/>
                </w:tcPr>
                <w:p w14:paraId="19B73C59">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819" w:type="dxa"/>
                  <w:noWrap w:val="0"/>
                  <w:vAlign w:val="center"/>
                </w:tcPr>
                <w:p w14:paraId="69D45DC9">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821" w:type="dxa"/>
                  <w:noWrap w:val="0"/>
                  <w:vAlign w:val="center"/>
                </w:tcPr>
                <w:p w14:paraId="7FA00FE7">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827" w:type="dxa"/>
                  <w:noWrap w:val="0"/>
                  <w:vAlign w:val="center"/>
                </w:tcPr>
                <w:p w14:paraId="6CD9B057">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983" w:type="dxa"/>
                  <w:noWrap w:val="0"/>
                  <w:vAlign w:val="center"/>
                </w:tcPr>
                <w:p w14:paraId="597522A0">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819" w:type="dxa"/>
                  <w:noWrap w:val="0"/>
                  <w:vAlign w:val="center"/>
                </w:tcPr>
                <w:p w14:paraId="76B8F6F6">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Ⅰ</w:t>
                  </w:r>
                </w:p>
              </w:tc>
              <w:tc>
                <w:tcPr>
                  <w:tcW w:w="621" w:type="dxa"/>
                  <w:noWrap w:val="0"/>
                  <w:vAlign w:val="center"/>
                </w:tcPr>
                <w:p w14:paraId="02FF270B">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621" w:type="dxa"/>
                  <w:noWrap w:val="0"/>
                  <w:vAlign w:val="center"/>
                </w:tcPr>
                <w:p w14:paraId="09DC3A5A">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r>
            <w:tr w14:paraId="3C70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noWrap w:val="0"/>
                  <w:vAlign w:val="center"/>
                </w:tcPr>
                <w:p w14:paraId="4EE7F611">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超标倍数</w:t>
                  </w:r>
                </w:p>
              </w:tc>
              <w:tc>
                <w:tcPr>
                  <w:tcW w:w="769" w:type="dxa"/>
                  <w:noWrap w:val="0"/>
                  <w:vAlign w:val="center"/>
                </w:tcPr>
                <w:p w14:paraId="2B7C8D7C">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743" w:type="dxa"/>
                  <w:noWrap w:val="0"/>
                  <w:vAlign w:val="center"/>
                </w:tcPr>
                <w:p w14:paraId="24480DC6">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727" w:type="dxa"/>
                  <w:noWrap w:val="0"/>
                  <w:vAlign w:val="center"/>
                </w:tcPr>
                <w:p w14:paraId="3108015E">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982" w:type="dxa"/>
                  <w:noWrap w:val="0"/>
                  <w:vAlign w:val="center"/>
                </w:tcPr>
                <w:p w14:paraId="068751BC">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711" w:type="dxa"/>
                  <w:noWrap w:val="0"/>
                  <w:vAlign w:val="center"/>
                </w:tcPr>
                <w:p w14:paraId="61D8DBAF">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819" w:type="dxa"/>
                  <w:noWrap w:val="0"/>
                  <w:vAlign w:val="center"/>
                </w:tcPr>
                <w:p w14:paraId="78FF10F7">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821" w:type="dxa"/>
                  <w:noWrap w:val="0"/>
                  <w:vAlign w:val="center"/>
                </w:tcPr>
                <w:p w14:paraId="4AD8E36A">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827" w:type="dxa"/>
                  <w:noWrap w:val="0"/>
                  <w:vAlign w:val="center"/>
                </w:tcPr>
                <w:p w14:paraId="038EC0CE">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983" w:type="dxa"/>
                  <w:noWrap w:val="0"/>
                  <w:vAlign w:val="center"/>
                </w:tcPr>
                <w:p w14:paraId="25C7E07A">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819" w:type="dxa"/>
                  <w:noWrap w:val="0"/>
                  <w:vAlign w:val="center"/>
                </w:tcPr>
                <w:p w14:paraId="539052A6">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621" w:type="dxa"/>
                  <w:noWrap w:val="0"/>
                  <w:vAlign w:val="center"/>
                </w:tcPr>
                <w:p w14:paraId="02767B00">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c>
                <w:tcPr>
                  <w:tcW w:w="621" w:type="dxa"/>
                  <w:noWrap w:val="0"/>
                  <w:vAlign w:val="center"/>
                </w:tcPr>
                <w:p w14:paraId="621411F5">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p>
              </w:tc>
            </w:tr>
            <w:tr w14:paraId="40C9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6" w:type="dxa"/>
                  <w:gridSpan w:val="13"/>
                  <w:noWrap w:val="0"/>
                  <w:vAlign w:val="center"/>
                </w:tcPr>
                <w:p w14:paraId="49AA9655">
                  <w:pPr>
                    <w:spacing w:line="276"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大韩桥自动站符合Ⅳ类水质标准。主要污染物：高锰酸盐指数。</w:t>
                  </w:r>
                </w:p>
              </w:tc>
            </w:tr>
          </w:tbl>
          <w:p w14:paraId="3DB53152">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由上表可知，项目所在区域地表水不满足《地表水环境质量标准》（GB3838-2002）Ⅲ类标准，为不达标区。不达标因子为高锰酸盐指数，分析超标原因为：沿途居民生活废水及部分工业废水，不经处理，直接排放，导致所在区域地表水超标。</w:t>
            </w:r>
          </w:p>
          <w:p w14:paraId="39E50ED0">
            <w:pPr>
              <w:spacing w:line="360" w:lineRule="auto"/>
              <w:ind w:firstLine="482" w:firstLineChars="200"/>
              <w:jc w:val="left"/>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3、声环境</w:t>
            </w:r>
            <w:r>
              <w:rPr>
                <w:rFonts w:hint="default" w:ascii="Times New Roman" w:hAnsi="Times New Roman" w:eastAsia="宋体" w:cs="Times New Roman"/>
                <w:b/>
                <w:bCs/>
                <w:color w:val="auto"/>
                <w:sz w:val="24"/>
                <w:lang w:eastAsia="zh-CN"/>
              </w:rPr>
              <w:t>质量现状</w:t>
            </w:r>
          </w:p>
          <w:p w14:paraId="1D6DEDDE">
            <w:pPr>
              <w:spacing w:line="360" w:lineRule="auto"/>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eastAsia="zh-CN"/>
              </w:rPr>
              <w:t>“厂界外周边</w:t>
            </w:r>
            <w:r>
              <w:rPr>
                <w:rFonts w:hint="default" w:ascii="Times New Roman" w:hAnsi="Times New Roman" w:eastAsia="宋体" w:cs="Times New Roman"/>
                <w:color w:val="auto"/>
                <w:sz w:val="24"/>
                <w:lang w:val="en-US" w:eastAsia="zh-CN"/>
              </w:rPr>
              <w:t>50米范围内存在声环境保护目标的建设项目，</w:t>
            </w:r>
            <w:r>
              <w:rPr>
                <w:rFonts w:hint="default" w:ascii="Times New Roman" w:hAnsi="Times New Roman" w:eastAsia="宋体" w:cs="Times New Roman"/>
                <w:color w:val="auto"/>
                <w:sz w:val="24"/>
                <w:szCs w:val="24"/>
              </w:rPr>
              <w:t>应监测保护目标声环境质量现状并评价达标情况</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。本项目厂界外周边50米范围内存在声环境保护目标，应进行声环境质量监测。</w:t>
            </w:r>
            <w:r>
              <w:rPr>
                <w:rFonts w:hint="default" w:ascii="Times New Roman" w:hAnsi="Times New Roman" w:cs="Times New Roman"/>
                <w:color w:val="auto"/>
                <w:sz w:val="24"/>
                <w:lang w:val="en-US" w:eastAsia="zh-CN"/>
              </w:rPr>
              <w:t>项目单位委托河南鑫成环测检测技术有限公司</w:t>
            </w:r>
            <w:r>
              <w:rPr>
                <w:rFonts w:hint="default" w:ascii="Times New Roman" w:hAnsi="Times New Roman" w:eastAsia="宋体" w:cs="Times New Roman"/>
                <w:color w:val="auto"/>
                <w:sz w:val="24"/>
                <w:lang w:val="en-US" w:eastAsia="zh-CN"/>
              </w:rPr>
              <w:t>对项目敏感点声环境质量现状进行了检测（检测报告见附件</w:t>
            </w:r>
            <w:r>
              <w:rPr>
                <w:rFonts w:hint="default" w:ascii="Times New Roman" w:hAnsi="Times New Roman" w:cs="Times New Roman"/>
                <w:color w:val="auto"/>
                <w:sz w:val="24"/>
                <w:lang w:val="en-US" w:eastAsia="zh-CN"/>
              </w:rPr>
              <w:t>六</w:t>
            </w:r>
            <w:r>
              <w:rPr>
                <w:rFonts w:hint="default" w:ascii="Times New Roman" w:hAnsi="Times New Roman" w:eastAsia="宋体" w:cs="Times New Roman"/>
                <w:color w:val="auto"/>
                <w:sz w:val="24"/>
                <w:lang w:val="en-US" w:eastAsia="zh-CN"/>
              </w:rPr>
              <w:t>）。检测结果见下表。</w:t>
            </w:r>
          </w:p>
          <w:p w14:paraId="16C9B56C">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表3-3项目敏感点噪声检测结果一览表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2199"/>
              <w:gridCol w:w="4402"/>
            </w:tblGrid>
            <w:tr w14:paraId="4063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 w:hRule="atLeast"/>
              </w:trPr>
              <w:tc>
                <w:tcPr>
                  <w:tcW w:w="2199" w:type="dxa"/>
                  <w:vMerge w:val="restart"/>
                  <w:vAlign w:val="center"/>
                </w:tcPr>
                <w:p w14:paraId="4206333A">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监测时间</w:t>
                  </w:r>
                </w:p>
              </w:tc>
              <w:tc>
                <w:tcPr>
                  <w:tcW w:w="2199" w:type="dxa"/>
                  <w:vMerge w:val="restart"/>
                  <w:vAlign w:val="center"/>
                </w:tcPr>
                <w:p w14:paraId="1C3B3E32">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4402" w:type="dxa"/>
                  <w:vAlign w:val="center"/>
                </w:tcPr>
                <w:p w14:paraId="2581D7F3">
                  <w:pPr>
                    <w:pStyle w:val="2"/>
                    <w:jc w:val="center"/>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rPr>
                    <w:t>测量结果（Leq） dB（A）</w:t>
                  </w:r>
                </w:p>
              </w:tc>
            </w:tr>
            <w:tr w14:paraId="2BC6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199" w:type="dxa"/>
                  <w:vMerge w:val="continue"/>
                  <w:vAlign w:val="center"/>
                </w:tcPr>
                <w:p w14:paraId="6A1C9D2C">
                  <w:pPr>
                    <w:pStyle w:val="2"/>
                    <w:jc w:val="center"/>
                    <w:rPr>
                      <w:rFonts w:hint="default" w:ascii="Times New Roman" w:hAnsi="Times New Roman" w:cs="Times New Roman"/>
                      <w:color w:val="auto"/>
                    </w:rPr>
                  </w:pPr>
                </w:p>
              </w:tc>
              <w:tc>
                <w:tcPr>
                  <w:tcW w:w="2199" w:type="dxa"/>
                  <w:vMerge w:val="continue"/>
                  <w:vAlign w:val="center"/>
                </w:tcPr>
                <w:p w14:paraId="422EF9F7">
                  <w:pPr>
                    <w:pStyle w:val="2"/>
                    <w:jc w:val="center"/>
                    <w:rPr>
                      <w:rFonts w:hint="default" w:ascii="Times New Roman" w:hAnsi="Times New Roman" w:cs="Times New Roman"/>
                      <w:color w:val="auto"/>
                    </w:rPr>
                  </w:pPr>
                </w:p>
              </w:tc>
              <w:tc>
                <w:tcPr>
                  <w:tcW w:w="4402" w:type="dxa"/>
                  <w:vAlign w:val="center"/>
                </w:tcPr>
                <w:p w14:paraId="1A82AADB">
                  <w:pPr>
                    <w:pStyle w:val="2"/>
                    <w:jc w:val="center"/>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昼间</w:t>
                  </w:r>
                </w:p>
              </w:tc>
            </w:tr>
            <w:tr w14:paraId="0548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9" w:type="dxa"/>
                  <w:vAlign w:val="center"/>
                </w:tcPr>
                <w:p w14:paraId="16D2210F">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2024.10.23</w:t>
                  </w:r>
                </w:p>
              </w:tc>
              <w:tc>
                <w:tcPr>
                  <w:tcW w:w="2199" w:type="dxa"/>
                  <w:vMerge w:val="restart"/>
                  <w:vAlign w:val="center"/>
                </w:tcPr>
                <w:p w14:paraId="360E5D9B">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美好生活二期</w:t>
                  </w:r>
                </w:p>
              </w:tc>
              <w:tc>
                <w:tcPr>
                  <w:tcW w:w="4402" w:type="dxa"/>
                  <w:vAlign w:val="center"/>
                </w:tcPr>
                <w:p w14:paraId="043FC59D">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52</w:t>
                  </w:r>
                </w:p>
              </w:tc>
            </w:tr>
            <w:tr w14:paraId="28B3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vAlign w:val="center"/>
                </w:tcPr>
                <w:p w14:paraId="606808E9">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2024.10.24</w:t>
                  </w:r>
                </w:p>
              </w:tc>
              <w:tc>
                <w:tcPr>
                  <w:tcW w:w="2199" w:type="dxa"/>
                  <w:vMerge w:val="continue"/>
                  <w:vAlign w:val="center"/>
                </w:tcPr>
                <w:p w14:paraId="4284FADF">
                  <w:pPr>
                    <w:pStyle w:val="2"/>
                    <w:jc w:val="center"/>
                    <w:rPr>
                      <w:rFonts w:hint="default" w:ascii="Times New Roman" w:hAnsi="Times New Roman" w:eastAsia="宋体" w:cs="Times New Roman"/>
                      <w:color w:val="auto"/>
                      <w:sz w:val="21"/>
                      <w:szCs w:val="21"/>
                      <w:vertAlign w:val="baseline"/>
                      <w:lang w:val="en-US" w:eastAsia="zh-CN"/>
                    </w:rPr>
                  </w:pPr>
                </w:p>
              </w:tc>
              <w:tc>
                <w:tcPr>
                  <w:tcW w:w="4402" w:type="dxa"/>
                  <w:vAlign w:val="center"/>
                </w:tcPr>
                <w:p w14:paraId="0430D405">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52</w:t>
                  </w:r>
                </w:p>
              </w:tc>
            </w:tr>
          </w:tbl>
          <w:p w14:paraId="29EE1912">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项目东侧40m处的美好生活二期声环境能达到《声环境质量标准》GB3096-2008）3类标准，说明区域声环境现状较好。</w:t>
            </w:r>
          </w:p>
          <w:p w14:paraId="5D17F5E0">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4、生态环境</w:t>
            </w:r>
          </w:p>
          <w:p w14:paraId="5C4344D9">
            <w:pPr>
              <w:keepNext w:val="0"/>
              <w:keepLines w:val="0"/>
              <w:pageBreakBefore w:val="0"/>
              <w:widowControl w:val="0"/>
              <w:kinsoku/>
              <w:wordWrap/>
              <w:overflowPunct/>
              <w:topLinePunct w:val="0"/>
              <w:bidi w:val="0"/>
              <w:spacing w:line="360" w:lineRule="auto"/>
              <w:ind w:firstLine="460" w:firstLineChars="192"/>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现场踏勘发现，本项目不占用基本农田，项目所在区域由于长期人为活动和自然条件的影响，区域天然植被几乎无残存，生态系统为低敏感性的农田生态系统，植物种类主要以农作物、经济作物及田间树木杂草为主，区域内无珍稀动植物存在，且厂址附近无划定的自然生态保护区。</w:t>
            </w:r>
          </w:p>
          <w:p w14:paraId="237B38CF">
            <w:pPr>
              <w:keepNext w:val="0"/>
              <w:keepLines w:val="0"/>
              <w:pageBreakBefore w:val="0"/>
              <w:widowControl w:val="0"/>
              <w:kinsoku/>
              <w:wordWrap/>
              <w:overflowPunct/>
              <w:topLinePunct w:val="0"/>
              <w:bidi w:val="0"/>
              <w:adjustRightInd w:val="0"/>
              <w:snapToGrid w:val="0"/>
              <w:spacing w:line="360" w:lineRule="auto"/>
              <w:ind w:firstLine="482" w:firstLineChars="200"/>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5、土壤、地下水环境现状</w:t>
            </w:r>
          </w:p>
          <w:p w14:paraId="009716E2">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rPr>
              <w:t>根据《建设项目环境影响报告表编制技术指南》（污染影响类）（试行）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原则上不开展环境质量现状调查。建设项目存在土壤、地下水污染途径的，应结合污染源、环境保护目标分布情况开展现状调查以留作背景值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为食品生产项目，不存在地下水和土壤污染途径，</w:t>
            </w:r>
            <w:r>
              <w:rPr>
                <w:rFonts w:hint="default" w:ascii="Times New Roman" w:hAnsi="Times New Roman" w:eastAsia="宋体" w:cs="Times New Roman"/>
                <w:color w:val="auto"/>
                <w:sz w:val="24"/>
              </w:rPr>
              <w:t>因此本次评价期间不再对项目土壤、地下水环境开展现状调查。</w:t>
            </w:r>
          </w:p>
        </w:tc>
      </w:tr>
      <w:tr w14:paraId="13B23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24" w:type="dxa"/>
            <w:tcBorders>
              <w:top w:val="single" w:color="auto" w:sz="4" w:space="0"/>
              <w:bottom w:val="single" w:color="auto" w:sz="4" w:space="0"/>
            </w:tcBorders>
            <w:noWrap w:val="0"/>
            <w:vAlign w:val="center"/>
          </w:tcPr>
          <w:p w14:paraId="6CD6A029">
            <w:pPr>
              <w:spacing w:line="400" w:lineRule="exact"/>
              <w:jc w:val="center"/>
              <w:rPr>
                <w:rFonts w:hint="default" w:ascii="Times New Roman" w:hAnsi="Times New Roman" w:eastAsia="宋体" w:cs="Times New Roman"/>
                <w:color w:val="auto"/>
                <w:szCs w:val="21"/>
              </w:rPr>
            </w:pPr>
          </w:p>
          <w:p w14:paraId="1E1EABC7">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rPr>
              <w:t>环境保护目标</w:t>
            </w:r>
          </w:p>
        </w:tc>
        <w:tc>
          <w:tcPr>
            <w:tcW w:w="8544" w:type="dxa"/>
            <w:tcBorders>
              <w:top w:val="single" w:color="auto" w:sz="4" w:space="0"/>
              <w:bottom w:val="single" w:color="auto" w:sz="4" w:space="0"/>
            </w:tcBorders>
            <w:noWrap w:val="0"/>
            <w:vAlign w:val="top"/>
          </w:tcPr>
          <w:p w14:paraId="5ACF5190">
            <w:pPr>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根据现场调查，</w:t>
            </w:r>
            <w:r>
              <w:rPr>
                <w:rFonts w:hint="default" w:ascii="Times New Roman" w:hAnsi="Times New Roman" w:eastAsia="宋体" w:cs="Times New Roman"/>
                <w:color w:val="auto"/>
                <w:sz w:val="24"/>
                <w:szCs w:val="24"/>
              </w:rPr>
              <w:t>项目周边 50m 范围内存在声环境保护目标；厂界外500 米范围内</w:t>
            </w:r>
            <w:r>
              <w:rPr>
                <w:rFonts w:hint="default" w:ascii="Times New Roman" w:hAnsi="Times New Roman" w:eastAsia="宋体" w:cs="Times New Roman"/>
                <w:color w:val="auto"/>
                <w:sz w:val="24"/>
                <w:szCs w:val="24"/>
                <w:lang w:eastAsia="zh-CN"/>
              </w:rPr>
              <w:t>未发现</w:t>
            </w:r>
            <w:r>
              <w:rPr>
                <w:rFonts w:hint="default" w:ascii="Times New Roman" w:hAnsi="Times New Roman" w:eastAsia="宋体" w:cs="Times New Roman"/>
                <w:color w:val="auto"/>
                <w:sz w:val="24"/>
                <w:szCs w:val="24"/>
              </w:rPr>
              <w:t>地下水集中式饮用水水源和热水、矿泉水、温泉等特殊地下水资源。</w:t>
            </w:r>
            <w:r>
              <w:rPr>
                <w:rFonts w:hint="default" w:ascii="Times New Roman" w:hAnsi="Times New Roman" w:eastAsia="宋体" w:cs="Times New Roman"/>
                <w:color w:val="auto"/>
                <w:sz w:val="24"/>
                <w:lang w:val="en-US" w:eastAsia="zh-CN"/>
              </w:rPr>
              <w:t>项目主要环境保护目标见下表3-4</w:t>
            </w:r>
            <w:r>
              <w:rPr>
                <w:rFonts w:hint="default" w:ascii="Times New Roman" w:hAnsi="Times New Roman" w:eastAsia="宋体" w:cs="Times New Roman"/>
                <w:color w:val="auto"/>
                <w:sz w:val="24"/>
              </w:rPr>
              <w:t>。</w:t>
            </w:r>
          </w:p>
          <w:p w14:paraId="3ACE8990">
            <w:pPr>
              <w:snapToGrid w:val="0"/>
              <w:jc w:val="center"/>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表</w:t>
            </w:r>
            <w:r>
              <w:rPr>
                <w:rFonts w:hint="default" w:ascii="Times New Roman" w:hAnsi="Times New Roman" w:eastAsia="宋体" w:cs="Times New Roman"/>
                <w:b w:val="0"/>
                <w:bCs w:val="0"/>
                <w:color w:val="auto"/>
                <w:sz w:val="24"/>
                <w:lang w:val="en-US" w:eastAsia="zh-CN"/>
              </w:rPr>
              <w:t>3-4</w:t>
            </w:r>
            <w:r>
              <w:rPr>
                <w:rFonts w:hint="default" w:ascii="Times New Roman" w:hAnsi="Times New Roman" w:eastAsia="宋体" w:cs="Times New Roman"/>
                <w:b w:val="0"/>
                <w:bCs w:val="0"/>
                <w:color w:val="auto"/>
                <w:sz w:val="24"/>
              </w:rPr>
              <w:t>环境保护对象及保护目标一览表</w:t>
            </w:r>
          </w:p>
          <w:tbl>
            <w:tblPr>
              <w:tblStyle w:val="19"/>
              <w:tblW w:w="87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478"/>
              <w:gridCol w:w="860"/>
              <w:gridCol w:w="1255"/>
              <w:gridCol w:w="1428"/>
              <w:gridCol w:w="1476"/>
              <w:gridCol w:w="1429"/>
            </w:tblGrid>
            <w:tr w14:paraId="68B6D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7" w:type="dxa"/>
                  <w:noWrap w:val="0"/>
                  <w:vAlign w:val="center"/>
                </w:tcPr>
                <w:p w14:paraId="17CAB7BE">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环境</w:t>
                  </w:r>
                </w:p>
                <w:p w14:paraId="45D49561">
                  <w:pPr>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要素</w:t>
                  </w:r>
                </w:p>
              </w:tc>
              <w:tc>
                <w:tcPr>
                  <w:tcW w:w="1488" w:type="dxa"/>
                  <w:noWrap w:val="0"/>
                  <w:vAlign w:val="center"/>
                </w:tcPr>
                <w:p w14:paraId="44F10642">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保护对象</w:t>
                  </w:r>
                </w:p>
              </w:tc>
              <w:tc>
                <w:tcPr>
                  <w:tcW w:w="864" w:type="dxa"/>
                  <w:noWrap w:val="0"/>
                  <w:vAlign w:val="center"/>
                </w:tcPr>
                <w:p w14:paraId="205C72C1">
                  <w:pPr>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环境功能区</w:t>
                  </w:r>
                </w:p>
              </w:tc>
              <w:tc>
                <w:tcPr>
                  <w:tcW w:w="1262" w:type="dxa"/>
                  <w:noWrap w:val="0"/>
                  <w:vAlign w:val="center"/>
                </w:tcPr>
                <w:p w14:paraId="5CCA1922">
                  <w:pPr>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相对厂址方位</w:t>
                  </w:r>
                </w:p>
              </w:tc>
              <w:tc>
                <w:tcPr>
                  <w:tcW w:w="1436" w:type="dxa"/>
                  <w:noWrap w:val="0"/>
                  <w:vAlign w:val="center"/>
                </w:tcPr>
                <w:p w14:paraId="6A4D072B">
                  <w:pPr>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相对厂界距离/m</w:t>
                  </w:r>
                </w:p>
              </w:tc>
              <w:tc>
                <w:tcPr>
                  <w:tcW w:w="1436" w:type="dxa"/>
                  <w:noWrap w:val="0"/>
                  <w:vAlign w:val="center"/>
                </w:tcPr>
                <w:p w14:paraId="49CC6C18">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坐标</w:t>
                  </w:r>
                </w:p>
              </w:tc>
              <w:tc>
                <w:tcPr>
                  <w:tcW w:w="1436" w:type="dxa"/>
                  <w:noWrap w:val="0"/>
                  <w:vAlign w:val="center"/>
                </w:tcPr>
                <w:p w14:paraId="1024DCA2">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规模（人数）</w:t>
                  </w:r>
                </w:p>
              </w:tc>
            </w:tr>
            <w:tr w14:paraId="2B516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noWrap w:val="0"/>
                  <w:vAlign w:val="center"/>
                </w:tcPr>
                <w:p w14:paraId="587EBD16">
                  <w:pPr>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环境空气</w:t>
                  </w:r>
                </w:p>
              </w:tc>
              <w:tc>
                <w:tcPr>
                  <w:tcW w:w="1488" w:type="dxa"/>
                  <w:noWrap w:val="0"/>
                  <w:vAlign w:val="center"/>
                </w:tcPr>
                <w:p w14:paraId="0C4A5D0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滑县产业集聚区湘江路小学</w:t>
                  </w:r>
                </w:p>
              </w:tc>
              <w:tc>
                <w:tcPr>
                  <w:tcW w:w="864" w:type="dxa"/>
                  <w:noWrap w:val="0"/>
                  <w:vAlign w:val="center"/>
                </w:tcPr>
                <w:p w14:paraId="11AF46E2">
                  <w:pPr>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二类区</w:t>
                  </w:r>
                </w:p>
              </w:tc>
              <w:tc>
                <w:tcPr>
                  <w:tcW w:w="1262" w:type="dxa"/>
                  <w:noWrap w:val="0"/>
                  <w:vAlign w:val="center"/>
                </w:tcPr>
                <w:p w14:paraId="060EE5E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NE</w:t>
                  </w:r>
                </w:p>
              </w:tc>
              <w:tc>
                <w:tcPr>
                  <w:tcW w:w="1436" w:type="dxa"/>
                  <w:noWrap w:val="0"/>
                  <w:vAlign w:val="center"/>
                </w:tcPr>
                <w:p w14:paraId="47E3D04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w:t>
                  </w:r>
                </w:p>
              </w:tc>
              <w:tc>
                <w:tcPr>
                  <w:tcW w:w="1436" w:type="dxa"/>
                  <w:noWrap w:val="0"/>
                  <w:vAlign w:val="center"/>
                </w:tcPr>
                <w:p w14:paraId="187C9AF6">
                  <w:pPr>
                    <w:jc w:val="center"/>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114°33′22.11″</w:t>
                  </w:r>
                </w:p>
                <w:p w14:paraId="211089C3">
                  <w:pPr>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rPr>
                    <w:t>35°32′12.33″</w:t>
                  </w:r>
                </w:p>
              </w:tc>
              <w:tc>
                <w:tcPr>
                  <w:tcW w:w="1436" w:type="dxa"/>
                  <w:noWrap w:val="0"/>
                  <w:vAlign w:val="center"/>
                </w:tcPr>
                <w:p w14:paraId="04B0927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1200</w:t>
                  </w:r>
                </w:p>
              </w:tc>
            </w:tr>
            <w:tr w14:paraId="5087A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57" w:type="dxa"/>
                  <w:vMerge w:val="continue"/>
                  <w:noWrap w:val="0"/>
                  <w:vAlign w:val="center"/>
                </w:tcPr>
                <w:p w14:paraId="6FEB781F">
                  <w:pPr>
                    <w:snapToGrid w:val="0"/>
                    <w:jc w:val="center"/>
                    <w:rPr>
                      <w:rFonts w:hint="default" w:ascii="Times New Roman" w:hAnsi="Times New Roman" w:eastAsia="宋体" w:cs="Times New Roman"/>
                      <w:b w:val="0"/>
                      <w:bCs w:val="0"/>
                      <w:color w:val="auto"/>
                      <w:sz w:val="21"/>
                      <w:szCs w:val="21"/>
                    </w:rPr>
                  </w:pPr>
                </w:p>
              </w:tc>
              <w:tc>
                <w:tcPr>
                  <w:tcW w:w="1488" w:type="dxa"/>
                  <w:noWrap w:val="0"/>
                  <w:vAlign w:val="center"/>
                </w:tcPr>
                <w:p w14:paraId="1FBB610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美好生活二期</w:t>
                  </w:r>
                </w:p>
              </w:tc>
              <w:tc>
                <w:tcPr>
                  <w:tcW w:w="864" w:type="dxa"/>
                  <w:noWrap w:val="0"/>
                  <w:vAlign w:val="center"/>
                </w:tcPr>
                <w:p w14:paraId="74CF0CB4">
                  <w:pPr>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二类区</w:t>
                  </w:r>
                </w:p>
              </w:tc>
              <w:tc>
                <w:tcPr>
                  <w:tcW w:w="1262" w:type="dxa"/>
                  <w:noWrap w:val="0"/>
                  <w:vAlign w:val="center"/>
                </w:tcPr>
                <w:p w14:paraId="688B1C6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E</w:t>
                  </w:r>
                </w:p>
              </w:tc>
              <w:tc>
                <w:tcPr>
                  <w:tcW w:w="1436" w:type="dxa"/>
                  <w:noWrap w:val="0"/>
                  <w:vAlign w:val="center"/>
                </w:tcPr>
                <w:p w14:paraId="0249931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436" w:type="dxa"/>
                  <w:noWrap w:val="0"/>
                  <w:vAlign w:val="center"/>
                </w:tcPr>
                <w:p w14:paraId="037E4DE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114°33′19.02″</w:t>
                  </w:r>
                  <w:r>
                    <w:rPr>
                      <w:rFonts w:hint="default" w:ascii="Times New Roman" w:hAnsi="Times New Roman" w:eastAsia="宋体" w:cs="Times New Roman"/>
                      <w:color w:val="auto"/>
                      <w:sz w:val="21"/>
                      <w:szCs w:val="21"/>
                      <w:lang w:val="en-US" w:eastAsia="zh-CN"/>
                    </w:rPr>
                    <w:t>,</w:t>
                  </w:r>
                </w:p>
                <w:p w14:paraId="18FB844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35°32′0.20″</w:t>
                  </w:r>
                </w:p>
              </w:tc>
              <w:tc>
                <w:tcPr>
                  <w:tcW w:w="1436" w:type="dxa"/>
                  <w:noWrap w:val="0"/>
                  <w:vAlign w:val="center"/>
                </w:tcPr>
                <w:p w14:paraId="7B03FC0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r>
            <w:tr w14:paraId="6BEED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noWrap w:val="0"/>
                  <w:vAlign w:val="center"/>
                </w:tcPr>
                <w:p w14:paraId="6F7DE413">
                  <w:pPr>
                    <w:snapToGrid w:val="0"/>
                    <w:jc w:val="center"/>
                    <w:rPr>
                      <w:rFonts w:hint="default" w:ascii="Times New Roman" w:hAnsi="Times New Roman" w:eastAsia="宋体" w:cs="Times New Roman"/>
                      <w:b w:val="0"/>
                      <w:bCs w:val="0"/>
                      <w:color w:val="auto"/>
                      <w:sz w:val="21"/>
                      <w:szCs w:val="21"/>
                    </w:rPr>
                  </w:pPr>
                </w:p>
              </w:tc>
              <w:tc>
                <w:tcPr>
                  <w:tcW w:w="1488" w:type="dxa"/>
                  <w:noWrap w:val="0"/>
                  <w:vAlign w:val="center"/>
                </w:tcPr>
                <w:p w14:paraId="6F648E8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滑县美好生活家园</w:t>
                  </w:r>
                </w:p>
              </w:tc>
              <w:tc>
                <w:tcPr>
                  <w:tcW w:w="864" w:type="dxa"/>
                  <w:noWrap w:val="0"/>
                  <w:vAlign w:val="center"/>
                </w:tcPr>
                <w:p w14:paraId="6AD38F0D">
                  <w:pPr>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二类区</w:t>
                  </w:r>
                </w:p>
              </w:tc>
              <w:tc>
                <w:tcPr>
                  <w:tcW w:w="1262" w:type="dxa"/>
                  <w:noWrap w:val="0"/>
                  <w:vAlign w:val="center"/>
                </w:tcPr>
                <w:p w14:paraId="6F8D03D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w:t>
                  </w:r>
                </w:p>
              </w:tc>
              <w:tc>
                <w:tcPr>
                  <w:tcW w:w="1436" w:type="dxa"/>
                  <w:noWrap w:val="0"/>
                  <w:vAlign w:val="center"/>
                </w:tcPr>
                <w:p w14:paraId="30B3B18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340</w:t>
                  </w:r>
                </w:p>
              </w:tc>
              <w:tc>
                <w:tcPr>
                  <w:tcW w:w="1436" w:type="dxa"/>
                  <w:noWrap w:val="0"/>
                  <w:vAlign w:val="center"/>
                </w:tcPr>
                <w:p w14:paraId="0B5F0BE1">
                  <w:pPr>
                    <w:jc w:val="center"/>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114°33′7.78″</w:t>
                  </w:r>
                </w:p>
                <w:p w14:paraId="7603C63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35°32′17.7</w:t>
                  </w:r>
                  <w:r>
                    <w:rPr>
                      <w:rFonts w:hint="default" w:ascii="Times New Roman" w:hAnsi="Times New Roman" w:eastAsia="宋体" w:cs="Times New Roman"/>
                      <w:i w:val="0"/>
                      <w:iCs w:val="0"/>
                      <w:caps w:val="0"/>
                      <w:color w:val="auto"/>
                      <w:spacing w:val="0"/>
                      <w:sz w:val="21"/>
                      <w:szCs w:val="21"/>
                      <w:shd w:val="clear" w:fill="FFFFFF"/>
                      <w:lang w:val="en-US" w:eastAsia="zh-CN"/>
                    </w:rPr>
                    <w:t>8</w:t>
                  </w:r>
                  <w:r>
                    <w:rPr>
                      <w:rFonts w:hint="default" w:ascii="Times New Roman" w:hAnsi="Times New Roman" w:eastAsia="宋体" w:cs="Times New Roman"/>
                      <w:i w:val="0"/>
                      <w:iCs w:val="0"/>
                      <w:caps w:val="0"/>
                      <w:color w:val="auto"/>
                      <w:spacing w:val="0"/>
                      <w:sz w:val="21"/>
                      <w:szCs w:val="21"/>
                      <w:shd w:val="clear" w:fill="FFFFFF"/>
                    </w:rPr>
                    <w:t>″</w:t>
                  </w:r>
                </w:p>
              </w:tc>
              <w:tc>
                <w:tcPr>
                  <w:tcW w:w="1436" w:type="dxa"/>
                  <w:noWrap w:val="0"/>
                  <w:vAlign w:val="center"/>
                </w:tcPr>
                <w:p w14:paraId="133F591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800</w:t>
                  </w:r>
                </w:p>
              </w:tc>
            </w:tr>
            <w:tr w14:paraId="36662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noWrap w:val="0"/>
                  <w:vAlign w:val="center"/>
                </w:tcPr>
                <w:p w14:paraId="26E4170E">
                  <w:pPr>
                    <w:snapToGrid w:val="0"/>
                    <w:jc w:val="center"/>
                    <w:rPr>
                      <w:rFonts w:hint="default" w:ascii="Times New Roman" w:hAnsi="Times New Roman" w:eastAsia="宋体" w:cs="Times New Roman"/>
                      <w:b w:val="0"/>
                      <w:bCs w:val="0"/>
                      <w:color w:val="auto"/>
                      <w:sz w:val="21"/>
                      <w:szCs w:val="21"/>
                    </w:rPr>
                  </w:pPr>
                </w:p>
              </w:tc>
              <w:tc>
                <w:tcPr>
                  <w:tcW w:w="1488" w:type="dxa"/>
                  <w:noWrap w:val="0"/>
                  <w:vAlign w:val="center"/>
                </w:tcPr>
                <w:p w14:paraId="1654591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水木春天</w:t>
                  </w:r>
                </w:p>
              </w:tc>
              <w:tc>
                <w:tcPr>
                  <w:tcW w:w="864" w:type="dxa"/>
                  <w:noWrap w:val="0"/>
                  <w:vAlign w:val="center"/>
                </w:tcPr>
                <w:p w14:paraId="7233F135">
                  <w:pPr>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二类区</w:t>
                  </w:r>
                </w:p>
              </w:tc>
              <w:tc>
                <w:tcPr>
                  <w:tcW w:w="1262" w:type="dxa"/>
                  <w:noWrap w:val="0"/>
                  <w:vAlign w:val="center"/>
                </w:tcPr>
                <w:p w14:paraId="6710B9B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w:t>
                  </w:r>
                </w:p>
              </w:tc>
              <w:tc>
                <w:tcPr>
                  <w:tcW w:w="1436" w:type="dxa"/>
                  <w:noWrap w:val="0"/>
                  <w:vAlign w:val="center"/>
                </w:tcPr>
                <w:p w14:paraId="0C2EA2E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436" w:type="dxa"/>
                  <w:noWrap w:val="0"/>
                  <w:vAlign w:val="center"/>
                </w:tcPr>
                <w:p w14:paraId="53A9244E">
                  <w:pPr>
                    <w:jc w:val="center"/>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114°32′50.63″</w:t>
                  </w:r>
                </w:p>
                <w:p w14:paraId="5535BD6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35°32′1.2</w:t>
                  </w:r>
                  <w:r>
                    <w:rPr>
                      <w:rFonts w:hint="default" w:ascii="Times New Roman" w:hAnsi="Times New Roman" w:eastAsia="宋体" w:cs="Times New Roman"/>
                      <w:i w:val="0"/>
                      <w:iCs w:val="0"/>
                      <w:caps w:val="0"/>
                      <w:color w:val="auto"/>
                      <w:spacing w:val="0"/>
                      <w:sz w:val="21"/>
                      <w:szCs w:val="21"/>
                      <w:shd w:val="clear" w:fill="FFFFFF"/>
                      <w:lang w:val="en-US" w:eastAsia="zh-CN"/>
                    </w:rPr>
                    <w:t>5</w:t>
                  </w:r>
                  <w:r>
                    <w:rPr>
                      <w:rFonts w:hint="default" w:ascii="Times New Roman" w:hAnsi="Times New Roman" w:eastAsia="宋体" w:cs="Times New Roman"/>
                      <w:i w:val="0"/>
                      <w:iCs w:val="0"/>
                      <w:caps w:val="0"/>
                      <w:color w:val="auto"/>
                      <w:spacing w:val="0"/>
                      <w:sz w:val="21"/>
                      <w:szCs w:val="21"/>
                      <w:shd w:val="clear" w:fill="FFFFFF"/>
                    </w:rPr>
                    <w:t>″</w:t>
                  </w:r>
                </w:p>
              </w:tc>
              <w:tc>
                <w:tcPr>
                  <w:tcW w:w="1436" w:type="dxa"/>
                  <w:noWrap w:val="0"/>
                  <w:vAlign w:val="center"/>
                </w:tcPr>
                <w:p w14:paraId="490DAE1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r>
            <w:tr w14:paraId="01CC6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noWrap w:val="0"/>
                  <w:vAlign w:val="center"/>
                </w:tcPr>
                <w:p w14:paraId="42E39C00">
                  <w:pPr>
                    <w:snapToGrid w:val="0"/>
                    <w:jc w:val="center"/>
                    <w:rPr>
                      <w:rFonts w:hint="default" w:ascii="Times New Roman" w:hAnsi="Times New Roman" w:eastAsia="宋体" w:cs="Times New Roman"/>
                      <w:b w:val="0"/>
                      <w:bCs w:val="0"/>
                      <w:color w:val="auto"/>
                      <w:sz w:val="21"/>
                      <w:szCs w:val="21"/>
                    </w:rPr>
                  </w:pPr>
                </w:p>
              </w:tc>
              <w:tc>
                <w:tcPr>
                  <w:tcW w:w="1488" w:type="dxa"/>
                  <w:noWrap w:val="0"/>
                  <w:vAlign w:val="center"/>
                </w:tcPr>
                <w:p w14:paraId="29FEDEB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锦和</w:t>
                  </w:r>
                </w:p>
              </w:tc>
              <w:tc>
                <w:tcPr>
                  <w:tcW w:w="864" w:type="dxa"/>
                  <w:noWrap w:val="0"/>
                  <w:vAlign w:val="center"/>
                </w:tcPr>
                <w:p w14:paraId="4D95AA90">
                  <w:pPr>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二类区</w:t>
                  </w:r>
                </w:p>
              </w:tc>
              <w:tc>
                <w:tcPr>
                  <w:tcW w:w="1262" w:type="dxa"/>
                  <w:noWrap w:val="0"/>
                  <w:vAlign w:val="center"/>
                </w:tcPr>
                <w:p w14:paraId="77D641D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1436" w:type="dxa"/>
                  <w:noWrap w:val="0"/>
                  <w:vAlign w:val="center"/>
                </w:tcPr>
                <w:p w14:paraId="1B3152B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w:t>
                  </w:r>
                </w:p>
              </w:tc>
              <w:tc>
                <w:tcPr>
                  <w:tcW w:w="1436" w:type="dxa"/>
                  <w:noWrap w:val="0"/>
                  <w:vAlign w:val="center"/>
                </w:tcPr>
                <w:p w14:paraId="0AEE1FD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114°32′42.21″</w:t>
                  </w:r>
                  <w:r>
                    <w:rPr>
                      <w:rFonts w:hint="default" w:ascii="Times New Roman" w:hAnsi="Times New Roman" w:eastAsia="宋体" w:cs="Times New Roman"/>
                      <w:color w:val="auto"/>
                      <w:sz w:val="21"/>
                      <w:szCs w:val="21"/>
                      <w:lang w:val="en-US" w:eastAsia="zh-CN"/>
                    </w:rPr>
                    <w:t>,</w:t>
                  </w:r>
                </w:p>
                <w:p w14:paraId="1D7E855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35°31′43.71″</w:t>
                  </w:r>
                </w:p>
              </w:tc>
              <w:tc>
                <w:tcPr>
                  <w:tcW w:w="1436" w:type="dxa"/>
                  <w:noWrap w:val="0"/>
                  <w:vAlign w:val="center"/>
                </w:tcPr>
                <w:p w14:paraId="2F79BF5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900</w:t>
                  </w:r>
                </w:p>
              </w:tc>
            </w:tr>
            <w:tr w14:paraId="2C8CE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noWrap w:val="0"/>
                  <w:vAlign w:val="center"/>
                </w:tcPr>
                <w:p w14:paraId="49502262">
                  <w:pPr>
                    <w:snapToGrid w:val="0"/>
                    <w:jc w:val="center"/>
                    <w:rPr>
                      <w:rFonts w:hint="default" w:ascii="Times New Roman" w:hAnsi="Times New Roman" w:eastAsia="宋体" w:cs="Times New Roman"/>
                      <w:b w:val="0"/>
                      <w:bCs w:val="0"/>
                      <w:color w:val="auto"/>
                      <w:sz w:val="21"/>
                      <w:szCs w:val="21"/>
                    </w:rPr>
                  </w:pPr>
                </w:p>
              </w:tc>
              <w:tc>
                <w:tcPr>
                  <w:tcW w:w="1488" w:type="dxa"/>
                  <w:noWrap w:val="0"/>
                  <w:vAlign w:val="center"/>
                </w:tcPr>
                <w:p w14:paraId="63BC631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五里铺村</w:t>
                  </w:r>
                </w:p>
              </w:tc>
              <w:tc>
                <w:tcPr>
                  <w:tcW w:w="864" w:type="dxa"/>
                  <w:noWrap w:val="0"/>
                  <w:vAlign w:val="center"/>
                </w:tcPr>
                <w:p w14:paraId="22701498">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二类区</w:t>
                  </w:r>
                </w:p>
              </w:tc>
              <w:tc>
                <w:tcPr>
                  <w:tcW w:w="1262" w:type="dxa"/>
                  <w:noWrap w:val="0"/>
                  <w:vAlign w:val="center"/>
                </w:tcPr>
                <w:p w14:paraId="542D257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1436" w:type="dxa"/>
                  <w:noWrap w:val="0"/>
                  <w:vAlign w:val="center"/>
                </w:tcPr>
                <w:p w14:paraId="18DE3D7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490</w:t>
                  </w:r>
                </w:p>
              </w:tc>
              <w:tc>
                <w:tcPr>
                  <w:tcW w:w="1436" w:type="dxa"/>
                  <w:noWrap w:val="0"/>
                  <w:vAlign w:val="center"/>
                </w:tcPr>
                <w:p w14:paraId="334F8CF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114°33′34.5</w:t>
                  </w:r>
                  <w:r>
                    <w:rPr>
                      <w:rFonts w:hint="default" w:ascii="Times New Roman" w:hAnsi="Times New Roman" w:eastAsia="宋体" w:cs="Times New Roman"/>
                      <w:i w:val="0"/>
                      <w:iCs w:val="0"/>
                      <w:caps w:val="0"/>
                      <w:color w:val="auto"/>
                      <w:spacing w:val="0"/>
                      <w:sz w:val="21"/>
                      <w:szCs w:val="21"/>
                      <w:shd w:val="clear" w:fill="FFFFFF"/>
                      <w:lang w:val="en-US" w:eastAsia="zh-CN"/>
                    </w:rPr>
                    <w:t>9</w:t>
                  </w:r>
                  <w:r>
                    <w:rPr>
                      <w:rFonts w:hint="default" w:ascii="Times New Roman" w:hAnsi="Times New Roman" w:eastAsia="宋体" w:cs="Times New Roman"/>
                      <w:i w:val="0"/>
                      <w:iCs w:val="0"/>
                      <w:caps w:val="0"/>
                      <w:color w:val="auto"/>
                      <w:spacing w:val="0"/>
                      <w:sz w:val="21"/>
                      <w:szCs w:val="21"/>
                      <w:shd w:val="clear" w:fill="FFFFFF"/>
                    </w:rPr>
                    <w:t>″</w:t>
                  </w:r>
                  <w:r>
                    <w:rPr>
                      <w:rFonts w:hint="default" w:ascii="Times New Roman" w:hAnsi="Times New Roman" w:eastAsia="宋体" w:cs="Times New Roman"/>
                      <w:color w:val="auto"/>
                      <w:sz w:val="21"/>
                      <w:szCs w:val="21"/>
                      <w:lang w:val="en-US" w:eastAsia="zh-CN"/>
                    </w:rPr>
                    <w:t>,</w:t>
                  </w:r>
                </w:p>
                <w:p w14:paraId="570AD4B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35°31′45.64″</w:t>
                  </w:r>
                </w:p>
              </w:tc>
              <w:tc>
                <w:tcPr>
                  <w:tcW w:w="1436" w:type="dxa"/>
                  <w:noWrap w:val="0"/>
                  <w:vAlign w:val="center"/>
                </w:tcPr>
                <w:p w14:paraId="79FD9D1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2000</w:t>
                  </w:r>
                </w:p>
              </w:tc>
            </w:tr>
            <w:tr w14:paraId="31EF9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noWrap w:val="0"/>
                  <w:vAlign w:val="center"/>
                </w:tcPr>
                <w:p w14:paraId="0D0AC0FB">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声环境</w:t>
                  </w:r>
                </w:p>
              </w:tc>
              <w:tc>
                <w:tcPr>
                  <w:tcW w:w="1488" w:type="dxa"/>
                  <w:noWrap w:val="0"/>
                  <w:vAlign w:val="center"/>
                </w:tcPr>
                <w:p w14:paraId="65EDA7B7">
                  <w:pPr>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美好生活二期</w:t>
                  </w:r>
                </w:p>
              </w:tc>
              <w:tc>
                <w:tcPr>
                  <w:tcW w:w="864" w:type="dxa"/>
                  <w:noWrap w:val="0"/>
                  <w:vAlign w:val="center"/>
                </w:tcPr>
                <w:p w14:paraId="2F36D1BE">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类</w:t>
                  </w:r>
                </w:p>
              </w:tc>
              <w:tc>
                <w:tcPr>
                  <w:tcW w:w="1262" w:type="dxa"/>
                  <w:noWrap w:val="0"/>
                  <w:vAlign w:val="center"/>
                </w:tcPr>
                <w:p w14:paraId="3073A6C0">
                  <w:pPr>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E</w:t>
                  </w:r>
                </w:p>
              </w:tc>
              <w:tc>
                <w:tcPr>
                  <w:tcW w:w="1436" w:type="dxa"/>
                  <w:noWrap w:val="0"/>
                  <w:vAlign w:val="center"/>
                </w:tcPr>
                <w:p w14:paraId="6032D761">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40</w:t>
                  </w:r>
                </w:p>
              </w:tc>
              <w:tc>
                <w:tcPr>
                  <w:tcW w:w="1436" w:type="dxa"/>
                  <w:noWrap w:val="0"/>
                  <w:vAlign w:val="center"/>
                </w:tcPr>
                <w:p w14:paraId="059F921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114°33′19.02″</w:t>
                  </w:r>
                  <w:r>
                    <w:rPr>
                      <w:rFonts w:hint="default" w:ascii="Times New Roman" w:hAnsi="Times New Roman" w:eastAsia="宋体" w:cs="Times New Roman"/>
                      <w:color w:val="auto"/>
                      <w:sz w:val="21"/>
                      <w:szCs w:val="21"/>
                      <w:lang w:val="en-US" w:eastAsia="zh-CN"/>
                    </w:rPr>
                    <w:t>,</w:t>
                  </w:r>
                </w:p>
                <w:p w14:paraId="7B219E57">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35°32′0.20″</w:t>
                  </w:r>
                </w:p>
              </w:tc>
              <w:tc>
                <w:tcPr>
                  <w:tcW w:w="1436" w:type="dxa"/>
                  <w:noWrap w:val="0"/>
                  <w:vAlign w:val="center"/>
                </w:tcPr>
                <w:p w14:paraId="3AB06EF1">
                  <w:pPr>
                    <w:snapToGrid w:val="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r>
            <w:tr w14:paraId="41618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noWrap w:val="0"/>
                  <w:vAlign w:val="center"/>
                </w:tcPr>
                <w:p w14:paraId="540AD23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地表水</w:t>
                  </w:r>
                </w:p>
              </w:tc>
              <w:tc>
                <w:tcPr>
                  <w:tcW w:w="1488" w:type="dxa"/>
                  <w:noWrap w:val="0"/>
                  <w:vAlign w:val="center"/>
                </w:tcPr>
                <w:p w14:paraId="1CB13911">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大宫河</w:t>
                  </w:r>
                </w:p>
              </w:tc>
              <w:tc>
                <w:tcPr>
                  <w:tcW w:w="864" w:type="dxa"/>
                  <w:noWrap w:val="0"/>
                  <w:vAlign w:val="center"/>
                </w:tcPr>
                <w:p w14:paraId="3FE16A34">
                  <w:pPr>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Ⅲ</w:t>
                  </w:r>
                  <w:r>
                    <w:rPr>
                      <w:rFonts w:hint="default" w:ascii="Times New Roman" w:hAnsi="Times New Roman" w:eastAsia="宋体" w:cs="Times New Roman"/>
                      <w:color w:val="auto"/>
                      <w:sz w:val="21"/>
                      <w:szCs w:val="21"/>
                    </w:rPr>
                    <w:t>类</w:t>
                  </w:r>
                </w:p>
              </w:tc>
              <w:tc>
                <w:tcPr>
                  <w:tcW w:w="1262" w:type="dxa"/>
                  <w:noWrap w:val="0"/>
                  <w:vAlign w:val="center"/>
                </w:tcPr>
                <w:p w14:paraId="125D8795">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w:t>
                  </w:r>
                </w:p>
              </w:tc>
              <w:tc>
                <w:tcPr>
                  <w:tcW w:w="1436" w:type="dxa"/>
                  <w:noWrap w:val="0"/>
                  <w:vAlign w:val="center"/>
                </w:tcPr>
                <w:p w14:paraId="160D2FC0">
                  <w:pPr>
                    <w:snapToGrid w:val="0"/>
                    <w:jc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lang w:val="en-US" w:eastAsia="zh-CN"/>
                    </w:rPr>
                    <w:t>5300</w:t>
                  </w:r>
                </w:p>
              </w:tc>
              <w:tc>
                <w:tcPr>
                  <w:tcW w:w="1436" w:type="dxa"/>
                  <w:noWrap w:val="0"/>
                  <w:vAlign w:val="center"/>
                </w:tcPr>
                <w:p w14:paraId="3E67EAB4">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436" w:type="dxa"/>
                  <w:noWrap w:val="0"/>
                  <w:vAlign w:val="center"/>
                </w:tcPr>
                <w:p w14:paraId="5AD50F80">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r>
          </w:tbl>
          <w:p w14:paraId="72362D84">
            <w:pPr>
              <w:snapToGrid w:val="0"/>
              <w:jc w:val="left"/>
              <w:rPr>
                <w:rFonts w:hint="default" w:ascii="Times New Roman" w:hAnsi="Times New Roman" w:eastAsia="宋体" w:cs="Times New Roman"/>
                <w:color w:val="auto"/>
                <w:szCs w:val="21"/>
              </w:rPr>
            </w:pPr>
          </w:p>
        </w:tc>
      </w:tr>
      <w:tr w14:paraId="3E0C5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1" w:hRule="atLeast"/>
        </w:trPr>
        <w:tc>
          <w:tcPr>
            <w:tcW w:w="924" w:type="dxa"/>
            <w:tcBorders>
              <w:top w:val="single" w:color="auto" w:sz="4" w:space="0"/>
            </w:tcBorders>
            <w:noWrap w:val="0"/>
            <w:vAlign w:val="center"/>
          </w:tcPr>
          <w:p w14:paraId="1E3A7A3E">
            <w:pPr>
              <w:spacing w:line="400" w:lineRule="exact"/>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污染物排放控制标准</w:t>
            </w:r>
          </w:p>
        </w:tc>
        <w:tc>
          <w:tcPr>
            <w:tcW w:w="8544" w:type="dxa"/>
            <w:tcBorders>
              <w:top w:val="single" w:color="auto" w:sz="4" w:space="0"/>
            </w:tcBorders>
            <w:noWrap w:val="0"/>
            <w:vAlign w:val="top"/>
          </w:tcPr>
          <w:p w14:paraId="494811AC">
            <w:pPr>
              <w:numPr>
                <w:ilvl w:val="0"/>
                <w:numId w:val="0"/>
              </w:numPr>
              <w:spacing w:line="560" w:lineRule="exact"/>
              <w:ind w:firstLine="482" w:firstLineChars="200"/>
              <w:rPr>
                <w:rFonts w:hint="default" w:ascii="Times New Roman" w:hAnsi="Times New Roman" w:eastAsia="宋体" w:cs="Times New Roman"/>
                <w:b/>
                <w:bCs/>
                <w:i w:val="0"/>
                <w:iCs w:val="0"/>
                <w:color w:val="auto"/>
                <w:sz w:val="24"/>
                <w:lang w:eastAsia="zh-CN"/>
              </w:rPr>
            </w:pP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eastAsia="zh-CN"/>
              </w:rPr>
              <w:t>废气排放标准</w:t>
            </w:r>
          </w:p>
          <w:p w14:paraId="76987BD2">
            <w:pPr>
              <w:numPr>
                <w:ilvl w:val="0"/>
                <w:numId w:val="0"/>
              </w:numPr>
              <w:spacing w:line="560" w:lineRule="exact"/>
              <w:jc w:val="center"/>
              <w:rPr>
                <w:rFonts w:hint="default" w:ascii="Times New Roman" w:hAnsi="Times New Roman" w:eastAsia="宋体" w:cs="Times New Roman"/>
                <w:b w:val="0"/>
                <w:bCs w:val="0"/>
                <w:i w:val="0"/>
                <w:iCs w:val="0"/>
                <w:color w:val="auto"/>
                <w:sz w:val="24"/>
                <w:lang w:eastAsia="zh-CN"/>
              </w:rPr>
            </w:pPr>
            <w:r>
              <w:rPr>
                <w:rFonts w:hint="default" w:ascii="Times New Roman" w:hAnsi="Times New Roman" w:eastAsia="宋体" w:cs="Times New Roman"/>
                <w:b w:val="0"/>
                <w:bCs w:val="0"/>
                <w:i w:val="0"/>
                <w:iCs w:val="0"/>
                <w:color w:val="auto"/>
                <w:sz w:val="24"/>
                <w:lang w:eastAsia="zh-CN"/>
              </w:rPr>
              <w:t>表</w:t>
            </w:r>
            <w:r>
              <w:rPr>
                <w:rFonts w:hint="default" w:ascii="Times New Roman" w:hAnsi="Times New Roman" w:eastAsia="宋体" w:cs="Times New Roman"/>
                <w:b w:val="0"/>
                <w:bCs w:val="0"/>
                <w:i w:val="0"/>
                <w:iCs w:val="0"/>
                <w:color w:val="auto"/>
                <w:sz w:val="24"/>
                <w:lang w:val="en-US" w:eastAsia="zh-CN"/>
              </w:rPr>
              <w:t>3-5废气污染物排放标准</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5"/>
              <w:gridCol w:w="946"/>
              <w:gridCol w:w="1081"/>
              <w:gridCol w:w="645"/>
              <w:gridCol w:w="1441"/>
              <w:gridCol w:w="1534"/>
            </w:tblGrid>
            <w:tr w14:paraId="3B88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92" w:type="pct"/>
                  <w:vAlign w:val="center"/>
                </w:tcPr>
                <w:p w14:paraId="5B67871F">
                  <w:pPr>
                    <w:spacing w:line="240" w:lineRule="auto"/>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标准名称</w:t>
                  </w:r>
                </w:p>
              </w:tc>
              <w:tc>
                <w:tcPr>
                  <w:tcW w:w="537" w:type="pct"/>
                  <w:vAlign w:val="center"/>
                </w:tcPr>
                <w:p w14:paraId="428A05CE">
                  <w:pPr>
                    <w:spacing w:line="240" w:lineRule="auto"/>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污染物</w:t>
                  </w:r>
                </w:p>
              </w:tc>
              <w:tc>
                <w:tcPr>
                  <w:tcW w:w="614" w:type="pct"/>
                  <w:vAlign w:val="center"/>
                </w:tcPr>
                <w:p w14:paraId="119E098D">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排放方式</w:t>
                  </w:r>
                </w:p>
              </w:tc>
              <w:tc>
                <w:tcPr>
                  <w:tcW w:w="366" w:type="pct"/>
                  <w:vAlign w:val="center"/>
                </w:tcPr>
                <w:p w14:paraId="2746D74B">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p>
              </w:tc>
              <w:tc>
                <w:tcPr>
                  <w:tcW w:w="818" w:type="pct"/>
                  <w:vAlign w:val="center"/>
                </w:tcPr>
                <w:p w14:paraId="7ED10CEF">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vertAlign w:val="baseline"/>
                      <w:lang w:eastAsia="zh-CN"/>
                    </w:rPr>
                    <w:t>最高允许排放浓度（</w:t>
                  </w:r>
                  <w:r>
                    <w:rPr>
                      <w:rFonts w:hint="default" w:ascii="Times New Roman" w:hAnsi="Times New Roman" w:eastAsia="宋体" w:cs="Times New Roman"/>
                      <w:color w:val="auto"/>
                      <w:vertAlign w:val="baseline"/>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vertAlign w:val="baseline"/>
                      <w:lang w:eastAsia="zh-CN"/>
                    </w:rPr>
                    <w:t>）</w:t>
                  </w:r>
                </w:p>
              </w:tc>
              <w:tc>
                <w:tcPr>
                  <w:tcW w:w="871" w:type="pct"/>
                  <w:vAlign w:val="center"/>
                </w:tcPr>
                <w:p w14:paraId="472791A5">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vertAlign w:val="baseline"/>
                      <w:lang w:val="en-US" w:eastAsia="zh-CN"/>
                    </w:rPr>
                    <w:t>最高允许排放速率（kg/h）</w:t>
                  </w:r>
                </w:p>
              </w:tc>
            </w:tr>
            <w:tr w14:paraId="64A1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792" w:type="pct"/>
                  <w:vMerge w:val="restart"/>
                  <w:vAlign w:val="center"/>
                </w:tcPr>
                <w:p w14:paraId="59F0AFAF">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《大气污染物综合排放标准》</w:t>
                  </w:r>
                </w:p>
                <w:p w14:paraId="58DE0A1D">
                  <w:pPr>
                    <w:spacing w:line="240" w:lineRule="auto"/>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val="en-US" w:eastAsia="zh-CN"/>
                    </w:rPr>
                    <w:t>（GB16297-1996）</w:t>
                  </w:r>
                </w:p>
              </w:tc>
              <w:tc>
                <w:tcPr>
                  <w:tcW w:w="537" w:type="pct"/>
                  <w:vMerge w:val="restart"/>
                  <w:vAlign w:val="center"/>
                </w:tcPr>
                <w:p w14:paraId="20B419D9">
                  <w:pPr>
                    <w:spacing w:line="240" w:lineRule="auto"/>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颗粒物</w:t>
                  </w:r>
                </w:p>
              </w:tc>
              <w:tc>
                <w:tcPr>
                  <w:tcW w:w="614" w:type="pct"/>
                  <w:vAlign w:val="center"/>
                </w:tcPr>
                <w:p w14:paraId="5F30F8D6">
                  <w:pPr>
                    <w:spacing w:line="240" w:lineRule="auto"/>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有组织</w:t>
                  </w:r>
                </w:p>
              </w:tc>
              <w:tc>
                <w:tcPr>
                  <w:tcW w:w="366" w:type="pct"/>
                  <w:vAlign w:val="center"/>
                </w:tcPr>
                <w:p w14:paraId="5CC6C764">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eastAsia="zh-CN"/>
                    </w:rPr>
                    <w:t>表</w:t>
                  </w:r>
                  <w:r>
                    <w:rPr>
                      <w:rFonts w:hint="default" w:ascii="Times New Roman" w:hAnsi="Times New Roman" w:eastAsia="宋体" w:cs="Times New Roman"/>
                      <w:color w:val="auto"/>
                      <w:vertAlign w:val="baseline"/>
                      <w:lang w:val="en-US" w:eastAsia="zh-CN"/>
                    </w:rPr>
                    <w:t>2</w:t>
                  </w:r>
                </w:p>
              </w:tc>
              <w:tc>
                <w:tcPr>
                  <w:tcW w:w="818" w:type="pct"/>
                  <w:vAlign w:val="center"/>
                </w:tcPr>
                <w:p w14:paraId="2C994C56">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120</w:t>
                  </w:r>
                </w:p>
              </w:tc>
              <w:tc>
                <w:tcPr>
                  <w:tcW w:w="871" w:type="pct"/>
                  <w:vAlign w:val="center"/>
                </w:tcPr>
                <w:p w14:paraId="4770C31A">
                  <w:pPr>
                    <w:spacing w:line="240" w:lineRule="auto"/>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15m 高排气筒 3.5kg/h</w:t>
                  </w:r>
                </w:p>
              </w:tc>
            </w:tr>
            <w:tr w14:paraId="3A08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792" w:type="pct"/>
                  <w:vMerge w:val="continue"/>
                  <w:vAlign w:val="center"/>
                </w:tcPr>
                <w:p w14:paraId="6144AA31">
                  <w:pPr>
                    <w:spacing w:line="240" w:lineRule="auto"/>
                    <w:jc w:val="center"/>
                    <w:rPr>
                      <w:rFonts w:hint="default" w:ascii="Times New Roman" w:hAnsi="Times New Roman" w:eastAsia="宋体" w:cs="Times New Roman"/>
                      <w:color w:val="auto"/>
                    </w:rPr>
                  </w:pPr>
                </w:p>
              </w:tc>
              <w:tc>
                <w:tcPr>
                  <w:tcW w:w="537" w:type="pct"/>
                  <w:vMerge w:val="continue"/>
                  <w:vAlign w:val="center"/>
                </w:tcPr>
                <w:p w14:paraId="3F8C7138">
                  <w:pPr>
                    <w:spacing w:line="240" w:lineRule="auto"/>
                    <w:jc w:val="center"/>
                    <w:rPr>
                      <w:rFonts w:hint="default" w:ascii="Times New Roman" w:hAnsi="Times New Roman" w:eastAsia="宋体" w:cs="Times New Roman"/>
                      <w:color w:val="auto"/>
                    </w:rPr>
                  </w:pPr>
                </w:p>
              </w:tc>
              <w:tc>
                <w:tcPr>
                  <w:tcW w:w="614" w:type="pct"/>
                  <w:vAlign w:val="center"/>
                </w:tcPr>
                <w:p w14:paraId="210CAB1C">
                  <w:pPr>
                    <w:spacing w:line="240" w:lineRule="auto"/>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无组织</w:t>
                  </w:r>
                </w:p>
              </w:tc>
              <w:tc>
                <w:tcPr>
                  <w:tcW w:w="366" w:type="pct"/>
                  <w:vAlign w:val="center"/>
                </w:tcPr>
                <w:p w14:paraId="4AD3C9C9">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eastAsia="zh-CN"/>
                    </w:rPr>
                    <w:t>表</w:t>
                  </w:r>
                  <w:r>
                    <w:rPr>
                      <w:rFonts w:hint="default" w:ascii="Times New Roman" w:hAnsi="Times New Roman" w:eastAsia="宋体" w:cs="Times New Roman"/>
                      <w:color w:val="auto"/>
                      <w:vertAlign w:val="baseline"/>
                      <w:lang w:val="en-US" w:eastAsia="zh-CN"/>
                    </w:rPr>
                    <w:t>2</w:t>
                  </w:r>
                </w:p>
              </w:tc>
              <w:tc>
                <w:tcPr>
                  <w:tcW w:w="1689" w:type="pct"/>
                  <w:gridSpan w:val="2"/>
                  <w:vAlign w:val="center"/>
                </w:tcPr>
                <w:p w14:paraId="3696F8F9">
                  <w:pPr>
                    <w:spacing w:line="240" w:lineRule="auto"/>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周界外最高浓度限值 1.0mg/m</w:t>
                  </w:r>
                  <w:r>
                    <w:rPr>
                      <w:rFonts w:hint="default" w:ascii="Times New Roman" w:hAnsi="Times New Roman" w:eastAsia="宋体" w:cs="Times New Roman"/>
                      <w:color w:val="auto"/>
                      <w:vertAlign w:val="superscript"/>
                      <w:lang w:eastAsia="zh-CN"/>
                    </w:rPr>
                    <w:t>3</w:t>
                  </w:r>
                </w:p>
              </w:tc>
            </w:tr>
            <w:tr w14:paraId="1A9B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92" w:type="pct"/>
                  <w:vAlign w:val="center"/>
                </w:tcPr>
                <w:p w14:paraId="0939BB01">
                  <w:pPr>
                    <w:spacing w:line="240" w:lineRule="auto"/>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rPr>
                    <w:t>安阳市《2019年推进全市工业企业超低排放深度治理实施方案》（安环攻坚办〔2019〕205号）</w:t>
                  </w:r>
                </w:p>
              </w:tc>
              <w:tc>
                <w:tcPr>
                  <w:tcW w:w="537" w:type="pct"/>
                  <w:vAlign w:val="center"/>
                </w:tcPr>
                <w:p w14:paraId="1CDE5ADB">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颗粒物</w:t>
                  </w:r>
                </w:p>
              </w:tc>
              <w:tc>
                <w:tcPr>
                  <w:tcW w:w="614" w:type="pct"/>
                  <w:vAlign w:val="center"/>
                </w:tcPr>
                <w:p w14:paraId="20421522">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有组织</w:t>
                  </w:r>
                </w:p>
              </w:tc>
              <w:tc>
                <w:tcPr>
                  <w:tcW w:w="366" w:type="pct"/>
                  <w:vAlign w:val="center"/>
                </w:tcPr>
                <w:p w14:paraId="399C88DE">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p>
              </w:tc>
              <w:tc>
                <w:tcPr>
                  <w:tcW w:w="1689" w:type="pct"/>
                  <w:gridSpan w:val="2"/>
                  <w:vAlign w:val="center"/>
                </w:tcPr>
                <w:p w14:paraId="12B3BE2C">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颗粒物排放浓度＜10mg/m</w:t>
                  </w:r>
                  <w:r>
                    <w:rPr>
                      <w:rFonts w:hint="default" w:ascii="Times New Roman" w:hAnsi="Times New Roman" w:eastAsia="宋体" w:cs="Times New Roman"/>
                      <w:color w:val="auto"/>
                      <w:vertAlign w:val="superscript"/>
                      <w:lang w:val="en-US" w:eastAsia="zh-CN"/>
                    </w:rPr>
                    <w:t>3</w:t>
                  </w:r>
                </w:p>
              </w:tc>
            </w:tr>
            <w:tr w14:paraId="2FD5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92" w:type="pct"/>
                  <w:vAlign w:val="center"/>
                </w:tcPr>
                <w:p w14:paraId="361B9CBF">
                  <w:pPr>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《安阳市环境污染防治攻坚战指挥办公室关于印发&lt;安阳市2019 年工业大气污染</w:t>
                  </w:r>
                </w:p>
                <w:p w14:paraId="14ECF284">
                  <w:pPr>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治理5个专项实施方案&gt;的通知》（安环攻坚办〔2019〕196 号）</w:t>
                  </w:r>
                </w:p>
              </w:tc>
              <w:tc>
                <w:tcPr>
                  <w:tcW w:w="537" w:type="pct"/>
                  <w:vAlign w:val="center"/>
                </w:tcPr>
                <w:p w14:paraId="0921B624">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颗粒物</w:t>
                  </w:r>
                </w:p>
              </w:tc>
              <w:tc>
                <w:tcPr>
                  <w:tcW w:w="614" w:type="pct"/>
                  <w:vAlign w:val="center"/>
                </w:tcPr>
                <w:p w14:paraId="25CED487">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无组织</w:t>
                  </w:r>
                </w:p>
              </w:tc>
              <w:tc>
                <w:tcPr>
                  <w:tcW w:w="366" w:type="pct"/>
                  <w:vAlign w:val="center"/>
                </w:tcPr>
                <w:p w14:paraId="48542C0C">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p>
              </w:tc>
              <w:tc>
                <w:tcPr>
                  <w:tcW w:w="1689" w:type="pct"/>
                  <w:gridSpan w:val="2"/>
                  <w:vAlign w:val="center"/>
                </w:tcPr>
                <w:p w14:paraId="4E292A1B">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厂界无组织颗粒物浓度＜0.5mg/m</w:t>
                  </w:r>
                  <w:r>
                    <w:rPr>
                      <w:rFonts w:hint="default" w:ascii="Times New Roman" w:hAnsi="Times New Roman" w:eastAsia="宋体" w:cs="Times New Roman"/>
                      <w:color w:val="auto"/>
                      <w:vertAlign w:val="superscript"/>
                      <w:lang w:val="en-US" w:eastAsia="zh-CN"/>
                    </w:rPr>
                    <w:t>3</w:t>
                  </w:r>
                </w:p>
                <w:p w14:paraId="1C5A140B">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无组织（产尘点1m处）＜2.0mg/m</w:t>
                  </w:r>
                  <w:r>
                    <w:rPr>
                      <w:rFonts w:hint="default" w:ascii="Times New Roman" w:hAnsi="Times New Roman" w:eastAsia="宋体" w:cs="Times New Roman"/>
                      <w:color w:val="auto"/>
                      <w:vertAlign w:val="superscript"/>
                      <w:lang w:val="en-US" w:eastAsia="zh-CN"/>
                    </w:rPr>
                    <w:t>3</w:t>
                  </w:r>
                </w:p>
              </w:tc>
            </w:tr>
          </w:tbl>
          <w:p w14:paraId="7BCBCB61">
            <w:pPr>
              <w:pStyle w:val="6"/>
              <w:pageBreakBefore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b/>
                <w:bCs/>
                <w:i w:val="0"/>
                <w:iCs w:val="0"/>
                <w:color w:val="auto"/>
                <w:sz w:val="24"/>
                <w:lang w:eastAsia="zh-CN"/>
              </w:rPr>
            </w:pPr>
            <w:r>
              <w:rPr>
                <w:rFonts w:hint="default" w:ascii="Times New Roman" w:hAnsi="Times New Roman" w:eastAsia="宋体" w:cs="Times New Roman"/>
                <w:b/>
                <w:bCs/>
                <w:i w:val="0"/>
                <w:iCs w:val="0"/>
                <w:color w:val="auto"/>
                <w:sz w:val="24"/>
                <w:lang w:val="en-US" w:eastAsia="zh-CN"/>
              </w:rPr>
              <w:t>2、</w:t>
            </w:r>
            <w:r>
              <w:rPr>
                <w:rFonts w:hint="default" w:ascii="Times New Roman" w:hAnsi="Times New Roman" w:eastAsia="宋体" w:cs="Times New Roman"/>
                <w:b/>
                <w:bCs/>
                <w:i w:val="0"/>
                <w:iCs w:val="0"/>
                <w:color w:val="auto"/>
                <w:sz w:val="24"/>
                <w:lang w:eastAsia="zh-CN"/>
              </w:rPr>
              <w:t>噪声执行标准</w:t>
            </w:r>
          </w:p>
          <w:p w14:paraId="616D0EE5">
            <w:pPr>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 xml:space="preserve">项目厂界噪声排放执行《工业企业厂界环境噪声排放标准》（GB12348-2008）中的 </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 xml:space="preserve"> 类标准，见表 3-</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p>
          <w:p w14:paraId="17A59545">
            <w:pPr>
              <w:numPr>
                <w:ilvl w:val="0"/>
                <w:numId w:val="0"/>
              </w:numPr>
              <w:ind w:firstLine="480" w:firstLineChars="20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3-6</w:t>
            </w:r>
            <w:r>
              <w:rPr>
                <w:rFonts w:hint="default" w:ascii="Times New Roman" w:hAnsi="Times New Roman" w:eastAsia="宋体" w:cs="Times New Roman"/>
                <w:color w:val="auto"/>
                <w:sz w:val="24"/>
                <w:szCs w:val="24"/>
                <w:lang w:eastAsia="zh-CN"/>
              </w:rPr>
              <w:t>噪声排放标准一览表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9"/>
              <w:gridCol w:w="1700"/>
              <w:gridCol w:w="1909"/>
            </w:tblGrid>
            <w:tr w14:paraId="3348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Align w:val="center"/>
                </w:tcPr>
                <w:p w14:paraId="6A49231D">
                  <w:pPr>
                    <w:autoSpaceDE w:val="0"/>
                    <w:autoSpaceDN w:val="0"/>
                    <w:adjustRightInd w:val="0"/>
                    <w:spacing w:line="560" w:lineRule="exact"/>
                    <w:jc w:val="center"/>
                    <w:rPr>
                      <w:rFonts w:hint="default" w:ascii="Times New Roman" w:hAnsi="Times New Roman" w:eastAsia="宋体" w:cs="Times New Roman"/>
                      <w:b w:val="0"/>
                      <w:bCs w:val="0"/>
                      <w:i w:val="0"/>
                      <w:iCs w:val="0"/>
                      <w:color w:val="auto"/>
                      <w:sz w:val="21"/>
                      <w:szCs w:val="21"/>
                      <w:vertAlign w:val="baseline"/>
                      <w:lang w:eastAsia="zh-CN"/>
                    </w:rPr>
                  </w:pPr>
                  <w:r>
                    <w:rPr>
                      <w:rFonts w:hint="default" w:ascii="Times New Roman" w:hAnsi="Times New Roman" w:eastAsia="宋体" w:cs="Times New Roman"/>
                      <w:b w:val="0"/>
                      <w:bCs w:val="0"/>
                      <w:i w:val="0"/>
                      <w:iCs w:val="0"/>
                      <w:color w:val="auto"/>
                      <w:sz w:val="21"/>
                      <w:szCs w:val="21"/>
                      <w:vertAlign w:val="baseline"/>
                      <w:lang w:eastAsia="zh-CN"/>
                    </w:rPr>
                    <w:t>标准名称</w:t>
                  </w:r>
                </w:p>
              </w:tc>
              <w:tc>
                <w:tcPr>
                  <w:tcW w:w="1700" w:type="dxa"/>
                  <w:vAlign w:val="center"/>
                </w:tcPr>
                <w:p w14:paraId="2BF6A2B4">
                  <w:pPr>
                    <w:autoSpaceDE w:val="0"/>
                    <w:autoSpaceDN w:val="0"/>
                    <w:adjustRightInd w:val="0"/>
                    <w:spacing w:line="560" w:lineRule="exact"/>
                    <w:jc w:val="center"/>
                    <w:rPr>
                      <w:rFonts w:hint="default" w:ascii="Times New Roman" w:hAnsi="Times New Roman" w:eastAsia="宋体" w:cs="Times New Roman"/>
                      <w:b w:val="0"/>
                      <w:bCs w:val="0"/>
                      <w:i w:val="0"/>
                      <w:iCs w:val="0"/>
                      <w:color w:val="auto"/>
                      <w:sz w:val="21"/>
                      <w:szCs w:val="21"/>
                      <w:vertAlign w:val="baseline"/>
                      <w:lang w:eastAsia="zh-CN"/>
                    </w:rPr>
                  </w:pPr>
                  <w:r>
                    <w:rPr>
                      <w:rFonts w:hint="default" w:ascii="Times New Roman" w:hAnsi="Times New Roman" w:eastAsia="宋体" w:cs="Times New Roman"/>
                      <w:b w:val="0"/>
                      <w:bCs w:val="0"/>
                      <w:i w:val="0"/>
                      <w:iCs w:val="0"/>
                      <w:color w:val="auto"/>
                      <w:sz w:val="21"/>
                      <w:szCs w:val="21"/>
                      <w:vertAlign w:val="baseline"/>
                      <w:lang w:eastAsia="zh-CN"/>
                    </w:rPr>
                    <w:t>项目</w:t>
                  </w:r>
                </w:p>
              </w:tc>
              <w:tc>
                <w:tcPr>
                  <w:tcW w:w="1909" w:type="dxa"/>
                  <w:vAlign w:val="center"/>
                </w:tcPr>
                <w:p w14:paraId="747AD6F5">
                  <w:pPr>
                    <w:autoSpaceDE w:val="0"/>
                    <w:autoSpaceDN w:val="0"/>
                    <w:adjustRightInd w:val="0"/>
                    <w:spacing w:line="560" w:lineRule="exact"/>
                    <w:jc w:val="center"/>
                    <w:rPr>
                      <w:rFonts w:hint="default" w:ascii="Times New Roman" w:hAnsi="Times New Roman" w:eastAsia="宋体" w:cs="Times New Roman"/>
                      <w:b w:val="0"/>
                      <w:bCs w:val="0"/>
                      <w:i w:val="0"/>
                      <w:iCs w:val="0"/>
                      <w:color w:val="auto"/>
                      <w:sz w:val="21"/>
                      <w:szCs w:val="21"/>
                      <w:vertAlign w:val="baseline"/>
                      <w:lang w:eastAsia="zh-CN"/>
                    </w:rPr>
                  </w:pPr>
                  <w:r>
                    <w:rPr>
                      <w:rFonts w:hint="default" w:ascii="Times New Roman" w:hAnsi="Times New Roman" w:eastAsia="宋体" w:cs="Times New Roman"/>
                      <w:b w:val="0"/>
                      <w:bCs w:val="0"/>
                      <w:i w:val="0"/>
                      <w:iCs w:val="0"/>
                      <w:color w:val="auto"/>
                      <w:sz w:val="21"/>
                      <w:szCs w:val="21"/>
                      <w:vertAlign w:val="baseline"/>
                      <w:lang w:eastAsia="zh-CN"/>
                    </w:rPr>
                    <w:t>标准限值</w:t>
                  </w:r>
                </w:p>
              </w:tc>
            </w:tr>
            <w:tr w14:paraId="2740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709" w:type="dxa"/>
                  <w:vMerge w:val="restart"/>
                  <w:vAlign w:val="center"/>
                </w:tcPr>
                <w:p w14:paraId="73F2A384">
                  <w:pPr>
                    <w:autoSpaceDE w:val="0"/>
                    <w:autoSpaceDN w:val="0"/>
                    <w:adjustRightInd w:val="0"/>
                    <w:spacing w:line="560" w:lineRule="exact"/>
                    <w:jc w:val="center"/>
                    <w:rPr>
                      <w:rFonts w:hint="default" w:ascii="Times New Roman" w:hAnsi="Times New Roman" w:eastAsia="宋体" w:cs="Times New Roman"/>
                      <w:b w:val="0"/>
                      <w:bCs w:val="0"/>
                      <w:i w:val="0"/>
                      <w:iCs w:val="0"/>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zh-CN"/>
                    </w:rPr>
                    <w:t>工业企业厂界环境噪声排放标准》（GB12348-2008）中</w:t>
                  </w:r>
                  <w:r>
                    <w:rPr>
                      <w:rFonts w:hint="default" w:ascii="Times New Roman" w:hAnsi="Times New Roman" w:eastAsia="宋体" w:cs="Times New Roman"/>
                      <w:color w:val="auto"/>
                      <w:sz w:val="21"/>
                      <w:szCs w:val="21"/>
                      <w:lang w:val="en-US" w:eastAsia="zh-CN"/>
                    </w:rPr>
                    <w:t>3类标准</w:t>
                  </w:r>
                </w:p>
              </w:tc>
              <w:tc>
                <w:tcPr>
                  <w:tcW w:w="1700" w:type="dxa"/>
                  <w:vAlign w:val="center"/>
                </w:tcPr>
                <w:p w14:paraId="184CB804">
                  <w:pPr>
                    <w:autoSpaceDE w:val="0"/>
                    <w:autoSpaceDN w:val="0"/>
                    <w:adjustRightInd w:val="0"/>
                    <w:spacing w:line="560" w:lineRule="exact"/>
                    <w:jc w:val="center"/>
                    <w:rPr>
                      <w:rFonts w:hint="default" w:ascii="Times New Roman" w:hAnsi="Times New Roman" w:eastAsia="宋体" w:cs="Times New Roman"/>
                      <w:b w:val="0"/>
                      <w:bCs w:val="0"/>
                      <w:i w:val="0"/>
                      <w:iCs w:val="0"/>
                      <w:color w:val="auto"/>
                      <w:sz w:val="21"/>
                      <w:szCs w:val="21"/>
                      <w:vertAlign w:val="baseline"/>
                      <w:lang w:eastAsia="zh-CN"/>
                    </w:rPr>
                  </w:pPr>
                  <w:r>
                    <w:rPr>
                      <w:rFonts w:hint="default" w:ascii="Times New Roman" w:hAnsi="Times New Roman" w:eastAsia="宋体" w:cs="Times New Roman"/>
                      <w:b w:val="0"/>
                      <w:bCs w:val="0"/>
                      <w:i w:val="0"/>
                      <w:iCs w:val="0"/>
                      <w:color w:val="auto"/>
                      <w:sz w:val="21"/>
                      <w:szCs w:val="21"/>
                      <w:vertAlign w:val="baseline"/>
                      <w:lang w:eastAsia="zh-CN"/>
                    </w:rPr>
                    <w:t>昼间</w:t>
                  </w:r>
                </w:p>
              </w:tc>
              <w:tc>
                <w:tcPr>
                  <w:tcW w:w="1909" w:type="dxa"/>
                  <w:vAlign w:val="center"/>
                </w:tcPr>
                <w:p w14:paraId="20255E15">
                  <w:pPr>
                    <w:autoSpaceDE w:val="0"/>
                    <w:autoSpaceDN w:val="0"/>
                    <w:adjustRightInd w:val="0"/>
                    <w:spacing w:line="5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p>
              </w:tc>
            </w:tr>
            <w:tr w14:paraId="73B7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09" w:type="dxa"/>
                  <w:vMerge w:val="continue"/>
                  <w:vAlign w:val="center"/>
                </w:tcPr>
                <w:p w14:paraId="07353CF2">
                  <w:pPr>
                    <w:autoSpaceDE w:val="0"/>
                    <w:autoSpaceDN w:val="0"/>
                    <w:adjustRightInd w:val="0"/>
                    <w:spacing w:line="560" w:lineRule="exact"/>
                    <w:jc w:val="center"/>
                    <w:rPr>
                      <w:rFonts w:hint="default" w:ascii="Times New Roman" w:hAnsi="Times New Roman" w:eastAsia="宋体" w:cs="Times New Roman"/>
                      <w:color w:val="auto"/>
                    </w:rPr>
                  </w:pPr>
                </w:p>
              </w:tc>
              <w:tc>
                <w:tcPr>
                  <w:tcW w:w="1700" w:type="dxa"/>
                  <w:vAlign w:val="center"/>
                </w:tcPr>
                <w:p w14:paraId="6EA7652B">
                  <w:pPr>
                    <w:autoSpaceDE w:val="0"/>
                    <w:autoSpaceDN w:val="0"/>
                    <w:adjustRightInd w:val="0"/>
                    <w:spacing w:line="560" w:lineRule="exact"/>
                    <w:jc w:val="center"/>
                    <w:rPr>
                      <w:rFonts w:hint="default" w:ascii="Times New Roman" w:hAnsi="Times New Roman" w:eastAsia="宋体" w:cs="Times New Roman"/>
                      <w:b w:val="0"/>
                      <w:bCs w:val="0"/>
                      <w:i w:val="0"/>
                      <w:iCs w:val="0"/>
                      <w:color w:val="auto"/>
                      <w:sz w:val="21"/>
                      <w:szCs w:val="21"/>
                      <w:vertAlign w:val="baseline"/>
                      <w:lang w:eastAsia="zh-CN"/>
                    </w:rPr>
                  </w:pPr>
                  <w:r>
                    <w:rPr>
                      <w:rFonts w:hint="default" w:ascii="Times New Roman" w:hAnsi="Times New Roman" w:eastAsia="宋体" w:cs="Times New Roman"/>
                      <w:b w:val="0"/>
                      <w:bCs w:val="0"/>
                      <w:i w:val="0"/>
                      <w:iCs w:val="0"/>
                      <w:color w:val="auto"/>
                      <w:sz w:val="21"/>
                      <w:szCs w:val="21"/>
                      <w:vertAlign w:val="baseline"/>
                      <w:lang w:eastAsia="zh-CN"/>
                    </w:rPr>
                    <w:t>夜间</w:t>
                  </w:r>
                </w:p>
              </w:tc>
              <w:tc>
                <w:tcPr>
                  <w:tcW w:w="1909" w:type="dxa"/>
                  <w:vAlign w:val="center"/>
                </w:tcPr>
                <w:p w14:paraId="3ACFD06C">
                  <w:pPr>
                    <w:autoSpaceDE w:val="0"/>
                    <w:autoSpaceDN w:val="0"/>
                    <w:adjustRightInd w:val="0"/>
                    <w:spacing w:line="560" w:lineRule="exact"/>
                    <w:jc w:val="center"/>
                    <w:rPr>
                      <w:rFonts w:hint="default" w:ascii="Times New Roman" w:hAnsi="Times New Roman" w:eastAsia="宋体" w:cs="Times New Roman"/>
                      <w:b w:val="0"/>
                      <w:bCs w:val="0"/>
                      <w:i w:val="0"/>
                      <w:iCs w:val="0"/>
                      <w:color w:val="auto"/>
                      <w:sz w:val="21"/>
                      <w:szCs w:val="21"/>
                      <w:vertAlign w:val="baseline"/>
                      <w:lang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p>
              </w:tc>
            </w:tr>
          </w:tbl>
          <w:p w14:paraId="6B3EC290">
            <w:pPr>
              <w:numPr>
                <w:ilvl w:val="0"/>
                <w:numId w:val="2"/>
              </w:numPr>
              <w:spacing w:line="360" w:lineRule="auto"/>
              <w:ind w:left="0" w:leftChars="0" w:firstLine="482" w:firstLineChars="200"/>
              <w:jc w:val="left"/>
              <w:rPr>
                <w:rFonts w:hint="default" w:ascii="Times New Roman" w:hAnsi="Times New Roman" w:cs="Times New Roman"/>
                <w:b/>
                <w:bCs/>
                <w:i w:val="0"/>
                <w:iCs w:val="0"/>
                <w:color w:val="auto"/>
                <w:sz w:val="24"/>
                <w:lang w:val="en-US" w:eastAsia="zh-CN"/>
              </w:rPr>
            </w:pPr>
            <w:r>
              <w:rPr>
                <w:rFonts w:hint="default" w:ascii="Times New Roman" w:hAnsi="Times New Roman" w:cs="Times New Roman"/>
                <w:b/>
                <w:bCs/>
                <w:i w:val="0"/>
                <w:iCs w:val="0"/>
                <w:color w:val="auto"/>
                <w:sz w:val="24"/>
                <w:lang w:val="en-US" w:eastAsia="zh-CN"/>
              </w:rPr>
              <w:t>废水排放标准</w:t>
            </w:r>
          </w:p>
          <w:p w14:paraId="201F6B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本项目废水执行《污水综合排放标准》（GB8978-1996）表4三级标准要求及滑县产业集聚区污水处理厂进水指标。具体标准限值见表</w:t>
            </w:r>
            <w:r>
              <w:rPr>
                <w:rFonts w:hint="default" w:ascii="Times New Roman" w:hAnsi="Times New Roman" w:cs="Times New Roman"/>
                <w:color w:val="auto"/>
                <w:sz w:val="24"/>
                <w:lang w:val="en-US" w:eastAsia="zh-CN"/>
              </w:rPr>
              <w:t>3-7</w:t>
            </w:r>
            <w:r>
              <w:rPr>
                <w:rFonts w:hint="default" w:ascii="Times New Roman" w:hAnsi="Times New Roman" w:cs="Times New Roman"/>
                <w:color w:val="auto"/>
                <w:sz w:val="24"/>
              </w:rPr>
              <w:t>。</w:t>
            </w:r>
          </w:p>
          <w:p w14:paraId="72088684">
            <w:pPr>
              <w:autoSpaceDE w:val="0"/>
              <w:autoSpaceDN w:val="0"/>
              <w:adjustRightInd w:val="0"/>
              <w:snapToGrid w:val="0"/>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表3-</w:t>
            </w:r>
            <w:r>
              <w:rPr>
                <w:rFonts w:hint="default" w:ascii="Times New Roman" w:hAnsi="Times New Roman" w:cs="Times New Roman"/>
                <w:color w:val="auto"/>
                <w:sz w:val="24"/>
                <w:lang w:val="en-US" w:eastAsia="zh-CN"/>
              </w:rPr>
              <w:t>7</w:t>
            </w:r>
            <w:r>
              <w:rPr>
                <w:rFonts w:hint="default" w:ascii="Times New Roman" w:hAnsi="Times New Roman" w:cs="Times New Roman"/>
                <w:color w:val="auto"/>
                <w:kern w:val="0"/>
                <w:sz w:val="24"/>
              </w:rPr>
              <w:t xml:space="preserve">     </w:t>
            </w:r>
            <w:r>
              <w:rPr>
                <w:rFonts w:hint="default" w:ascii="Times New Roman" w:hAnsi="Times New Roman" w:cs="Times New Roman"/>
                <w:color w:val="auto"/>
                <w:sz w:val="24"/>
              </w:rPr>
              <w:t>废水排放标准           单位：mg/L，pH除外</w:t>
            </w:r>
          </w:p>
          <w:tbl>
            <w:tblPr>
              <w:tblStyle w:val="19"/>
              <w:tblW w:w="7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953"/>
              <w:gridCol w:w="994"/>
              <w:gridCol w:w="708"/>
              <w:gridCol w:w="739"/>
              <w:gridCol w:w="919"/>
              <w:gridCol w:w="1202"/>
              <w:gridCol w:w="739"/>
              <w:gridCol w:w="718"/>
            </w:tblGrid>
            <w:tr w14:paraId="0298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953" w:type="dxa"/>
                  <w:noWrap w:val="0"/>
                  <w:vAlign w:val="center"/>
                </w:tcPr>
                <w:p w14:paraId="74214550">
                  <w:pPr>
                    <w:pStyle w:val="36"/>
                    <w:jc w:val="center"/>
                    <w:rPr>
                      <w:rFonts w:hint="default" w:ascii="Times New Roman" w:hAnsi="Times New Roman" w:cs="Times New Roman"/>
                      <w:bCs/>
                      <w:color w:val="auto"/>
                    </w:rPr>
                  </w:pPr>
                  <w:r>
                    <w:rPr>
                      <w:rFonts w:hint="default" w:ascii="Times New Roman" w:hAnsi="Times New Roman" w:cs="Times New Roman"/>
                      <w:bCs/>
                      <w:color w:val="auto"/>
                    </w:rPr>
                    <w:t>标准</w:t>
                  </w:r>
                </w:p>
              </w:tc>
              <w:tc>
                <w:tcPr>
                  <w:tcW w:w="994" w:type="dxa"/>
                  <w:noWrap w:val="0"/>
                  <w:vAlign w:val="center"/>
                </w:tcPr>
                <w:p w14:paraId="2BBCD9C0">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PH</w:t>
                  </w:r>
                </w:p>
              </w:tc>
              <w:tc>
                <w:tcPr>
                  <w:tcW w:w="708" w:type="dxa"/>
                  <w:noWrap w:val="0"/>
                  <w:vAlign w:val="center"/>
                </w:tcPr>
                <w:p w14:paraId="132C4470">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COD</w:t>
                  </w:r>
                </w:p>
              </w:tc>
              <w:tc>
                <w:tcPr>
                  <w:tcW w:w="739" w:type="dxa"/>
                  <w:noWrap w:val="0"/>
                  <w:vAlign w:val="center"/>
                </w:tcPr>
                <w:p w14:paraId="02DC07B9">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BOD</w:t>
                  </w:r>
                </w:p>
              </w:tc>
              <w:tc>
                <w:tcPr>
                  <w:tcW w:w="919" w:type="dxa"/>
                  <w:noWrap w:val="0"/>
                  <w:vAlign w:val="center"/>
                </w:tcPr>
                <w:p w14:paraId="6A79A1F8">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SS</w:t>
                  </w:r>
                </w:p>
              </w:tc>
              <w:tc>
                <w:tcPr>
                  <w:tcW w:w="1202" w:type="dxa"/>
                  <w:noWrap w:val="0"/>
                  <w:vAlign w:val="center"/>
                </w:tcPr>
                <w:p w14:paraId="5D4BF9B2">
                  <w:pPr>
                    <w:pStyle w:val="36"/>
                    <w:jc w:val="center"/>
                    <w:rPr>
                      <w:rFonts w:hint="default" w:ascii="Times New Roman" w:hAnsi="Times New Roman" w:cs="Times New Roman"/>
                      <w:bCs/>
                      <w:color w:val="auto"/>
                    </w:rPr>
                  </w:pPr>
                  <w:r>
                    <w:rPr>
                      <w:rFonts w:hint="default" w:ascii="Times New Roman" w:hAnsi="Times New Roman" w:cs="Times New Roman"/>
                      <w:bCs/>
                      <w:color w:val="auto"/>
                    </w:rPr>
                    <w:t>氨氮</w:t>
                  </w:r>
                </w:p>
              </w:tc>
              <w:tc>
                <w:tcPr>
                  <w:tcW w:w="739" w:type="dxa"/>
                  <w:noWrap w:val="0"/>
                  <w:vAlign w:val="center"/>
                </w:tcPr>
                <w:p w14:paraId="7E8F0080">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TN</w:t>
                  </w:r>
                </w:p>
              </w:tc>
              <w:tc>
                <w:tcPr>
                  <w:tcW w:w="718" w:type="dxa"/>
                  <w:noWrap w:val="0"/>
                  <w:vAlign w:val="center"/>
                </w:tcPr>
                <w:p w14:paraId="0C4B734F">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TP</w:t>
                  </w:r>
                </w:p>
              </w:tc>
            </w:tr>
            <w:tr w14:paraId="6839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953" w:type="dxa"/>
                  <w:noWrap w:val="0"/>
                  <w:vAlign w:val="center"/>
                </w:tcPr>
                <w:p w14:paraId="68900FC7">
                  <w:pPr>
                    <w:pStyle w:val="36"/>
                    <w:jc w:val="center"/>
                    <w:rPr>
                      <w:rFonts w:hint="default" w:ascii="Times New Roman" w:hAnsi="Times New Roman" w:cs="Times New Roman"/>
                      <w:bCs/>
                      <w:color w:val="auto"/>
                    </w:rPr>
                  </w:pPr>
                  <w:r>
                    <w:rPr>
                      <w:rFonts w:hint="default" w:ascii="Times New Roman" w:hAnsi="Times New Roman" w:cs="Times New Roman"/>
                      <w:bCs/>
                      <w:color w:val="auto"/>
                    </w:rPr>
                    <w:t>《污水综合排放标准》（GB8978-1996）表4三级标准</w:t>
                  </w:r>
                </w:p>
              </w:tc>
              <w:tc>
                <w:tcPr>
                  <w:tcW w:w="994" w:type="dxa"/>
                  <w:noWrap w:val="0"/>
                  <w:vAlign w:val="center"/>
                </w:tcPr>
                <w:p w14:paraId="7779EF48">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6-9</w:t>
                  </w:r>
                </w:p>
              </w:tc>
              <w:tc>
                <w:tcPr>
                  <w:tcW w:w="708" w:type="dxa"/>
                  <w:noWrap w:val="0"/>
                  <w:vAlign w:val="center"/>
                </w:tcPr>
                <w:p w14:paraId="605961C9">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500</w:t>
                  </w:r>
                </w:p>
              </w:tc>
              <w:tc>
                <w:tcPr>
                  <w:tcW w:w="739" w:type="dxa"/>
                  <w:noWrap w:val="0"/>
                  <w:vAlign w:val="center"/>
                </w:tcPr>
                <w:p w14:paraId="35FCC903">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300</w:t>
                  </w:r>
                </w:p>
              </w:tc>
              <w:tc>
                <w:tcPr>
                  <w:tcW w:w="919" w:type="dxa"/>
                  <w:noWrap w:val="0"/>
                  <w:vAlign w:val="center"/>
                </w:tcPr>
                <w:p w14:paraId="28A47BE3">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400</w:t>
                  </w:r>
                </w:p>
              </w:tc>
              <w:tc>
                <w:tcPr>
                  <w:tcW w:w="1202" w:type="dxa"/>
                  <w:noWrap w:val="0"/>
                  <w:vAlign w:val="center"/>
                </w:tcPr>
                <w:p w14:paraId="6345F1B0">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w:t>
                  </w:r>
                </w:p>
              </w:tc>
              <w:tc>
                <w:tcPr>
                  <w:tcW w:w="739" w:type="dxa"/>
                  <w:noWrap w:val="0"/>
                  <w:vAlign w:val="center"/>
                </w:tcPr>
                <w:p w14:paraId="1012E623">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w:t>
                  </w:r>
                </w:p>
              </w:tc>
              <w:tc>
                <w:tcPr>
                  <w:tcW w:w="718" w:type="dxa"/>
                  <w:noWrap w:val="0"/>
                  <w:vAlign w:val="center"/>
                </w:tcPr>
                <w:p w14:paraId="1EB9A57B">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w:t>
                  </w:r>
                </w:p>
              </w:tc>
            </w:tr>
            <w:tr w14:paraId="0B3A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953" w:type="dxa"/>
                  <w:noWrap w:val="0"/>
                  <w:vAlign w:val="center"/>
                </w:tcPr>
                <w:p w14:paraId="4CA4CD90">
                  <w:pPr>
                    <w:pStyle w:val="36"/>
                    <w:jc w:val="center"/>
                    <w:rPr>
                      <w:rFonts w:hint="default" w:ascii="Times New Roman" w:hAnsi="Times New Roman" w:cs="Times New Roman"/>
                      <w:bCs/>
                      <w:color w:val="auto"/>
                    </w:rPr>
                  </w:pPr>
                  <w:r>
                    <w:rPr>
                      <w:rFonts w:hint="default" w:ascii="Times New Roman" w:hAnsi="Times New Roman" w:cs="Times New Roman"/>
                      <w:bCs/>
                      <w:color w:val="auto"/>
                    </w:rPr>
                    <w:t>滑县产业集聚区污水处理厂进水指标</w:t>
                  </w:r>
                </w:p>
              </w:tc>
              <w:tc>
                <w:tcPr>
                  <w:tcW w:w="994" w:type="dxa"/>
                  <w:noWrap w:val="0"/>
                  <w:vAlign w:val="center"/>
                </w:tcPr>
                <w:p w14:paraId="6C561988">
                  <w:pPr>
                    <w:pStyle w:val="36"/>
                    <w:jc w:val="center"/>
                    <w:rPr>
                      <w:rFonts w:hint="default" w:ascii="Times New Roman" w:hAnsi="Times New Roman" w:cs="Times New Roman"/>
                      <w:bCs/>
                      <w:color w:val="auto"/>
                    </w:rPr>
                  </w:pPr>
                  <w:r>
                    <w:rPr>
                      <w:rFonts w:hint="default" w:ascii="Times New Roman" w:hAnsi="Times New Roman" w:cs="Times New Roman"/>
                      <w:bCs/>
                      <w:color w:val="auto"/>
                      <w:lang w:eastAsia="zh-CN"/>
                    </w:rPr>
                    <w:t>6-9</w:t>
                  </w:r>
                </w:p>
              </w:tc>
              <w:tc>
                <w:tcPr>
                  <w:tcW w:w="708" w:type="dxa"/>
                  <w:noWrap w:val="0"/>
                  <w:vAlign w:val="center"/>
                </w:tcPr>
                <w:p w14:paraId="3DDE43E7">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450</w:t>
                  </w:r>
                </w:p>
              </w:tc>
              <w:tc>
                <w:tcPr>
                  <w:tcW w:w="739" w:type="dxa"/>
                  <w:noWrap w:val="0"/>
                  <w:vAlign w:val="center"/>
                </w:tcPr>
                <w:p w14:paraId="66C0EAA3">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200</w:t>
                  </w:r>
                </w:p>
              </w:tc>
              <w:tc>
                <w:tcPr>
                  <w:tcW w:w="919" w:type="dxa"/>
                  <w:noWrap w:val="0"/>
                  <w:vAlign w:val="center"/>
                </w:tcPr>
                <w:p w14:paraId="5FD3DCC3">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250</w:t>
                  </w:r>
                </w:p>
              </w:tc>
              <w:tc>
                <w:tcPr>
                  <w:tcW w:w="1202" w:type="dxa"/>
                  <w:noWrap w:val="0"/>
                  <w:vAlign w:val="center"/>
                </w:tcPr>
                <w:p w14:paraId="1B84C299">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30</w:t>
                  </w:r>
                </w:p>
              </w:tc>
              <w:tc>
                <w:tcPr>
                  <w:tcW w:w="739" w:type="dxa"/>
                  <w:noWrap w:val="0"/>
                  <w:vAlign w:val="center"/>
                </w:tcPr>
                <w:p w14:paraId="3919751F">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40</w:t>
                  </w:r>
                </w:p>
              </w:tc>
              <w:tc>
                <w:tcPr>
                  <w:tcW w:w="718" w:type="dxa"/>
                  <w:noWrap w:val="0"/>
                  <w:vAlign w:val="center"/>
                </w:tcPr>
                <w:p w14:paraId="5AE437F0">
                  <w:pPr>
                    <w:pStyle w:val="36"/>
                    <w:jc w:val="center"/>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5</w:t>
                  </w:r>
                </w:p>
              </w:tc>
            </w:tr>
          </w:tbl>
          <w:p w14:paraId="1CE8D564">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i w:val="0"/>
                <w:iCs w:val="0"/>
                <w:color w:val="auto"/>
                <w:sz w:val="24"/>
                <w:lang w:eastAsia="zh-CN"/>
              </w:rPr>
            </w:pPr>
            <w:r>
              <w:rPr>
                <w:rFonts w:hint="default" w:ascii="Times New Roman" w:hAnsi="Times New Roman" w:cs="Times New Roman"/>
                <w:b/>
                <w:bCs/>
                <w:i w:val="0"/>
                <w:iCs w:val="0"/>
                <w:color w:val="auto"/>
                <w:sz w:val="24"/>
                <w:lang w:val="en-US" w:eastAsia="zh-CN"/>
              </w:rPr>
              <w:t>4</w:t>
            </w:r>
            <w:r>
              <w:rPr>
                <w:rFonts w:hint="default" w:ascii="Times New Roman" w:hAnsi="Times New Roman" w:eastAsia="宋体" w:cs="Times New Roman"/>
                <w:b/>
                <w:bCs/>
                <w:i w:val="0"/>
                <w:iCs w:val="0"/>
                <w:color w:val="auto"/>
                <w:sz w:val="24"/>
                <w:lang w:val="en-US" w:eastAsia="zh-CN"/>
              </w:rPr>
              <w:t>、</w:t>
            </w:r>
            <w:r>
              <w:rPr>
                <w:rFonts w:hint="default" w:ascii="Times New Roman" w:hAnsi="Times New Roman" w:eastAsia="宋体" w:cs="Times New Roman"/>
                <w:b/>
                <w:bCs/>
                <w:i w:val="0"/>
                <w:iCs w:val="0"/>
                <w:color w:val="auto"/>
                <w:sz w:val="24"/>
                <w:lang w:eastAsia="zh-CN"/>
              </w:rPr>
              <w:t>固体废物</w:t>
            </w:r>
          </w:p>
          <w:p w14:paraId="7834FCBE">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lang w:val="zh-CN"/>
              </w:rPr>
              <w:t>一般固废执行《一般工业固体废物贮存和填埋污染控制标准》（GB18599-20</w:t>
            </w:r>
            <w:r>
              <w:rPr>
                <w:rFonts w:hint="default"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val="zh-CN"/>
              </w:rPr>
              <w:t>）。</w:t>
            </w:r>
          </w:p>
        </w:tc>
      </w:tr>
      <w:tr w14:paraId="570697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8" w:hRule="atLeast"/>
        </w:trPr>
        <w:tc>
          <w:tcPr>
            <w:tcW w:w="924" w:type="dxa"/>
            <w:tcBorders>
              <w:left w:val="single" w:color="auto" w:sz="6" w:space="0"/>
              <w:bottom w:val="single" w:color="auto" w:sz="6" w:space="0"/>
            </w:tcBorders>
            <w:noWrap w:val="0"/>
            <w:vAlign w:val="center"/>
          </w:tcPr>
          <w:p w14:paraId="0BE2EB3A">
            <w:pPr>
              <w:spacing w:line="400" w:lineRule="exac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总量</w:t>
            </w:r>
          </w:p>
          <w:p w14:paraId="75B2E4C2">
            <w:pPr>
              <w:spacing w:line="400" w:lineRule="exact"/>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控制指标</w:t>
            </w:r>
          </w:p>
        </w:tc>
        <w:tc>
          <w:tcPr>
            <w:tcW w:w="8544" w:type="dxa"/>
            <w:tcBorders>
              <w:bottom w:val="single" w:color="auto" w:sz="6" w:space="0"/>
              <w:right w:val="single" w:color="auto" w:sz="6" w:space="0"/>
            </w:tcBorders>
            <w:noWrap w:val="0"/>
            <w:vAlign w:val="center"/>
          </w:tcPr>
          <w:p w14:paraId="29DF9E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iCs w:val="0"/>
                <w:color w:val="auto"/>
                <w:kern w:val="0"/>
                <w:sz w:val="24"/>
                <w:szCs w:val="24"/>
                <w:highlight w:val="none"/>
                <w:u w:val="none"/>
                <w:lang w:eastAsia="zh-CN"/>
              </w:rPr>
            </w:pPr>
            <w:r>
              <w:rPr>
                <w:rFonts w:hint="default" w:ascii="Times New Roman" w:hAnsi="Times New Roman" w:eastAsia="宋体" w:cs="Times New Roman"/>
                <w:b w:val="0"/>
                <w:bCs w:val="0"/>
                <w:i w:val="0"/>
                <w:iCs w:val="0"/>
                <w:color w:val="auto"/>
                <w:kern w:val="0"/>
                <w:sz w:val="24"/>
                <w:szCs w:val="24"/>
                <w:highlight w:val="none"/>
                <w:u w:val="none"/>
              </w:rPr>
              <w:t>本项目总量控制</w:t>
            </w:r>
            <w:r>
              <w:rPr>
                <w:rFonts w:hint="default" w:ascii="Times New Roman" w:hAnsi="Times New Roman" w:eastAsia="宋体" w:cs="Times New Roman"/>
                <w:b w:val="0"/>
                <w:bCs w:val="0"/>
                <w:i w:val="0"/>
                <w:iCs w:val="0"/>
                <w:color w:val="auto"/>
                <w:kern w:val="0"/>
                <w:sz w:val="24"/>
                <w:szCs w:val="24"/>
                <w:highlight w:val="none"/>
                <w:u w:val="none"/>
                <w:lang w:eastAsia="zh-CN"/>
              </w:rPr>
              <w:t>指标：</w:t>
            </w:r>
          </w:p>
          <w:p w14:paraId="6066CD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i w:val="0"/>
                <w:iCs w:val="0"/>
                <w:color w:val="auto"/>
                <w:kern w:val="0"/>
                <w:sz w:val="24"/>
                <w:szCs w:val="24"/>
                <w:highlight w:val="none"/>
                <w:u w:val="none"/>
                <w:lang w:eastAsia="zh-CN"/>
              </w:rPr>
              <w:t>（1）废水总量控制指标：本项目废水主要是</w:t>
            </w:r>
            <w:r>
              <w:rPr>
                <w:rFonts w:hint="default" w:ascii="Times New Roman" w:hAnsi="Times New Roman" w:cs="Times New Roman"/>
                <w:b w:val="0"/>
                <w:bCs w:val="0"/>
                <w:i w:val="0"/>
                <w:iCs w:val="0"/>
                <w:color w:val="auto"/>
                <w:kern w:val="0"/>
                <w:sz w:val="24"/>
                <w:szCs w:val="24"/>
                <w:highlight w:val="none"/>
                <w:u w:val="none"/>
                <w:lang w:eastAsia="zh-CN"/>
              </w:rPr>
              <w:t>生活污水、</w:t>
            </w:r>
            <w:r>
              <w:rPr>
                <w:rFonts w:hint="default" w:ascii="Times New Roman" w:hAnsi="Times New Roman" w:eastAsia="宋体" w:cs="Times New Roman"/>
                <w:b w:val="0"/>
                <w:bCs w:val="0"/>
                <w:i w:val="0"/>
                <w:iCs w:val="0"/>
                <w:color w:val="auto"/>
                <w:kern w:val="0"/>
                <w:sz w:val="24"/>
                <w:szCs w:val="24"/>
                <w:highlight w:val="none"/>
                <w:u w:val="none"/>
                <w:lang w:eastAsia="zh-CN"/>
              </w:rPr>
              <w:t>生产设备冲洗废水、</w:t>
            </w:r>
            <w:r>
              <w:rPr>
                <w:rFonts w:hint="default" w:ascii="Times New Roman" w:hAnsi="Times New Roman" w:cs="Times New Roman"/>
                <w:b w:val="0"/>
                <w:bCs w:val="0"/>
                <w:i w:val="0"/>
                <w:iCs w:val="0"/>
                <w:color w:val="auto"/>
                <w:kern w:val="0"/>
                <w:sz w:val="24"/>
                <w:szCs w:val="24"/>
                <w:highlight w:val="none"/>
                <w:u w:val="none"/>
                <w:lang w:eastAsia="zh-CN"/>
              </w:rPr>
              <w:t>车间地面冲洗废水。</w:t>
            </w:r>
            <w:r>
              <w:rPr>
                <w:rFonts w:hint="default" w:ascii="Times New Roman" w:hAnsi="Times New Roman" w:eastAsia="宋体" w:cs="Times New Roman"/>
                <w:b w:val="0"/>
                <w:bCs w:val="0"/>
                <w:i w:val="0"/>
                <w:iCs w:val="0"/>
                <w:color w:val="auto"/>
                <w:kern w:val="0"/>
                <w:sz w:val="24"/>
                <w:szCs w:val="24"/>
                <w:highlight w:val="none"/>
                <w:u w:val="none"/>
                <w:lang w:eastAsia="zh-CN"/>
              </w:rPr>
              <w:t>本项目</w:t>
            </w:r>
            <w:r>
              <w:rPr>
                <w:rFonts w:hint="default" w:ascii="Times New Roman" w:hAnsi="Times New Roman" w:cs="Times New Roman"/>
                <w:b w:val="0"/>
                <w:bCs w:val="0"/>
                <w:i w:val="0"/>
                <w:iCs w:val="0"/>
                <w:color w:val="auto"/>
                <w:kern w:val="0"/>
                <w:sz w:val="24"/>
                <w:szCs w:val="24"/>
                <w:highlight w:val="none"/>
                <w:u w:val="none"/>
                <w:lang w:eastAsia="zh-CN"/>
              </w:rPr>
              <w:t>生活污水</w:t>
            </w:r>
            <w:r>
              <w:rPr>
                <w:rFonts w:hint="default" w:ascii="Times New Roman" w:hAnsi="Times New Roman" w:eastAsia="宋体" w:cs="Times New Roman"/>
                <w:b w:val="0"/>
                <w:bCs w:val="0"/>
                <w:i w:val="0"/>
                <w:iCs w:val="0"/>
                <w:color w:val="auto"/>
                <w:kern w:val="0"/>
                <w:sz w:val="24"/>
                <w:szCs w:val="24"/>
                <w:highlight w:val="none"/>
                <w:u w:val="none"/>
                <w:lang w:eastAsia="zh-CN"/>
              </w:rPr>
              <w:t>经</w:t>
            </w:r>
            <w:r>
              <w:rPr>
                <w:rFonts w:hint="default" w:ascii="Times New Roman" w:hAnsi="Times New Roman" w:eastAsia="宋体" w:cs="Times New Roman"/>
                <w:b w:val="0"/>
                <w:bCs w:val="0"/>
                <w:i w:val="0"/>
                <w:iCs w:val="0"/>
                <w:color w:val="auto"/>
                <w:kern w:val="0"/>
                <w:sz w:val="24"/>
                <w:szCs w:val="24"/>
                <w:highlight w:val="none"/>
                <w:u w:val="none"/>
                <w:lang w:val="en-US" w:eastAsia="zh-CN"/>
              </w:rPr>
              <w:t>化粪池，和</w:t>
            </w:r>
            <w:r>
              <w:rPr>
                <w:rFonts w:hint="default" w:ascii="Times New Roman" w:hAnsi="Times New Roman" w:cs="Times New Roman"/>
                <w:b w:val="0"/>
                <w:bCs w:val="0"/>
                <w:i w:val="0"/>
                <w:iCs w:val="0"/>
                <w:color w:val="auto"/>
                <w:kern w:val="0"/>
                <w:sz w:val="24"/>
                <w:szCs w:val="24"/>
                <w:highlight w:val="none"/>
                <w:u w:val="none"/>
                <w:lang w:val="en-US" w:eastAsia="zh-CN"/>
              </w:rPr>
              <w:t>生产</w:t>
            </w:r>
            <w:r>
              <w:rPr>
                <w:rFonts w:hint="default" w:ascii="Times New Roman" w:hAnsi="Times New Roman" w:eastAsia="宋体" w:cs="Times New Roman"/>
                <w:b w:val="0"/>
                <w:bCs w:val="0"/>
                <w:i w:val="0"/>
                <w:iCs w:val="0"/>
                <w:color w:val="auto"/>
                <w:kern w:val="0"/>
                <w:sz w:val="24"/>
                <w:szCs w:val="24"/>
                <w:highlight w:val="none"/>
                <w:u w:val="none"/>
                <w:lang w:val="en-US" w:eastAsia="zh-CN"/>
              </w:rPr>
              <w:t>设备清洗废水、</w:t>
            </w:r>
            <w:r>
              <w:rPr>
                <w:rFonts w:hint="default" w:ascii="Times New Roman" w:hAnsi="Times New Roman" w:cs="Times New Roman"/>
                <w:b w:val="0"/>
                <w:bCs w:val="0"/>
                <w:i w:val="0"/>
                <w:iCs w:val="0"/>
                <w:color w:val="auto"/>
                <w:kern w:val="0"/>
                <w:sz w:val="24"/>
                <w:szCs w:val="24"/>
                <w:highlight w:val="none"/>
                <w:u w:val="none"/>
                <w:lang w:val="en-US" w:eastAsia="zh-CN"/>
              </w:rPr>
              <w:t>车间</w:t>
            </w:r>
            <w:r>
              <w:rPr>
                <w:rFonts w:hint="default" w:ascii="Times New Roman" w:hAnsi="Times New Roman" w:eastAsia="宋体" w:cs="Times New Roman"/>
                <w:b w:val="0"/>
                <w:bCs w:val="0"/>
                <w:i w:val="0"/>
                <w:iCs w:val="0"/>
                <w:color w:val="auto"/>
                <w:kern w:val="0"/>
                <w:sz w:val="24"/>
                <w:szCs w:val="24"/>
                <w:highlight w:val="none"/>
                <w:u w:val="none"/>
                <w:lang w:val="en-US" w:eastAsia="zh-CN"/>
              </w:rPr>
              <w:t>地面冲洗废水经市政管网排入滑县产业集聚区污水处理厂</w:t>
            </w:r>
            <w:r>
              <w:rPr>
                <w:rFonts w:hint="default" w:ascii="Times New Roman" w:hAnsi="Times New Roman" w:cs="Times New Roman"/>
                <w:b w:val="0"/>
                <w:bCs w:val="0"/>
                <w:i w:val="0"/>
                <w:iCs w:val="0"/>
                <w:color w:val="auto"/>
                <w:kern w:val="0"/>
                <w:sz w:val="24"/>
                <w:szCs w:val="24"/>
                <w:highlight w:val="none"/>
                <w:u w:val="none"/>
                <w:lang w:val="en-US" w:eastAsia="zh-CN"/>
              </w:rPr>
              <w:t>。废水总量为</w:t>
            </w:r>
            <w:r>
              <w:rPr>
                <w:rFonts w:hint="default" w:ascii="Times New Roman" w:hAnsi="Times New Roman" w:eastAsia="宋体" w:cs="Times New Roman"/>
                <w:color w:val="auto"/>
                <w:kern w:val="2"/>
                <w:sz w:val="24"/>
                <w:szCs w:val="24"/>
                <w:lang w:val="en-US" w:eastAsia="zh-CN" w:bidi="ar-SA"/>
              </w:rPr>
              <w:t>462m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w:t>
            </w:r>
            <w:r>
              <w:rPr>
                <w:rFonts w:hint="default" w:ascii="Times New Roman" w:hAnsi="Times New Roman" w:cs="Times New Roman"/>
                <w:color w:val="auto"/>
                <w:kern w:val="2"/>
                <w:sz w:val="24"/>
                <w:szCs w:val="24"/>
                <w:lang w:val="en-US" w:eastAsia="zh-CN" w:bidi="ar-SA"/>
              </w:rPr>
              <w:t>，经计算，本项目废</w:t>
            </w:r>
            <w:r>
              <w:rPr>
                <w:rFonts w:hint="default" w:ascii="Times New Roman" w:hAnsi="Times New Roman" w:eastAsia="宋体" w:cs="Times New Roman"/>
                <w:color w:val="auto"/>
                <w:kern w:val="2"/>
                <w:sz w:val="24"/>
                <w:szCs w:val="24"/>
                <w:lang w:val="en-US" w:eastAsia="zh-CN" w:bidi="ar-SA"/>
              </w:rPr>
              <w:t>水COD：0.0185t/a</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NH</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-N：0.0023t/a。</w:t>
            </w:r>
          </w:p>
          <w:p w14:paraId="441C2E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iCs w:val="0"/>
                <w:color w:val="auto"/>
                <w:kern w:val="0"/>
                <w:sz w:val="24"/>
                <w:szCs w:val="24"/>
                <w:highlight w:val="none"/>
                <w:u w:val="none"/>
                <w:lang w:eastAsia="zh-CN"/>
              </w:rPr>
            </w:pPr>
            <w:r>
              <w:rPr>
                <w:rFonts w:hint="default" w:ascii="Times New Roman" w:hAnsi="Times New Roman" w:eastAsia="宋体" w:cs="Times New Roman"/>
                <w:b w:val="0"/>
                <w:bCs w:val="0"/>
                <w:i w:val="0"/>
                <w:iCs w:val="0"/>
                <w:color w:val="auto"/>
                <w:kern w:val="0"/>
                <w:sz w:val="24"/>
                <w:szCs w:val="24"/>
                <w:highlight w:val="none"/>
                <w:u w:val="none"/>
                <w:lang w:eastAsia="zh-CN"/>
              </w:rPr>
              <w:t>（2）废气总量控制指标：</w:t>
            </w:r>
          </w:p>
          <w:p w14:paraId="11618063">
            <w:pPr>
              <w:spacing w:line="360" w:lineRule="auto"/>
              <w:ind w:firstLine="480" w:firstLineChars="200"/>
              <w:jc w:val="left"/>
              <w:rPr>
                <w:rFonts w:hint="default" w:ascii="Times New Roman" w:hAnsi="Times New Roman" w:eastAsia="宋体" w:cs="Times New Roman"/>
                <w:b w:val="0"/>
                <w:bCs w:val="0"/>
                <w:i w:val="0"/>
                <w:iCs w:val="0"/>
                <w:color w:val="auto"/>
                <w:kern w:val="0"/>
                <w:sz w:val="24"/>
                <w:szCs w:val="24"/>
                <w:highlight w:val="none"/>
                <w:u w:val="none"/>
                <w:lang w:eastAsia="zh-CN"/>
              </w:rPr>
            </w:pPr>
            <w:r>
              <w:rPr>
                <w:rFonts w:hint="default" w:ascii="Times New Roman" w:hAnsi="Times New Roman" w:eastAsia="宋体" w:cs="Times New Roman"/>
                <w:b w:val="0"/>
                <w:bCs w:val="0"/>
                <w:i w:val="0"/>
                <w:iCs w:val="0"/>
                <w:color w:val="auto"/>
                <w:kern w:val="0"/>
                <w:sz w:val="24"/>
                <w:szCs w:val="24"/>
                <w:highlight w:val="none"/>
                <w:u w:val="none"/>
                <w:lang w:eastAsia="zh-CN"/>
              </w:rPr>
              <w:t>本项目淀粉制品生产过程中投料工序进行二次密闭，在密闭间上方设置集气罩，颗粒物经集气罩+袋式除尘器处理达标后经 1 根 15m 高的排气筒排放。经计算，本项目颗粒物有组织排放量为 0.0</w:t>
            </w:r>
            <w:r>
              <w:rPr>
                <w:rFonts w:hint="default" w:ascii="Times New Roman" w:hAnsi="Times New Roman" w:cs="Times New Roman"/>
                <w:b w:val="0"/>
                <w:bCs w:val="0"/>
                <w:i w:val="0"/>
                <w:iCs w:val="0"/>
                <w:color w:val="auto"/>
                <w:kern w:val="0"/>
                <w:sz w:val="24"/>
                <w:szCs w:val="24"/>
                <w:highlight w:val="none"/>
                <w:u w:val="none"/>
                <w:lang w:val="en-US" w:eastAsia="zh-CN"/>
              </w:rPr>
              <w:t>104</w:t>
            </w:r>
            <w:r>
              <w:rPr>
                <w:rFonts w:hint="default" w:ascii="Times New Roman" w:hAnsi="Times New Roman" w:eastAsia="宋体" w:cs="Times New Roman"/>
                <w:b w:val="0"/>
                <w:bCs w:val="0"/>
                <w:i w:val="0"/>
                <w:iCs w:val="0"/>
                <w:color w:val="auto"/>
                <w:kern w:val="0"/>
                <w:sz w:val="24"/>
                <w:szCs w:val="24"/>
                <w:highlight w:val="none"/>
                <w:u w:val="none"/>
                <w:lang w:eastAsia="zh-CN"/>
              </w:rPr>
              <w:t>t/a，无组织排放量为 0.</w:t>
            </w:r>
            <w:r>
              <w:rPr>
                <w:rFonts w:hint="default" w:ascii="Times New Roman" w:hAnsi="Times New Roman" w:cs="Times New Roman"/>
                <w:b w:val="0"/>
                <w:bCs w:val="0"/>
                <w:i w:val="0"/>
                <w:iCs w:val="0"/>
                <w:color w:val="auto"/>
                <w:kern w:val="0"/>
                <w:sz w:val="24"/>
                <w:szCs w:val="24"/>
                <w:highlight w:val="none"/>
                <w:u w:val="none"/>
                <w:lang w:val="en-US" w:eastAsia="zh-CN"/>
              </w:rPr>
              <w:t>052</w:t>
            </w:r>
            <w:r>
              <w:rPr>
                <w:rFonts w:hint="default" w:ascii="Times New Roman" w:hAnsi="Times New Roman" w:eastAsia="宋体" w:cs="Times New Roman"/>
                <w:b w:val="0"/>
                <w:bCs w:val="0"/>
                <w:i w:val="0"/>
                <w:iCs w:val="0"/>
                <w:color w:val="auto"/>
                <w:kern w:val="0"/>
                <w:sz w:val="24"/>
                <w:szCs w:val="24"/>
                <w:highlight w:val="none"/>
                <w:u w:val="none"/>
                <w:lang w:eastAsia="zh-CN"/>
              </w:rPr>
              <w:t>t/a，共计颗粒物排放量为 0.</w:t>
            </w:r>
            <w:r>
              <w:rPr>
                <w:rFonts w:hint="default" w:ascii="Times New Roman" w:hAnsi="Times New Roman" w:cs="Times New Roman"/>
                <w:b w:val="0"/>
                <w:bCs w:val="0"/>
                <w:i w:val="0"/>
                <w:iCs w:val="0"/>
                <w:color w:val="auto"/>
                <w:kern w:val="0"/>
                <w:sz w:val="24"/>
                <w:szCs w:val="24"/>
                <w:highlight w:val="none"/>
                <w:u w:val="none"/>
                <w:lang w:val="en-US" w:eastAsia="zh-CN"/>
              </w:rPr>
              <w:t>0624</w:t>
            </w:r>
            <w:r>
              <w:rPr>
                <w:rFonts w:hint="default" w:ascii="Times New Roman" w:hAnsi="Times New Roman" w:eastAsia="宋体" w:cs="Times New Roman"/>
                <w:b w:val="0"/>
                <w:bCs w:val="0"/>
                <w:i w:val="0"/>
                <w:iCs w:val="0"/>
                <w:color w:val="auto"/>
                <w:kern w:val="0"/>
                <w:sz w:val="24"/>
                <w:szCs w:val="24"/>
                <w:highlight w:val="none"/>
                <w:u w:val="none"/>
                <w:lang w:eastAsia="zh-CN"/>
              </w:rPr>
              <w:t>t/a。</w:t>
            </w:r>
          </w:p>
          <w:p w14:paraId="7FB0B1E9">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（3）全厂污染物总量控制指标</w:t>
            </w:r>
          </w:p>
          <w:p w14:paraId="1BA74752">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综上，本项目建成后，全厂污染物排放总量指标为COD：</w:t>
            </w:r>
            <w:r>
              <w:rPr>
                <w:rFonts w:hint="default" w:ascii="Times New Roman" w:hAnsi="Times New Roman" w:eastAsia="宋体" w:cs="Times New Roman"/>
                <w:color w:val="auto"/>
                <w:kern w:val="2"/>
                <w:sz w:val="24"/>
                <w:szCs w:val="24"/>
                <w:lang w:val="en-US" w:eastAsia="zh-CN" w:bidi="ar-SA"/>
              </w:rPr>
              <w:t>0.0185t/a</w:t>
            </w:r>
            <w:r>
              <w:rPr>
                <w:rFonts w:hint="default" w:ascii="Times New Roman" w:hAnsi="Times New Roman" w:cs="Times New Roman"/>
                <w:color w:val="auto"/>
                <w:sz w:val="24"/>
              </w:rPr>
              <w:t>；氨氮：</w:t>
            </w:r>
            <w:r>
              <w:rPr>
                <w:rFonts w:hint="default" w:ascii="Times New Roman" w:hAnsi="Times New Roman" w:eastAsia="宋体" w:cs="Times New Roman"/>
                <w:color w:val="auto"/>
                <w:kern w:val="2"/>
                <w:sz w:val="24"/>
                <w:szCs w:val="24"/>
                <w:lang w:val="en-US" w:eastAsia="zh-CN" w:bidi="ar-SA"/>
              </w:rPr>
              <w:t>0.0023t/a</w:t>
            </w:r>
            <w:r>
              <w:rPr>
                <w:rFonts w:hint="default" w:ascii="Times New Roman" w:hAnsi="Times New Roman" w:cs="Times New Roman"/>
                <w:color w:val="auto"/>
                <w:sz w:val="24"/>
              </w:rPr>
              <w:t>，</w:t>
            </w:r>
            <w:r>
              <w:rPr>
                <w:rFonts w:hint="default" w:ascii="Times New Roman" w:hAnsi="Times New Roman" w:eastAsia="宋体" w:cs="Times New Roman"/>
                <w:b w:val="0"/>
                <w:bCs w:val="0"/>
                <w:i w:val="0"/>
                <w:iCs w:val="0"/>
                <w:color w:val="auto"/>
                <w:kern w:val="0"/>
                <w:sz w:val="24"/>
                <w:szCs w:val="24"/>
                <w:highlight w:val="none"/>
                <w:u w:val="none"/>
                <w:lang w:eastAsia="zh-CN"/>
              </w:rPr>
              <w:t>颗粒物</w:t>
            </w:r>
            <w:r>
              <w:rPr>
                <w:rFonts w:hint="default" w:ascii="Times New Roman" w:hAnsi="Times New Roman" w:cs="Times New Roman"/>
                <w:b w:val="0"/>
                <w:bCs w:val="0"/>
                <w:i w:val="0"/>
                <w:iCs w:val="0"/>
                <w:color w:val="auto"/>
                <w:kern w:val="0"/>
                <w:sz w:val="24"/>
                <w:szCs w:val="24"/>
                <w:highlight w:val="none"/>
                <w:u w:val="none"/>
                <w:lang w:eastAsia="zh-CN"/>
              </w:rPr>
              <w:t>：</w:t>
            </w:r>
            <w:r>
              <w:rPr>
                <w:rFonts w:hint="default" w:ascii="Times New Roman" w:hAnsi="Times New Roman" w:eastAsia="宋体" w:cs="Times New Roman"/>
                <w:b w:val="0"/>
                <w:bCs w:val="0"/>
                <w:i w:val="0"/>
                <w:iCs w:val="0"/>
                <w:color w:val="auto"/>
                <w:kern w:val="0"/>
                <w:sz w:val="24"/>
                <w:szCs w:val="24"/>
                <w:highlight w:val="none"/>
                <w:u w:val="none"/>
                <w:lang w:eastAsia="zh-CN"/>
              </w:rPr>
              <w:t>0.</w:t>
            </w:r>
            <w:r>
              <w:rPr>
                <w:rFonts w:hint="default" w:ascii="Times New Roman" w:hAnsi="Times New Roman" w:cs="Times New Roman"/>
                <w:b w:val="0"/>
                <w:bCs w:val="0"/>
                <w:i w:val="0"/>
                <w:iCs w:val="0"/>
                <w:color w:val="auto"/>
                <w:kern w:val="0"/>
                <w:sz w:val="24"/>
                <w:szCs w:val="24"/>
                <w:highlight w:val="none"/>
                <w:u w:val="none"/>
                <w:lang w:val="en-US" w:eastAsia="zh-CN"/>
              </w:rPr>
              <w:t>0624</w:t>
            </w:r>
            <w:r>
              <w:rPr>
                <w:rFonts w:hint="default" w:ascii="Times New Roman" w:hAnsi="Times New Roman" w:eastAsia="宋体" w:cs="Times New Roman"/>
                <w:b w:val="0"/>
                <w:bCs w:val="0"/>
                <w:i w:val="0"/>
                <w:iCs w:val="0"/>
                <w:color w:val="auto"/>
                <w:kern w:val="0"/>
                <w:sz w:val="24"/>
                <w:szCs w:val="24"/>
                <w:highlight w:val="none"/>
                <w:u w:val="none"/>
                <w:lang w:eastAsia="zh-CN"/>
              </w:rPr>
              <w:t>t/a</w:t>
            </w:r>
            <w:r>
              <w:rPr>
                <w:rFonts w:hint="default" w:ascii="Times New Roman" w:hAnsi="Times New Roman" w:cs="Times New Roman"/>
                <w:color w:val="auto"/>
                <w:sz w:val="24"/>
              </w:rPr>
              <w:t>。</w:t>
            </w:r>
          </w:p>
          <w:p w14:paraId="201FF03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（4）</w:t>
            </w:r>
            <w:r>
              <w:rPr>
                <w:rFonts w:hint="default" w:ascii="Times New Roman" w:hAnsi="Times New Roman" w:cs="Times New Roman"/>
                <w:color w:val="auto"/>
                <w:sz w:val="24"/>
              </w:rPr>
              <w:t>削减替代方案</w:t>
            </w:r>
          </w:p>
          <w:p w14:paraId="081A3D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iCs w:val="0"/>
                <w:color w:val="auto"/>
                <w:kern w:val="0"/>
                <w:sz w:val="24"/>
                <w:szCs w:val="24"/>
                <w:highlight w:val="none"/>
                <w:u w:val="none"/>
                <w:lang w:eastAsia="zh-CN"/>
              </w:rPr>
            </w:pPr>
            <w:r>
              <w:rPr>
                <w:rFonts w:hint="default" w:ascii="Times New Roman" w:hAnsi="Times New Roman" w:eastAsia="宋体" w:cs="Times New Roman"/>
                <w:b w:val="0"/>
                <w:bCs w:val="0"/>
                <w:i w:val="0"/>
                <w:iCs w:val="0"/>
                <w:color w:val="auto"/>
                <w:kern w:val="0"/>
                <w:sz w:val="24"/>
                <w:szCs w:val="24"/>
                <w:highlight w:val="none"/>
                <w:u w:val="none"/>
                <w:lang w:eastAsia="zh-CN"/>
              </w:rPr>
              <w:t>根据《环境保护部关于印发&lt;建设项目主要污染物排放总量指标审核及管理暂行办法&gt;的通知》（环发〔2014〕197 号），细颗粒物（PM</w:t>
            </w:r>
            <w:r>
              <w:rPr>
                <w:rFonts w:hint="default" w:ascii="Times New Roman" w:hAnsi="Times New Roman" w:eastAsia="宋体" w:cs="Times New Roman"/>
                <w:b w:val="0"/>
                <w:bCs w:val="0"/>
                <w:i w:val="0"/>
                <w:iCs w:val="0"/>
                <w:color w:val="auto"/>
                <w:kern w:val="0"/>
                <w:sz w:val="24"/>
                <w:szCs w:val="24"/>
                <w:highlight w:val="none"/>
                <w:u w:val="none"/>
                <w:vertAlign w:val="subscript"/>
                <w:lang w:eastAsia="zh-CN"/>
              </w:rPr>
              <w:t>2.5</w:t>
            </w:r>
            <w:r>
              <w:rPr>
                <w:rFonts w:hint="default" w:ascii="Times New Roman" w:hAnsi="Times New Roman" w:eastAsia="宋体" w:cs="Times New Roman"/>
                <w:b w:val="0"/>
                <w:bCs w:val="0"/>
                <w:i w:val="0"/>
                <w:iCs w:val="0"/>
                <w:color w:val="auto"/>
                <w:kern w:val="0"/>
                <w:sz w:val="24"/>
                <w:szCs w:val="24"/>
                <w:highlight w:val="none"/>
                <w:u w:val="none"/>
                <w:lang w:eastAsia="zh-CN"/>
              </w:rPr>
              <w:t>）年平均浓度不达标的城市，烟（粉）尘污染物均需进行 2 倍削减替代。</w:t>
            </w:r>
          </w:p>
          <w:p w14:paraId="7E6CB6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iCs w:val="0"/>
                <w:color w:val="auto"/>
                <w:kern w:val="0"/>
                <w:sz w:val="24"/>
                <w:szCs w:val="24"/>
                <w:highlight w:val="none"/>
                <w:u w:val="none"/>
                <w:lang w:val="en-US" w:eastAsia="zh-CN"/>
              </w:rPr>
            </w:pPr>
            <w:r>
              <w:rPr>
                <w:rFonts w:hint="default" w:ascii="Times New Roman" w:hAnsi="Times New Roman" w:cs="Times New Roman"/>
                <w:color w:val="auto"/>
                <w:sz w:val="24"/>
              </w:rPr>
              <w:t>倍量替代量为</w:t>
            </w:r>
            <w:r>
              <w:rPr>
                <w:rFonts w:hint="default" w:ascii="Times New Roman" w:hAnsi="Times New Roman" w:eastAsia="宋体" w:cs="Times New Roman"/>
                <w:b w:val="0"/>
                <w:bCs w:val="0"/>
                <w:i w:val="0"/>
                <w:iCs w:val="0"/>
                <w:color w:val="auto"/>
                <w:kern w:val="0"/>
                <w:sz w:val="24"/>
                <w:szCs w:val="24"/>
                <w:highlight w:val="none"/>
                <w:u w:val="none"/>
                <w:lang w:eastAsia="zh-CN"/>
              </w:rPr>
              <w:t>颗粒物：</w:t>
            </w:r>
            <w:r>
              <w:rPr>
                <w:rFonts w:hint="default" w:ascii="Times New Roman" w:hAnsi="Times New Roman" w:eastAsia="宋体" w:cs="Times New Roman"/>
                <w:b w:val="0"/>
                <w:bCs w:val="0"/>
                <w:i w:val="0"/>
                <w:iCs w:val="0"/>
                <w:color w:val="auto"/>
                <w:kern w:val="0"/>
                <w:sz w:val="24"/>
                <w:szCs w:val="24"/>
                <w:highlight w:val="none"/>
                <w:u w:val="none"/>
                <w:lang w:val="en-US" w:eastAsia="zh-CN"/>
              </w:rPr>
              <w:t>0.1248</w:t>
            </w:r>
            <w:r>
              <w:rPr>
                <w:rFonts w:hint="default" w:ascii="Times New Roman" w:hAnsi="Times New Roman" w:eastAsia="宋体" w:cs="Times New Roman"/>
                <w:b w:val="0"/>
                <w:bCs w:val="0"/>
                <w:i w:val="0"/>
                <w:iCs w:val="0"/>
                <w:color w:val="auto"/>
                <w:kern w:val="0"/>
                <w:sz w:val="24"/>
                <w:szCs w:val="24"/>
                <w:highlight w:val="none"/>
                <w:u w:val="none"/>
                <w:lang w:eastAsia="zh-CN"/>
              </w:rPr>
              <w:t>t/a。</w:t>
            </w:r>
          </w:p>
          <w:p w14:paraId="19F2E4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lang w:val="fr-FR"/>
              </w:rPr>
            </w:pPr>
            <w:r>
              <w:rPr>
                <w:rFonts w:hint="default" w:ascii="Times New Roman" w:hAnsi="Times New Roman" w:eastAsia="宋体" w:cs="Times New Roman"/>
                <w:color w:val="auto"/>
                <w:sz w:val="24"/>
                <w:szCs w:val="24"/>
                <w:lang w:val="en-US" w:eastAsia="zh-CN"/>
              </w:rPr>
              <w:t>根据《建设项目主要污染物排放总指标审核及管理暂行办法》的通知(环发【2014】197号)文件要求滑县区域内</w:t>
            </w:r>
            <w:r>
              <w:rPr>
                <w:rFonts w:hint="default" w:ascii="Times New Roman" w:hAnsi="Times New Roman" w:eastAsia="宋体" w:cs="Times New Roman"/>
                <w:color w:val="auto"/>
                <w:lang w:val="en-US" w:eastAsia="zh-CN"/>
              </w:rPr>
              <w:t>COD</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lang w:val="en-US" w:eastAsia="zh-CN"/>
              </w:rPr>
              <w:t>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w:t>
            </w:r>
            <w:r>
              <w:rPr>
                <w:rFonts w:hint="default" w:ascii="Times New Roman" w:hAnsi="Times New Roman" w:eastAsia="宋体" w:cs="Times New Roman"/>
                <w:color w:val="auto"/>
                <w:sz w:val="24"/>
                <w:szCs w:val="24"/>
                <w:lang w:val="en-US" w:eastAsia="zh-CN"/>
              </w:rPr>
              <w:t>排放需</w:t>
            </w:r>
            <w:r>
              <w:rPr>
                <w:rFonts w:hint="default" w:ascii="Times New Roman" w:hAnsi="Times New Roman" w:cs="Times New Roman"/>
                <w:color w:val="auto"/>
                <w:sz w:val="24"/>
                <w:szCs w:val="24"/>
                <w:lang w:val="en-US" w:eastAsia="zh-CN"/>
              </w:rPr>
              <w:t>等量</w:t>
            </w:r>
            <w:r>
              <w:rPr>
                <w:rFonts w:hint="default" w:ascii="Times New Roman" w:hAnsi="Times New Roman" w:eastAsia="宋体" w:cs="Times New Roman"/>
                <w:color w:val="auto"/>
                <w:sz w:val="24"/>
                <w:szCs w:val="24"/>
                <w:lang w:val="en-US" w:eastAsia="zh-CN"/>
              </w:rPr>
              <w:t>削减替代</w:t>
            </w:r>
            <w:r>
              <w:rPr>
                <w:rFonts w:hint="default" w:ascii="Times New Roman" w:hAnsi="Times New Roman" w:cs="Times New Roman"/>
                <w:color w:val="auto"/>
                <w:sz w:val="24"/>
                <w:szCs w:val="24"/>
                <w:lang w:val="en-US" w:eastAsia="zh-CN"/>
              </w:rPr>
              <w:t>。等量替代</w:t>
            </w:r>
            <w:r>
              <w:rPr>
                <w:rFonts w:hint="default" w:ascii="Times New Roman" w:hAnsi="Times New Roman" w:eastAsia="宋体" w:cs="Times New Roman"/>
                <w:color w:val="auto"/>
                <w:lang w:val="en-US" w:eastAsia="zh-CN"/>
              </w:rPr>
              <w:t>COD：</w:t>
            </w:r>
            <w:r>
              <w:rPr>
                <w:rFonts w:hint="default" w:ascii="Times New Roman" w:hAnsi="Times New Roman" w:eastAsia="宋体" w:cs="Times New Roman"/>
                <w:color w:val="auto"/>
                <w:kern w:val="2"/>
                <w:sz w:val="24"/>
                <w:szCs w:val="24"/>
                <w:lang w:val="en-US" w:eastAsia="zh-CN" w:bidi="ar-SA"/>
              </w:rPr>
              <w:t>0.0185t/a</w:t>
            </w:r>
            <w:r>
              <w:rPr>
                <w:rFonts w:hint="default" w:ascii="Times New Roman" w:hAnsi="Times New Roman" w:eastAsia="宋体" w:cs="Times New Roman"/>
                <w:color w:val="auto"/>
                <w:lang w:val="en-US" w:eastAsia="zh-CN"/>
              </w:rPr>
              <w:t>，NH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w:t>
            </w:r>
            <w:r>
              <w:rPr>
                <w:rFonts w:hint="default" w:ascii="Times New Roman" w:hAnsi="Times New Roman" w:eastAsia="宋体" w:cs="Times New Roman"/>
                <w:color w:val="auto"/>
                <w:kern w:val="2"/>
                <w:sz w:val="24"/>
                <w:szCs w:val="24"/>
                <w:lang w:val="en-US" w:eastAsia="zh-CN" w:bidi="ar-SA"/>
              </w:rPr>
              <w:t>0.0023</w:t>
            </w:r>
            <w:r>
              <w:rPr>
                <w:rFonts w:hint="default" w:ascii="Times New Roman" w:hAnsi="Times New Roman" w:eastAsia="宋体" w:cs="Times New Roman"/>
                <w:color w:val="auto"/>
                <w:lang w:val="en-US" w:eastAsia="zh-CN"/>
              </w:rPr>
              <w:t>t/a</w:t>
            </w:r>
            <w:r>
              <w:rPr>
                <w:rFonts w:hint="default" w:ascii="Times New Roman" w:hAnsi="Times New Roman" w:cs="Times New Roman"/>
                <w:color w:val="auto"/>
                <w:shd w:val="clear" w:color="auto" w:fill="auto"/>
                <w:lang w:eastAsia="zh-CN"/>
              </w:rPr>
              <w:t>。</w:t>
            </w:r>
          </w:p>
        </w:tc>
      </w:tr>
    </w:tbl>
    <w:p w14:paraId="3DF67529">
      <w:pPr>
        <w:pStyle w:val="9"/>
        <w:jc w:val="both"/>
        <w:rPr>
          <w:rFonts w:hint="default" w:ascii="Times New Roman" w:hAnsi="Times New Roman" w:eastAsia="宋体" w:cs="Times New Roman"/>
          <w:b w:val="0"/>
          <w:bCs w:val="0"/>
          <w:color w:val="auto"/>
          <w:kern w:val="2"/>
          <w:sz w:val="32"/>
          <w:szCs w:val="32"/>
          <w:lang w:val="en-US" w:eastAsia="zh-CN" w:bidi="ar-SA"/>
        </w:rPr>
      </w:pPr>
      <w:r>
        <w:rPr>
          <w:rFonts w:hint="default" w:ascii="Times New Roman" w:hAnsi="Times New Roman" w:eastAsia="宋体" w:cs="Times New Roman"/>
          <w:b w:val="0"/>
          <w:bCs w:val="0"/>
          <w:color w:val="auto"/>
          <w:kern w:val="2"/>
          <w:sz w:val="32"/>
          <w:szCs w:val="32"/>
          <w:lang w:val="en-US" w:eastAsia="zh-CN" w:bidi="ar-SA"/>
        </w:rPr>
        <w:t>四、主要环境影响和保护措施</w:t>
      </w:r>
    </w:p>
    <w:tbl>
      <w:tblPr>
        <w:tblStyle w:val="20"/>
        <w:tblW w:w="1068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7"/>
        <w:gridCol w:w="9707"/>
      </w:tblGrid>
      <w:tr w14:paraId="0B9064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9" w:hRule="atLeast"/>
          <w:jc w:val="center"/>
        </w:trPr>
        <w:tc>
          <w:tcPr>
            <w:tcW w:w="977" w:type="dxa"/>
            <w:tcBorders>
              <w:tl2br w:val="nil"/>
              <w:tr2bl w:val="nil"/>
            </w:tcBorders>
            <w:noWrap w:val="0"/>
            <w:vAlign w:val="center"/>
          </w:tcPr>
          <w:p w14:paraId="6925DFC6">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b w:val="0"/>
                <w:bCs w:val="0"/>
                <w:color w:val="auto"/>
                <w:kern w:val="21"/>
                <w:szCs w:val="21"/>
                <w:lang w:eastAsia="zh-CN"/>
              </w:rPr>
              <w:t>施工期环境保护措施</w:t>
            </w:r>
          </w:p>
        </w:tc>
        <w:tc>
          <w:tcPr>
            <w:tcW w:w="9707" w:type="dxa"/>
            <w:tcBorders>
              <w:tl2br w:val="nil"/>
              <w:tr2bl w:val="nil"/>
            </w:tcBorders>
            <w:noWrap w:val="0"/>
            <w:vAlign w:val="top"/>
          </w:tcPr>
          <w:p w14:paraId="59C1EC9C">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color w:val="auto"/>
                <w:kern w:val="2"/>
                <w:sz w:val="24"/>
                <w:szCs w:val="24"/>
                <w:lang w:val="en-US" w:eastAsia="zh-CN" w:bidi="zh-CN"/>
              </w:rPr>
            </w:pPr>
            <w:r>
              <w:rPr>
                <w:rFonts w:hint="default" w:ascii="Times New Roman" w:hAnsi="Times New Roman" w:eastAsia="宋体" w:cs="Times New Roman"/>
                <w:b/>
                <w:bCs/>
                <w:color w:val="auto"/>
                <w:kern w:val="2"/>
                <w:sz w:val="24"/>
                <w:szCs w:val="24"/>
                <w:lang w:val="en-US" w:eastAsia="zh-CN" w:bidi="zh-CN"/>
              </w:rPr>
              <w:t>一、</w:t>
            </w:r>
            <w:r>
              <w:rPr>
                <w:rFonts w:hint="default" w:ascii="Times New Roman" w:hAnsi="Times New Roman" w:eastAsia="宋体" w:cs="Times New Roman"/>
                <w:color w:val="auto"/>
                <w:sz w:val="24"/>
                <w:szCs w:val="24"/>
              </w:rPr>
              <w:t>施工期环境影响分析</w:t>
            </w:r>
          </w:p>
          <w:p w14:paraId="4ABCEA86">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1、施工扬尘防治措施 </w:t>
            </w:r>
          </w:p>
          <w:p w14:paraId="58A58EE1">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产生的扬尘主要集中在土建施工阶段。按起尘的原因可分为风力起尘和动力起尘，其中风力起尘主要是由于露天堆放的建材（如砂石、水泥等）及裸露的施工区表层浮尘因天气干燥及有风条件下，产生风力扬尘；动力起尘主要是在施工过程、建材的装卸、车辆行驶过程中。根据类比调查分析，大风情况下，距施工现场下风向 1m 处扬尘浓度可达3.0mg/m³，25m处为1.5mg/m³，50m 处为 0.5mg/m³。据有关文献资料，车辆行驶产生的扬尘占总扬尘量的60%以上。由于外力而产生的扬尘，其中以施工及装卸车辆造成的扬尘最为严重。因此，在同样路面清洁程度条件下，车速越快，扬尘量越大；而在同样车速情况下，路面积尘量大，则扬尘量越大。因此限速行驶及保持路面的清洁是减少车辆运输产生扬尘的有效手段。 对于施工期间的空气环境影响主要是施工扬尘和机械车辆尾气。施工过程中的场地清理、建筑施工、建筑材料运输和堆放等过程都会产生扬尘，干燥无雨的天气尤为严重。项目施工机械和车辆会产生尾气，对周围环境造成一定的影响。为减少项目施工期扬尘对周边环境影响，评价要求：施工按照《河南省生态环境保护委员会关于印发河南省 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 xml:space="preserve"> 年蓝天保卫战实施方案的通知》（豫环攻坚办〔202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 xml:space="preserve"> 号）、本次评价提出的施工扬尘防治措施如下：（1）建设单位要强化工地扬尘污染防治。严格落实施工工地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六个百分之百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（施工现场百分之百围挡，裸露黄土及易起尘物料堆放百分之百覆盖，现场主要道路百分之百硬化，进出车辆百分之百冲洗，拆除和土方工程百分之百湿法作业，渣土运输车辆百分之百封闭）、</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两个禁止</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（禁止施工现场搅拌混凝土、禁止施工现场配置砂浆）、开复工验收、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（扬尘污染防治监督员、网格员、管理员）管理、扬尘防治预算管理等制度，实施渣土车密闭运输、清洁运输，完善降尘监测和考评体系。 （2）建设单位要将防治扬尘费用列入工程造价，在加装视频监控、监管人员到位、经报备批准后方可施工，严格落实有关扬尘防治的要求，建筑面积在1 万平方米及以上的建筑施工工地主要扬尘产生点须安装视频监控装置，实施施工全过程监控。 （3）避免大风天气作业，项目施工过程中避免在大风天气进行水泥、黄沙等的装卸作业，对水泥类物料尽可能不要露天堆放，即使必须露天堆放，也要注意加盖防雨布，减少大风造成的施工扬尘；（4）设置围挡：施工期间设置不低于 2m 高围挡，围挡下方设置不低于20cm高的防溢座以防止粉尘流失，任意两块围挡以及围挡与防溢座的拼接处都不能有大于 0.5cm 的缝隙，围挡不得有明显的漏洞，采取该措施后，可降低10%左右的扬尘排放量；（5）持续洒水降尘措施。施工期现场定期喷洒，保证地面湿润不起尘，采取该措施后，可减少 2.5%的扬尘排放量；施工中使用商品混凝土，可降低5%左右的扬尘排放量；（6）限制施工场地内车辆车速：施工场地的扬尘，大部分来自施工车辆。根据有关分析，在同样清洁程度的条件下，车速越慢，扬尘量越小。本场地施工车辆在进入施工场地后，需减速行驶，以减少施工场地扬尘，建议行驶速度不大于 5km/h；（7）设置运输车辆冲洗装置：运输车辆驶出工地前，应对车轮、车身、车槽帮等部位进行清理或清洗以保证车辆清洁上路，施工场所车辆入口和出口30m 内部分的路面上不应有明显的泥印、砂石、灰土等易扬尘物料，采取该措施后可降低 10%左右的扬尘排放量。采取这些措施后，施工期产生的施工扬尘对周边环境的影响较小。</w:t>
            </w:r>
          </w:p>
          <w:p w14:paraId="5C7FE04D">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 xml:space="preserve">施工噪声防治措施 </w:t>
            </w:r>
          </w:p>
          <w:p w14:paraId="4359F227">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为减轻施工噪声对周围环境以及敏感目标的影响，根据《中华人民共和国噪声污染防治法》的要求，施工期间应做好如下噪声污染防治工作：（1）施工单位必须在工程开工 15 日前向当地环境保护行政主管部门提出申报该工程项目名称、施工场所和期限、可能产生的环境噪声值以及所采取的环境噪声污染防治措施等情况，经批准后方可施工。 （2）打桩机械在运转操作时，应在设备噪音声源处进行遮挡；（3）现场的加压泵、电锯、砂轮、空压机等可固定设备尽量布置固定区域，并且应在工地相应方位搭设设备房或操作间，不可露天作业，以便采取隔声、消声、减振等降噪措施； （4）选用低噪声设备，加强设备的维护与管理以保证其正常工作，减少噪声污染，垂直运输机械、各种大型设备应时常设专人维修保养，不得在运行中发出奇声怪音，以免噪声污染环境； （5）施工中禁止采用联络性鸣笛等产生噪声污染的施工方式；（6）统筹安排施工，尽可能避免在同一区段同一时间安排大量产生噪声设备同时施工； （7）建设单位应加强管理，文明施工，例如现场装卸钢模、设备机具时，应轻装慢放，不得随意乱扔发出噪声； （8）合理安排施工作业计划，禁止在夜间进行产生噪声污染的施工作业。确需夜间施工作业，必须提前 3 日提出书面申请到地方环保行政主管部门申报《夜间施工许可证》，经审核批准后，方可施工，并由施工单位公告当地居民。</w:t>
            </w:r>
          </w:p>
          <w:p w14:paraId="689851FD">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施工废水防治措施</w:t>
            </w:r>
          </w:p>
          <w:p w14:paraId="122FEDAF">
            <w:pPr>
              <w:pStyle w:val="23"/>
              <w:numPr>
                <w:ilvl w:val="0"/>
                <w:numId w:val="0"/>
              </w:numPr>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1）在施工期前期，主要是土建施工，机械施工较多，产生的少量施工生活废水，经沉淀后用于泼洒地面。（2）冲洗车辆的废水以及施工产生的泥浆废水应进行沉淀处理，尽可能地重复利用上清液，减少水资源的消耗。 </w:t>
            </w:r>
          </w:p>
          <w:p w14:paraId="0C4450D8">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4、施工期固体废物防治措施 </w:t>
            </w:r>
          </w:p>
          <w:p w14:paraId="5FC47A55">
            <w:pPr>
              <w:pStyle w:val="23"/>
              <w:numPr>
                <w:ilvl w:val="0"/>
                <w:numId w:val="0"/>
              </w:numPr>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施工期固体废弃物主要是生活垃圾、建筑垃圾和废弃土石方。</w:t>
            </w:r>
          </w:p>
          <w:p w14:paraId="24C46851">
            <w:pPr>
              <w:pStyle w:val="23"/>
              <w:numPr>
                <w:ilvl w:val="0"/>
                <w:numId w:val="5"/>
              </w:numPr>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生活垃圾 </w:t>
            </w:r>
          </w:p>
          <w:p w14:paraId="4EA802EB">
            <w:pPr>
              <w:pStyle w:val="23"/>
              <w:numPr>
                <w:ilvl w:val="0"/>
                <w:numId w:val="0"/>
              </w:numPr>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 xml:space="preserve">生活垃圾产生量较小，垃圾箱集中堆放后，由专人定时清理，运送至生活垃圾填埋场处理。 </w:t>
            </w:r>
          </w:p>
          <w:p w14:paraId="62652F20">
            <w:pPr>
              <w:pStyle w:val="23"/>
              <w:numPr>
                <w:ilvl w:val="0"/>
                <w:numId w:val="5"/>
              </w:numPr>
              <w:ind w:leftChars="0"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建筑垃圾及土石方</w:t>
            </w:r>
          </w:p>
          <w:p w14:paraId="52A1DC52">
            <w:pPr>
              <w:pStyle w:val="23"/>
              <w:numPr>
                <w:ilvl w:val="0"/>
                <w:numId w:val="0"/>
              </w:numPr>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建筑垃圾主要是一些包装袋、包装箱、碎木块、废水泥、浇注件等，首先应对其中可回收利用部分进行回收，其次对建筑垃圾要定点堆放，及时送往建筑垃圾堆放场。 </w:t>
            </w:r>
          </w:p>
          <w:p w14:paraId="5222FE7C">
            <w:pPr>
              <w:pStyle w:val="23"/>
              <w:numPr>
                <w:ilvl w:val="0"/>
                <w:numId w:val="0"/>
              </w:numPr>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施工前应做好土石方平衡工作，尽量使挖方和填方相等或相差不大，废弃土石方与建筑垃圾一起送往建筑垃圾堆放场。</w:t>
            </w:r>
          </w:p>
        </w:tc>
      </w:tr>
      <w:tr w14:paraId="70D232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9" w:hRule="atLeast"/>
          <w:jc w:val="center"/>
        </w:trPr>
        <w:tc>
          <w:tcPr>
            <w:tcW w:w="977" w:type="dxa"/>
            <w:tcBorders>
              <w:tl2br w:val="nil"/>
              <w:tr2bl w:val="nil"/>
            </w:tcBorders>
            <w:noWrap w:val="0"/>
            <w:vAlign w:val="center"/>
          </w:tcPr>
          <w:p w14:paraId="647DC586">
            <w:pPr>
              <w:jc w:val="center"/>
              <w:rPr>
                <w:rFonts w:hint="default" w:ascii="Times New Roman" w:hAnsi="Times New Roman" w:eastAsia="宋体" w:cs="Times New Roman"/>
                <w:b w:val="0"/>
                <w:bCs w:val="0"/>
                <w:color w:val="auto"/>
                <w:kern w:val="21"/>
                <w:szCs w:val="21"/>
                <w:lang w:eastAsia="zh-CN"/>
              </w:rPr>
            </w:pPr>
            <w:r>
              <w:rPr>
                <w:rFonts w:hint="default" w:ascii="Times New Roman" w:hAnsi="Times New Roman" w:eastAsia="宋体" w:cs="Times New Roman"/>
                <w:b w:val="0"/>
                <w:bCs w:val="0"/>
                <w:color w:val="auto"/>
                <w:kern w:val="21"/>
                <w:szCs w:val="21"/>
                <w:lang w:eastAsia="zh-CN"/>
              </w:rPr>
              <w:t>运营期环境影响和保护措施</w:t>
            </w:r>
          </w:p>
        </w:tc>
        <w:tc>
          <w:tcPr>
            <w:tcW w:w="9707" w:type="dxa"/>
            <w:tcBorders>
              <w:tl2br w:val="nil"/>
              <w:tr2bl w:val="nil"/>
            </w:tcBorders>
            <w:noWrap w:val="0"/>
            <w:vAlign w:val="top"/>
          </w:tcPr>
          <w:p w14:paraId="6DADEB6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zh-CN"/>
              </w:rPr>
            </w:pPr>
            <w:r>
              <w:rPr>
                <w:rFonts w:hint="default" w:ascii="Times New Roman" w:hAnsi="Times New Roman" w:eastAsia="宋体" w:cs="Times New Roman"/>
                <w:b w:val="0"/>
                <w:bCs w:val="0"/>
                <w:color w:val="auto"/>
                <w:kern w:val="2"/>
                <w:sz w:val="24"/>
                <w:szCs w:val="24"/>
                <w:lang w:val="en-US" w:eastAsia="zh-CN" w:bidi="zh-CN"/>
              </w:rPr>
              <w:t>1、大气环境影响分析</w:t>
            </w:r>
          </w:p>
          <w:p w14:paraId="7BBC6791">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rPr>
              <w:t>1.</w:t>
            </w:r>
            <w:r>
              <w:rPr>
                <w:rFonts w:hint="default"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lang w:eastAsia="zh-CN"/>
              </w:rPr>
              <w:t>投料粉尘</w:t>
            </w:r>
          </w:p>
          <w:p w14:paraId="757826E0">
            <w:pPr>
              <w:pStyle w:val="23"/>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本项目</w:t>
            </w:r>
            <w:r>
              <w:rPr>
                <w:rFonts w:hint="default" w:ascii="Times New Roman" w:hAnsi="Times New Roman" w:eastAsia="宋体" w:cs="Times New Roman"/>
                <w:b w:val="0"/>
                <w:bCs/>
                <w:color w:val="auto"/>
                <w:sz w:val="24"/>
                <w:lang w:eastAsia="zh-CN"/>
              </w:rPr>
              <w:t>为</w:t>
            </w:r>
            <w:r>
              <w:rPr>
                <w:rFonts w:hint="default" w:ascii="Times New Roman" w:hAnsi="Times New Roman" w:eastAsia="宋体" w:cs="Times New Roman"/>
                <w:b w:val="0"/>
                <w:bCs/>
                <w:color w:val="auto"/>
                <w:sz w:val="24"/>
                <w:lang w:val="en-US" w:eastAsia="zh-CN"/>
              </w:rPr>
              <w:t>年产500吨淀粉糖品生产制造项目</w:t>
            </w:r>
            <w:r>
              <w:rPr>
                <w:rFonts w:hint="default" w:ascii="Times New Roman" w:hAnsi="Times New Roman" w:eastAsia="宋体" w:cs="Times New Roman"/>
                <w:b w:val="0"/>
                <w:bCs/>
                <w:color w:val="auto"/>
                <w:sz w:val="24"/>
              </w:rPr>
              <w:t>，</w:t>
            </w:r>
            <w:r>
              <w:rPr>
                <w:rFonts w:hint="default" w:ascii="Times New Roman" w:hAnsi="Times New Roman" w:cs="Times New Roman"/>
                <w:b w:val="0"/>
                <w:bCs/>
                <w:color w:val="auto"/>
                <w:sz w:val="24"/>
                <w:lang w:eastAsia="zh-CN"/>
              </w:rPr>
              <w:t>与</w:t>
            </w:r>
            <w:r>
              <w:rPr>
                <w:rFonts w:hint="default" w:ascii="Times New Roman" w:hAnsi="Times New Roman" w:eastAsia="宋体" w:cs="Times New Roman"/>
                <w:b w:val="0"/>
                <w:bCs/>
                <w:color w:val="auto"/>
                <w:sz w:val="24"/>
              </w:rPr>
              <w:t>《通许县超盛食品有限公司年产500吨淀粉食品加工项目竣工环境保护验收监测</w:t>
            </w:r>
            <w:r>
              <w:rPr>
                <w:rFonts w:hint="default" w:ascii="Times New Roman" w:hAnsi="Times New Roman" w:cs="Times New Roman"/>
                <w:b w:val="0"/>
                <w:bCs/>
                <w:color w:val="auto"/>
                <w:sz w:val="24"/>
                <w:lang w:eastAsia="zh-CN"/>
              </w:rPr>
              <w:t>表</w:t>
            </w:r>
            <w:r>
              <w:rPr>
                <w:rFonts w:hint="default" w:ascii="Times New Roman" w:hAnsi="Times New Roman" w:eastAsia="宋体" w:cs="Times New Roman"/>
                <w:b w:val="0"/>
                <w:bCs/>
                <w:color w:val="auto"/>
                <w:sz w:val="24"/>
              </w:rPr>
              <w:t>》</w:t>
            </w:r>
            <w:r>
              <w:rPr>
                <w:rFonts w:hint="default" w:ascii="Times New Roman" w:hAnsi="Times New Roman" w:cs="Times New Roman"/>
                <w:b w:val="0"/>
                <w:bCs/>
                <w:color w:val="auto"/>
                <w:sz w:val="24"/>
                <w:lang w:eastAsia="zh-CN"/>
              </w:rPr>
              <w:t>中原料、燃料的类别相同且与污染物排放相关的成分相似（差异不超过 10%）；产品类别相同、生产工艺相同、故类比</w:t>
            </w:r>
            <w:r>
              <w:rPr>
                <w:rFonts w:hint="default" w:ascii="Times New Roman" w:hAnsi="Times New Roman" w:eastAsia="宋体" w:cs="Times New Roman"/>
                <w:b w:val="0"/>
                <w:bCs/>
                <w:color w:val="auto"/>
                <w:sz w:val="24"/>
              </w:rPr>
              <w:t>《通许县超盛食品有限公司年产500吨淀粉食品加工项目竣工环境保护验收监测</w:t>
            </w:r>
            <w:r>
              <w:rPr>
                <w:rFonts w:hint="default" w:ascii="Times New Roman" w:hAnsi="Times New Roman" w:cs="Times New Roman"/>
                <w:b w:val="0"/>
                <w:bCs/>
                <w:color w:val="auto"/>
                <w:sz w:val="24"/>
                <w:lang w:eastAsia="zh-CN"/>
              </w:rPr>
              <w:t>表</w:t>
            </w:r>
            <w:r>
              <w:rPr>
                <w:rFonts w:hint="default" w:ascii="Times New Roman" w:hAnsi="Times New Roman" w:eastAsia="宋体" w:cs="Times New Roman"/>
                <w:b w:val="0"/>
                <w:bCs/>
                <w:color w:val="auto"/>
                <w:sz w:val="24"/>
              </w:rPr>
              <w:t>》</w:t>
            </w:r>
            <w:r>
              <w:rPr>
                <w:rFonts w:hint="default" w:ascii="Times New Roman" w:hAnsi="Times New Roman" w:cs="Times New Roman"/>
                <w:b w:val="0"/>
                <w:bCs/>
                <w:color w:val="auto"/>
                <w:sz w:val="24"/>
                <w:lang w:eastAsia="zh-CN"/>
              </w:rPr>
              <w:t>，</w:t>
            </w:r>
            <w:r>
              <w:rPr>
                <w:rFonts w:hint="default" w:ascii="Times New Roman" w:hAnsi="Times New Roman" w:eastAsia="宋体" w:cs="Times New Roman"/>
                <w:b w:val="0"/>
                <w:bCs/>
                <w:color w:val="auto"/>
                <w:sz w:val="24"/>
              </w:rPr>
              <w:t>则淀粉制品</w:t>
            </w:r>
            <w:r>
              <w:rPr>
                <w:rFonts w:hint="default" w:ascii="Times New Roman" w:hAnsi="Times New Roman" w:eastAsia="宋体" w:cs="Times New Roman"/>
                <w:b w:val="0"/>
                <w:bCs/>
                <w:color w:val="auto"/>
                <w:sz w:val="24"/>
                <w:lang w:eastAsia="zh-CN"/>
              </w:rPr>
              <w:t>搅拌</w:t>
            </w:r>
            <w:r>
              <w:rPr>
                <w:rFonts w:hint="default" w:ascii="Times New Roman" w:hAnsi="Times New Roman" w:eastAsia="宋体" w:cs="Times New Roman"/>
                <w:b w:val="0"/>
                <w:bCs/>
                <w:color w:val="auto"/>
                <w:sz w:val="24"/>
              </w:rPr>
              <w:t xml:space="preserve">粉尘产生量为 </w:t>
            </w:r>
            <w:r>
              <w:rPr>
                <w:rFonts w:hint="default" w:ascii="Times New Roman" w:hAnsi="Times New Roman" w:eastAsia="宋体" w:cs="Times New Roman"/>
                <w:b w:val="0"/>
                <w:bCs/>
                <w:color w:val="auto"/>
                <w:sz w:val="24"/>
                <w:lang w:val="en-US" w:eastAsia="zh-CN"/>
              </w:rPr>
              <w:t>0.</w:t>
            </w:r>
            <w:r>
              <w:rPr>
                <w:rFonts w:hint="default" w:ascii="Times New Roman" w:hAnsi="Times New Roman" w:cs="Times New Roman"/>
                <w:b w:val="0"/>
                <w:bCs/>
                <w:color w:val="auto"/>
                <w:sz w:val="24"/>
                <w:lang w:val="en-US" w:eastAsia="zh-CN"/>
              </w:rPr>
              <w:t>26</w:t>
            </w:r>
            <w:r>
              <w:rPr>
                <w:rFonts w:hint="default" w:ascii="Times New Roman" w:hAnsi="Times New Roman" w:eastAsia="宋体" w:cs="Times New Roman"/>
                <w:b w:val="0"/>
                <w:bCs/>
                <w:color w:val="auto"/>
                <w:sz w:val="24"/>
              </w:rPr>
              <w:t>t/a，</w:t>
            </w:r>
            <w:r>
              <w:rPr>
                <w:rFonts w:hint="default" w:ascii="Times New Roman" w:hAnsi="Times New Roman" w:eastAsia="宋体" w:cs="Times New Roman"/>
                <w:b w:val="0"/>
                <w:bCs/>
                <w:color w:val="auto"/>
                <w:sz w:val="24"/>
                <w:lang w:eastAsia="zh-CN"/>
              </w:rPr>
              <w:t>投料工序</w:t>
            </w:r>
            <w:r>
              <w:rPr>
                <w:rFonts w:hint="default" w:ascii="Times New Roman" w:hAnsi="Times New Roman" w:eastAsia="宋体" w:cs="Times New Roman"/>
                <w:b w:val="0"/>
                <w:bCs/>
                <w:color w:val="auto"/>
                <w:sz w:val="24"/>
                <w:lang w:val="en-US" w:eastAsia="zh-CN"/>
              </w:rPr>
              <w:t>2h/d，则</w:t>
            </w:r>
            <w:r>
              <w:rPr>
                <w:rFonts w:hint="default" w:ascii="Times New Roman" w:hAnsi="Times New Roman" w:eastAsia="宋体" w:cs="Times New Roman"/>
                <w:b w:val="0"/>
                <w:bCs/>
                <w:color w:val="auto"/>
                <w:sz w:val="24"/>
              </w:rPr>
              <w:t>产生速率为 0.</w:t>
            </w:r>
            <w:r>
              <w:rPr>
                <w:rFonts w:hint="default" w:ascii="Times New Roman" w:hAnsi="Times New Roman" w:cs="Times New Roman"/>
                <w:b w:val="0"/>
                <w:bCs/>
                <w:color w:val="auto"/>
                <w:sz w:val="24"/>
                <w:lang w:val="en-US" w:eastAsia="zh-CN"/>
              </w:rPr>
              <w:t>433</w:t>
            </w:r>
            <w:r>
              <w:rPr>
                <w:rFonts w:hint="default" w:ascii="Times New Roman" w:hAnsi="Times New Roman" w:eastAsia="宋体" w:cs="Times New Roman"/>
                <w:b w:val="0"/>
                <w:bCs/>
                <w:color w:val="auto"/>
                <w:sz w:val="24"/>
              </w:rPr>
              <w:t>kg/h。环评建议对</w:t>
            </w:r>
            <w:r>
              <w:rPr>
                <w:rFonts w:hint="default" w:ascii="Times New Roman" w:hAnsi="Times New Roman" w:eastAsia="宋体" w:cs="Times New Roman"/>
                <w:b w:val="0"/>
                <w:bCs/>
                <w:color w:val="auto"/>
                <w:sz w:val="24"/>
                <w:lang w:eastAsia="zh-CN"/>
              </w:rPr>
              <w:t>搅拌</w:t>
            </w:r>
            <w:r>
              <w:rPr>
                <w:rFonts w:hint="default" w:ascii="Times New Roman" w:hAnsi="Times New Roman" w:eastAsia="宋体" w:cs="Times New Roman"/>
                <w:b w:val="0"/>
                <w:bCs/>
                <w:color w:val="auto"/>
                <w:sz w:val="24"/>
              </w:rPr>
              <w:t>工序进行二次密闭，并在密闭间上方设集气罩，粉尘经集气罩收集后，引至一套袋式除尘器进行处理后由 15m 高排气筒（DA00</w:t>
            </w:r>
            <w:r>
              <w:rPr>
                <w:rFonts w:hint="default"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rPr>
              <w:t>）排放。集气罩的集气效率不低于 80%，风机风量为 3000m</w:t>
            </w:r>
            <w:r>
              <w:rPr>
                <w:rFonts w:hint="default" w:ascii="Times New Roman" w:hAnsi="Times New Roman" w:eastAsia="宋体" w:cs="Times New Roman"/>
                <w:b w:val="0"/>
                <w:bCs/>
                <w:color w:val="auto"/>
                <w:sz w:val="24"/>
                <w:vertAlign w:val="superscript"/>
              </w:rPr>
              <w:t>3</w:t>
            </w:r>
            <w:r>
              <w:rPr>
                <w:rFonts w:hint="default" w:ascii="Times New Roman" w:hAnsi="Times New Roman" w:eastAsia="宋体" w:cs="Times New Roman"/>
                <w:b w:val="0"/>
                <w:bCs/>
                <w:color w:val="auto"/>
                <w:sz w:val="24"/>
              </w:rPr>
              <w:t>/h，袋式除尘器除尘效率不低于 95%。</w:t>
            </w:r>
          </w:p>
          <w:p w14:paraId="227917BA">
            <w:pPr>
              <w:pStyle w:val="23"/>
              <w:keepNext w:val="0"/>
              <w:keepLines w:val="0"/>
              <w:pageBreakBefore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表</w:t>
            </w:r>
            <w:r>
              <w:rPr>
                <w:rFonts w:hint="default" w:ascii="Times New Roman" w:hAnsi="Times New Roman" w:eastAsia="宋体" w:cs="Times New Roman"/>
                <w:b w:val="0"/>
                <w:bCs/>
                <w:color w:val="auto"/>
                <w:sz w:val="24"/>
                <w:lang w:val="en-US" w:eastAsia="zh-CN"/>
              </w:rPr>
              <w:t>4-1</w:t>
            </w:r>
            <w:r>
              <w:rPr>
                <w:rFonts w:hint="default" w:ascii="Times New Roman" w:hAnsi="Times New Roman" w:eastAsia="宋体" w:cs="Times New Roman"/>
                <w:b w:val="0"/>
                <w:bCs/>
                <w:color w:val="auto"/>
                <w:sz w:val="24"/>
              </w:rPr>
              <w:t>项目运营期</w:t>
            </w:r>
            <w:r>
              <w:rPr>
                <w:rFonts w:hint="default" w:ascii="Times New Roman" w:hAnsi="Times New Roman" w:eastAsia="宋体" w:cs="Times New Roman"/>
                <w:b w:val="0"/>
                <w:bCs/>
                <w:color w:val="auto"/>
                <w:sz w:val="24"/>
                <w:lang w:eastAsia="zh-CN"/>
              </w:rPr>
              <w:t>废气</w:t>
            </w:r>
            <w:r>
              <w:rPr>
                <w:rFonts w:hint="default" w:ascii="Times New Roman" w:hAnsi="Times New Roman" w:eastAsia="宋体" w:cs="Times New Roman"/>
                <w:b w:val="0"/>
                <w:bCs/>
                <w:color w:val="auto"/>
                <w:sz w:val="24"/>
              </w:rPr>
              <w:t>产排情况一览表</w:t>
            </w:r>
          </w:p>
          <w:tbl>
            <w:tblPr>
              <w:tblStyle w:val="20"/>
              <w:tblW w:w="9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933"/>
              <w:gridCol w:w="612"/>
              <w:gridCol w:w="945"/>
              <w:gridCol w:w="1009"/>
              <w:gridCol w:w="1035"/>
              <w:gridCol w:w="1331"/>
              <w:gridCol w:w="915"/>
              <w:gridCol w:w="903"/>
              <w:gridCol w:w="1069"/>
            </w:tblGrid>
            <w:tr w14:paraId="5F3A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14:paraId="35670B25">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产污环节</w:t>
                  </w:r>
                </w:p>
              </w:tc>
              <w:tc>
                <w:tcPr>
                  <w:tcW w:w="1545" w:type="dxa"/>
                  <w:gridSpan w:val="2"/>
                  <w:vAlign w:val="center"/>
                </w:tcPr>
                <w:p w14:paraId="733EAFC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污染物</w:t>
                  </w:r>
                </w:p>
              </w:tc>
              <w:tc>
                <w:tcPr>
                  <w:tcW w:w="945" w:type="dxa"/>
                  <w:vAlign w:val="center"/>
                </w:tcPr>
                <w:p w14:paraId="00E85593">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产生量</w:t>
                  </w:r>
                  <w:r>
                    <w:rPr>
                      <w:rFonts w:hint="default" w:ascii="Times New Roman" w:hAnsi="Times New Roman" w:eastAsia="宋体" w:cs="Times New Roman"/>
                      <w:b w:val="0"/>
                      <w:bCs/>
                      <w:color w:val="auto"/>
                      <w:sz w:val="24"/>
                    </w:rPr>
                    <w:t>t/a</w:t>
                  </w:r>
                </w:p>
              </w:tc>
              <w:tc>
                <w:tcPr>
                  <w:tcW w:w="1009" w:type="dxa"/>
                  <w:vAlign w:val="center"/>
                </w:tcPr>
                <w:p w14:paraId="1BFEDB0C">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产生速率</w:t>
                  </w:r>
                  <w:r>
                    <w:rPr>
                      <w:rFonts w:hint="default" w:ascii="Times New Roman" w:hAnsi="Times New Roman" w:eastAsia="宋体" w:cs="Times New Roman"/>
                      <w:b w:val="0"/>
                      <w:bCs/>
                      <w:color w:val="auto"/>
                      <w:sz w:val="24"/>
                    </w:rPr>
                    <w:t>kg/h</w:t>
                  </w:r>
                </w:p>
              </w:tc>
              <w:tc>
                <w:tcPr>
                  <w:tcW w:w="1035" w:type="dxa"/>
                  <w:vAlign w:val="center"/>
                </w:tcPr>
                <w:p w14:paraId="58420E5F">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产生浓度mg/m</w:t>
                  </w:r>
                  <w:r>
                    <w:rPr>
                      <w:rFonts w:hint="default" w:ascii="Times New Roman" w:hAnsi="Times New Roman" w:eastAsia="宋体" w:cs="Times New Roman"/>
                      <w:b w:val="0"/>
                      <w:bCs/>
                      <w:color w:val="auto"/>
                      <w:sz w:val="21"/>
                      <w:szCs w:val="21"/>
                      <w:vertAlign w:val="superscript"/>
                      <w:lang w:eastAsia="zh-CN"/>
                    </w:rPr>
                    <w:t>3</w:t>
                  </w:r>
                </w:p>
              </w:tc>
              <w:tc>
                <w:tcPr>
                  <w:tcW w:w="1331" w:type="dxa"/>
                  <w:vAlign w:val="center"/>
                </w:tcPr>
                <w:p w14:paraId="142445E5">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防治措施</w:t>
                  </w:r>
                </w:p>
              </w:tc>
              <w:tc>
                <w:tcPr>
                  <w:tcW w:w="915" w:type="dxa"/>
                  <w:vAlign w:val="center"/>
                </w:tcPr>
                <w:p w14:paraId="3E4DB6DF">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排放量</w:t>
                  </w:r>
                  <w:r>
                    <w:rPr>
                      <w:rFonts w:hint="default" w:ascii="Times New Roman" w:hAnsi="Times New Roman" w:eastAsia="宋体" w:cs="Times New Roman"/>
                      <w:b w:val="0"/>
                      <w:bCs/>
                      <w:color w:val="auto"/>
                      <w:sz w:val="24"/>
                    </w:rPr>
                    <w:t>t/a</w:t>
                  </w:r>
                </w:p>
              </w:tc>
              <w:tc>
                <w:tcPr>
                  <w:tcW w:w="903" w:type="dxa"/>
                  <w:vAlign w:val="center"/>
                </w:tcPr>
                <w:p w14:paraId="6540C255">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排放速率</w:t>
                  </w:r>
                  <w:r>
                    <w:rPr>
                      <w:rFonts w:hint="default" w:ascii="Times New Roman" w:hAnsi="Times New Roman" w:eastAsia="宋体" w:cs="Times New Roman"/>
                      <w:b w:val="0"/>
                      <w:bCs/>
                      <w:color w:val="auto"/>
                      <w:sz w:val="24"/>
                    </w:rPr>
                    <w:t>kg/h</w:t>
                  </w:r>
                </w:p>
              </w:tc>
              <w:tc>
                <w:tcPr>
                  <w:tcW w:w="1069" w:type="dxa"/>
                  <w:vAlign w:val="center"/>
                </w:tcPr>
                <w:p w14:paraId="236B7A2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排放浓度mg/m</w:t>
                  </w:r>
                  <w:r>
                    <w:rPr>
                      <w:rFonts w:hint="default" w:ascii="Times New Roman" w:hAnsi="Times New Roman" w:eastAsia="宋体" w:cs="Times New Roman"/>
                      <w:b w:val="0"/>
                      <w:bCs/>
                      <w:color w:val="auto"/>
                      <w:sz w:val="21"/>
                      <w:szCs w:val="21"/>
                      <w:vertAlign w:val="superscript"/>
                      <w:lang w:eastAsia="zh-CN"/>
                    </w:rPr>
                    <w:t>3</w:t>
                  </w:r>
                </w:p>
              </w:tc>
            </w:tr>
            <w:tr w14:paraId="6D8D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Merge w:val="restart"/>
                  <w:vAlign w:val="center"/>
                </w:tcPr>
                <w:p w14:paraId="007694E3">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投料工序</w:t>
                  </w:r>
                </w:p>
              </w:tc>
              <w:tc>
                <w:tcPr>
                  <w:tcW w:w="933" w:type="dxa"/>
                  <w:vMerge w:val="restart"/>
                  <w:vAlign w:val="center"/>
                </w:tcPr>
                <w:p w14:paraId="4980FC6D">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颗粒物</w:t>
                  </w:r>
                </w:p>
              </w:tc>
              <w:tc>
                <w:tcPr>
                  <w:tcW w:w="612" w:type="dxa"/>
                  <w:vAlign w:val="center"/>
                </w:tcPr>
                <w:p w14:paraId="4A4A6F78">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有组织</w:t>
                  </w:r>
                </w:p>
              </w:tc>
              <w:tc>
                <w:tcPr>
                  <w:tcW w:w="945" w:type="dxa"/>
                  <w:vAlign w:val="center"/>
                </w:tcPr>
                <w:p w14:paraId="45B1CF76">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0.208</w:t>
                  </w:r>
                </w:p>
              </w:tc>
              <w:tc>
                <w:tcPr>
                  <w:tcW w:w="1009" w:type="dxa"/>
                  <w:vAlign w:val="center"/>
                </w:tcPr>
                <w:p w14:paraId="1E641E02">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w:t>
                  </w:r>
                  <w:r>
                    <w:rPr>
                      <w:rFonts w:hint="default" w:ascii="Times New Roman" w:hAnsi="Times New Roman" w:cs="Times New Roman"/>
                      <w:b w:val="0"/>
                      <w:bCs/>
                      <w:color w:val="auto"/>
                      <w:sz w:val="21"/>
                      <w:szCs w:val="21"/>
                      <w:vertAlign w:val="baseline"/>
                      <w:lang w:val="en-US" w:eastAsia="zh-CN"/>
                    </w:rPr>
                    <w:t>347</w:t>
                  </w:r>
                </w:p>
              </w:tc>
              <w:tc>
                <w:tcPr>
                  <w:tcW w:w="1035" w:type="dxa"/>
                  <w:vAlign w:val="center"/>
                </w:tcPr>
                <w:p w14:paraId="07DAE9AF">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115</w:t>
                  </w:r>
                </w:p>
              </w:tc>
              <w:tc>
                <w:tcPr>
                  <w:tcW w:w="1331" w:type="dxa"/>
                  <w:vAlign w:val="center"/>
                </w:tcPr>
                <w:p w14:paraId="650EAA0C">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集气罩+袋式除尘器+1 根 15m 高的排气筒（DA00</w:t>
                  </w:r>
                  <w:r>
                    <w:rPr>
                      <w:rFonts w:hint="default" w:ascii="Times New Roman" w:hAnsi="Times New Roman" w:eastAsia="宋体"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rPr>
                    <w:t>）</w:t>
                  </w:r>
                </w:p>
              </w:tc>
              <w:tc>
                <w:tcPr>
                  <w:tcW w:w="915" w:type="dxa"/>
                  <w:vAlign w:val="center"/>
                </w:tcPr>
                <w:p w14:paraId="6D533295">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w:t>
                  </w:r>
                  <w:r>
                    <w:rPr>
                      <w:rFonts w:hint="default" w:ascii="Times New Roman" w:hAnsi="Times New Roman" w:cs="Times New Roman"/>
                      <w:b w:val="0"/>
                      <w:bCs/>
                      <w:color w:val="auto"/>
                      <w:sz w:val="21"/>
                      <w:szCs w:val="21"/>
                      <w:vertAlign w:val="baseline"/>
                      <w:lang w:val="en-US" w:eastAsia="zh-CN"/>
                    </w:rPr>
                    <w:t>104</w:t>
                  </w:r>
                </w:p>
              </w:tc>
              <w:tc>
                <w:tcPr>
                  <w:tcW w:w="903" w:type="dxa"/>
                  <w:vAlign w:val="center"/>
                </w:tcPr>
                <w:p w14:paraId="3845DAD3">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w:t>
                  </w:r>
                  <w:r>
                    <w:rPr>
                      <w:rFonts w:hint="default" w:ascii="Times New Roman" w:hAnsi="Times New Roman" w:cs="Times New Roman"/>
                      <w:b w:val="0"/>
                      <w:bCs/>
                      <w:color w:val="auto"/>
                      <w:sz w:val="21"/>
                      <w:szCs w:val="21"/>
                      <w:vertAlign w:val="baseline"/>
                      <w:lang w:val="en-US" w:eastAsia="zh-CN"/>
                    </w:rPr>
                    <w:t>17</w:t>
                  </w:r>
                </w:p>
              </w:tc>
              <w:tc>
                <w:tcPr>
                  <w:tcW w:w="1069" w:type="dxa"/>
                  <w:vAlign w:val="center"/>
                </w:tcPr>
                <w:p w14:paraId="27AA64F7">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5.7</w:t>
                  </w:r>
                </w:p>
              </w:tc>
            </w:tr>
            <w:tr w14:paraId="3A78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Merge w:val="continue"/>
                  <w:vAlign w:val="center"/>
                </w:tcPr>
                <w:p w14:paraId="3D28A0F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rPr>
                  </w:pPr>
                </w:p>
              </w:tc>
              <w:tc>
                <w:tcPr>
                  <w:tcW w:w="933" w:type="dxa"/>
                  <w:vMerge w:val="continue"/>
                  <w:vAlign w:val="center"/>
                </w:tcPr>
                <w:p w14:paraId="365DC20A">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rPr>
                  </w:pPr>
                </w:p>
              </w:tc>
              <w:tc>
                <w:tcPr>
                  <w:tcW w:w="612" w:type="dxa"/>
                  <w:vAlign w:val="center"/>
                </w:tcPr>
                <w:p w14:paraId="5A2AADFC">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无组织</w:t>
                  </w:r>
                </w:p>
              </w:tc>
              <w:tc>
                <w:tcPr>
                  <w:tcW w:w="945" w:type="dxa"/>
                  <w:vAlign w:val="center"/>
                </w:tcPr>
                <w:p w14:paraId="09A9F88A">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w:t>
                  </w:r>
                  <w:r>
                    <w:rPr>
                      <w:rFonts w:hint="default" w:ascii="Times New Roman" w:hAnsi="Times New Roman" w:cs="Times New Roman"/>
                      <w:b w:val="0"/>
                      <w:bCs/>
                      <w:color w:val="auto"/>
                      <w:sz w:val="21"/>
                      <w:szCs w:val="21"/>
                      <w:vertAlign w:val="baseline"/>
                      <w:lang w:val="en-US" w:eastAsia="zh-CN"/>
                    </w:rPr>
                    <w:t>052</w:t>
                  </w:r>
                </w:p>
              </w:tc>
              <w:tc>
                <w:tcPr>
                  <w:tcW w:w="1009" w:type="dxa"/>
                  <w:vAlign w:val="center"/>
                </w:tcPr>
                <w:p w14:paraId="0101565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w:t>
                  </w:r>
                  <w:r>
                    <w:rPr>
                      <w:rFonts w:hint="default" w:ascii="Times New Roman" w:hAnsi="Times New Roman" w:cs="Times New Roman"/>
                      <w:b w:val="0"/>
                      <w:bCs/>
                      <w:color w:val="auto"/>
                      <w:sz w:val="21"/>
                      <w:szCs w:val="21"/>
                      <w:vertAlign w:val="baseline"/>
                      <w:lang w:val="en-US" w:eastAsia="zh-CN"/>
                    </w:rPr>
                    <w:t>87</w:t>
                  </w:r>
                </w:p>
              </w:tc>
              <w:tc>
                <w:tcPr>
                  <w:tcW w:w="1035" w:type="dxa"/>
                  <w:vAlign w:val="center"/>
                </w:tcPr>
                <w:p w14:paraId="6F0A5E49">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w:t>
                  </w:r>
                </w:p>
              </w:tc>
              <w:tc>
                <w:tcPr>
                  <w:tcW w:w="1331" w:type="dxa"/>
                  <w:vAlign w:val="center"/>
                </w:tcPr>
                <w:p w14:paraId="1E2CE9DB">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密闭车间</w:t>
                  </w:r>
                </w:p>
              </w:tc>
              <w:tc>
                <w:tcPr>
                  <w:tcW w:w="915" w:type="dxa"/>
                  <w:vAlign w:val="center"/>
                </w:tcPr>
                <w:p w14:paraId="117764F7">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0.052</w:t>
                  </w:r>
                </w:p>
              </w:tc>
              <w:tc>
                <w:tcPr>
                  <w:tcW w:w="903" w:type="dxa"/>
                  <w:vAlign w:val="center"/>
                </w:tcPr>
                <w:p w14:paraId="66B151E8">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0.087</w:t>
                  </w:r>
                </w:p>
              </w:tc>
              <w:tc>
                <w:tcPr>
                  <w:tcW w:w="1069" w:type="dxa"/>
                  <w:vAlign w:val="center"/>
                </w:tcPr>
                <w:p w14:paraId="6B3D602A">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w:t>
                  </w:r>
                </w:p>
              </w:tc>
            </w:tr>
          </w:tbl>
          <w:p w14:paraId="137977C7">
            <w:pPr>
              <w:pStyle w:val="23"/>
              <w:numPr>
                <w:ilvl w:val="0"/>
                <w:numId w:val="0"/>
              </w:numPr>
              <w:rPr>
                <w:rFonts w:hint="default" w:ascii="Times New Roman" w:hAnsi="Times New Roman" w:eastAsia="宋体" w:cs="Times New Roman"/>
                <w:b w:val="0"/>
                <w:bCs/>
                <w:color w:val="auto"/>
                <w:sz w:val="24"/>
              </w:rPr>
            </w:pPr>
          </w:p>
          <w:p w14:paraId="4C403CB9">
            <w:pPr>
              <w:pStyle w:val="17"/>
              <w:spacing w:line="360" w:lineRule="auto"/>
              <w:ind w:left="0" w:leftChars="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1.2废气达标排放分析</w:t>
            </w:r>
          </w:p>
          <w:p w14:paraId="5959DBA4">
            <w:pPr>
              <w:numPr>
                <w:ilvl w:val="0"/>
                <w:numId w:val="0"/>
              </w:numPr>
              <w:spacing w:line="360" w:lineRule="auto"/>
              <w:ind w:left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（1）有组织</w:t>
            </w:r>
          </w:p>
          <w:p w14:paraId="72B03041">
            <w:pPr>
              <w:numPr>
                <w:ilvl w:val="0"/>
                <w:numId w:val="0"/>
              </w:numPr>
              <w:spacing w:line="240" w:lineRule="auto"/>
              <w:jc w:val="both"/>
              <w:rPr>
                <w:rFonts w:hint="default" w:ascii="Times New Roman" w:hAnsi="Times New Roman" w:eastAsia="宋体" w:cs="Times New Roman"/>
                <w:color w:val="auto"/>
                <w:sz w:val="24"/>
                <w:szCs w:val="24"/>
                <w:lang w:val="en-US" w:eastAsia="zh-CN"/>
              </w:rPr>
            </w:pPr>
          </w:p>
          <w:p w14:paraId="747D868A">
            <w:pPr>
              <w:numPr>
                <w:ilvl w:val="0"/>
                <w:numId w:val="0"/>
              </w:numPr>
              <w:spacing w:line="240" w:lineRule="auto"/>
              <w:ind w:leftChars="20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表4-2废气排放口基本情况一览表</w:t>
            </w:r>
          </w:p>
          <w:tbl>
            <w:tblPr>
              <w:tblStyle w:val="20"/>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900"/>
              <w:gridCol w:w="1005"/>
              <w:gridCol w:w="900"/>
              <w:gridCol w:w="972"/>
              <w:gridCol w:w="948"/>
              <w:gridCol w:w="777"/>
              <w:gridCol w:w="1020"/>
              <w:gridCol w:w="930"/>
              <w:gridCol w:w="990"/>
            </w:tblGrid>
            <w:tr w14:paraId="5323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37" w:type="dxa"/>
                  <w:vMerge w:val="restart"/>
                  <w:vAlign w:val="center"/>
                </w:tcPr>
                <w:p w14:paraId="19D264EC">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900" w:type="dxa"/>
                  <w:vMerge w:val="restart"/>
                  <w:vAlign w:val="center"/>
                </w:tcPr>
                <w:p w14:paraId="04800C4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排放口编号</w:t>
                  </w:r>
                </w:p>
              </w:tc>
              <w:tc>
                <w:tcPr>
                  <w:tcW w:w="1005" w:type="dxa"/>
                  <w:vMerge w:val="restart"/>
                  <w:vAlign w:val="center"/>
                </w:tcPr>
                <w:p w14:paraId="0272F0D5">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排放口名称</w:t>
                  </w:r>
                </w:p>
              </w:tc>
              <w:tc>
                <w:tcPr>
                  <w:tcW w:w="900" w:type="dxa"/>
                  <w:vMerge w:val="restart"/>
                  <w:vAlign w:val="center"/>
                </w:tcPr>
                <w:p w14:paraId="424DD162">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污染物种类</w:t>
                  </w:r>
                </w:p>
              </w:tc>
              <w:tc>
                <w:tcPr>
                  <w:tcW w:w="1920" w:type="dxa"/>
                  <w:gridSpan w:val="2"/>
                  <w:vAlign w:val="center"/>
                </w:tcPr>
                <w:p w14:paraId="4B8431F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排放口地理坐标</w:t>
                  </w:r>
                </w:p>
              </w:tc>
              <w:tc>
                <w:tcPr>
                  <w:tcW w:w="777" w:type="dxa"/>
                  <w:vMerge w:val="restart"/>
                  <w:vAlign w:val="center"/>
                </w:tcPr>
                <w:p w14:paraId="0CA46A9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排气筒高度</w:t>
                  </w:r>
                </w:p>
              </w:tc>
              <w:tc>
                <w:tcPr>
                  <w:tcW w:w="1020" w:type="dxa"/>
                  <w:vMerge w:val="restart"/>
                  <w:vAlign w:val="center"/>
                </w:tcPr>
                <w:p w14:paraId="43FC5D4C">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排气筒出口内径</w:t>
                  </w:r>
                </w:p>
              </w:tc>
              <w:tc>
                <w:tcPr>
                  <w:tcW w:w="930" w:type="dxa"/>
                  <w:vMerge w:val="restart"/>
                  <w:vAlign w:val="center"/>
                </w:tcPr>
                <w:p w14:paraId="3BE72680">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排气温度（°C）</w:t>
                  </w:r>
                </w:p>
              </w:tc>
              <w:tc>
                <w:tcPr>
                  <w:tcW w:w="990" w:type="dxa"/>
                  <w:vMerge w:val="restart"/>
                  <w:vAlign w:val="center"/>
                </w:tcPr>
                <w:p w14:paraId="22B60821">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排放口类型</w:t>
                  </w:r>
                </w:p>
              </w:tc>
            </w:tr>
            <w:tr w14:paraId="31C7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37" w:type="dxa"/>
                  <w:vMerge w:val="continue"/>
                  <w:vAlign w:val="center"/>
                </w:tcPr>
                <w:p w14:paraId="787B8A79">
                  <w:pPr>
                    <w:spacing w:line="240" w:lineRule="auto"/>
                    <w:jc w:val="center"/>
                    <w:rPr>
                      <w:rFonts w:hint="default" w:ascii="Times New Roman" w:hAnsi="Times New Roman" w:eastAsia="宋体" w:cs="Times New Roman"/>
                      <w:color w:val="auto"/>
                      <w:sz w:val="21"/>
                      <w:szCs w:val="21"/>
                    </w:rPr>
                  </w:pPr>
                </w:p>
              </w:tc>
              <w:tc>
                <w:tcPr>
                  <w:tcW w:w="900" w:type="dxa"/>
                  <w:vMerge w:val="continue"/>
                  <w:vAlign w:val="center"/>
                </w:tcPr>
                <w:p w14:paraId="268EFB42">
                  <w:pPr>
                    <w:spacing w:line="240" w:lineRule="auto"/>
                    <w:jc w:val="center"/>
                    <w:rPr>
                      <w:rFonts w:hint="default" w:ascii="Times New Roman" w:hAnsi="Times New Roman" w:eastAsia="宋体" w:cs="Times New Roman"/>
                      <w:color w:val="auto"/>
                      <w:sz w:val="21"/>
                      <w:szCs w:val="21"/>
                    </w:rPr>
                  </w:pPr>
                </w:p>
              </w:tc>
              <w:tc>
                <w:tcPr>
                  <w:tcW w:w="1005" w:type="dxa"/>
                  <w:vMerge w:val="continue"/>
                  <w:vAlign w:val="center"/>
                </w:tcPr>
                <w:p w14:paraId="23B92C56">
                  <w:pPr>
                    <w:spacing w:line="240" w:lineRule="auto"/>
                    <w:jc w:val="center"/>
                    <w:rPr>
                      <w:rFonts w:hint="default" w:ascii="Times New Roman" w:hAnsi="Times New Roman" w:eastAsia="宋体" w:cs="Times New Roman"/>
                      <w:color w:val="auto"/>
                      <w:sz w:val="21"/>
                      <w:szCs w:val="21"/>
                    </w:rPr>
                  </w:pPr>
                </w:p>
              </w:tc>
              <w:tc>
                <w:tcPr>
                  <w:tcW w:w="900" w:type="dxa"/>
                  <w:vMerge w:val="continue"/>
                  <w:vAlign w:val="center"/>
                </w:tcPr>
                <w:p w14:paraId="0AB8A834">
                  <w:pPr>
                    <w:spacing w:line="240" w:lineRule="auto"/>
                    <w:jc w:val="center"/>
                    <w:rPr>
                      <w:rFonts w:hint="default" w:ascii="Times New Roman" w:hAnsi="Times New Roman" w:eastAsia="宋体" w:cs="Times New Roman"/>
                      <w:color w:val="auto"/>
                      <w:sz w:val="21"/>
                      <w:szCs w:val="21"/>
                    </w:rPr>
                  </w:pPr>
                </w:p>
              </w:tc>
              <w:tc>
                <w:tcPr>
                  <w:tcW w:w="972" w:type="dxa"/>
                  <w:vAlign w:val="center"/>
                </w:tcPr>
                <w:p w14:paraId="47B06F0E">
                  <w:pPr>
                    <w:numPr>
                      <w:ilvl w:val="0"/>
                      <w:numId w:val="0"/>
                    </w:num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经度</w:t>
                  </w:r>
                </w:p>
              </w:tc>
              <w:tc>
                <w:tcPr>
                  <w:tcW w:w="948" w:type="dxa"/>
                  <w:vAlign w:val="center"/>
                </w:tcPr>
                <w:p w14:paraId="5BF867F9">
                  <w:pPr>
                    <w:numPr>
                      <w:ilvl w:val="0"/>
                      <w:numId w:val="0"/>
                    </w:num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纬度</w:t>
                  </w:r>
                </w:p>
              </w:tc>
              <w:tc>
                <w:tcPr>
                  <w:tcW w:w="777" w:type="dxa"/>
                  <w:vMerge w:val="continue"/>
                  <w:vAlign w:val="center"/>
                </w:tcPr>
                <w:p w14:paraId="3D7D1531">
                  <w:pPr>
                    <w:spacing w:line="240" w:lineRule="auto"/>
                    <w:jc w:val="center"/>
                    <w:rPr>
                      <w:rFonts w:hint="default" w:ascii="Times New Roman" w:hAnsi="Times New Roman" w:eastAsia="宋体" w:cs="Times New Roman"/>
                      <w:color w:val="auto"/>
                      <w:sz w:val="21"/>
                      <w:szCs w:val="21"/>
                    </w:rPr>
                  </w:pPr>
                </w:p>
              </w:tc>
              <w:tc>
                <w:tcPr>
                  <w:tcW w:w="1020" w:type="dxa"/>
                  <w:vMerge w:val="continue"/>
                  <w:vAlign w:val="center"/>
                </w:tcPr>
                <w:p w14:paraId="4F0272EE">
                  <w:pPr>
                    <w:spacing w:line="240" w:lineRule="auto"/>
                    <w:jc w:val="center"/>
                    <w:rPr>
                      <w:rFonts w:hint="default" w:ascii="Times New Roman" w:hAnsi="Times New Roman" w:eastAsia="宋体" w:cs="Times New Roman"/>
                      <w:color w:val="auto"/>
                      <w:sz w:val="21"/>
                      <w:szCs w:val="21"/>
                    </w:rPr>
                  </w:pPr>
                </w:p>
              </w:tc>
              <w:tc>
                <w:tcPr>
                  <w:tcW w:w="930" w:type="dxa"/>
                  <w:vMerge w:val="continue"/>
                  <w:vAlign w:val="center"/>
                </w:tcPr>
                <w:p w14:paraId="18D60418">
                  <w:pPr>
                    <w:spacing w:line="240" w:lineRule="auto"/>
                    <w:jc w:val="center"/>
                    <w:rPr>
                      <w:rFonts w:hint="default" w:ascii="Times New Roman" w:hAnsi="Times New Roman" w:eastAsia="宋体" w:cs="Times New Roman"/>
                      <w:color w:val="auto"/>
                      <w:sz w:val="21"/>
                      <w:szCs w:val="21"/>
                    </w:rPr>
                  </w:pPr>
                </w:p>
              </w:tc>
              <w:tc>
                <w:tcPr>
                  <w:tcW w:w="990" w:type="dxa"/>
                  <w:vMerge w:val="continue"/>
                  <w:vAlign w:val="center"/>
                </w:tcPr>
                <w:p w14:paraId="65B6B43C">
                  <w:pPr>
                    <w:spacing w:line="240" w:lineRule="auto"/>
                    <w:jc w:val="center"/>
                    <w:rPr>
                      <w:rFonts w:hint="default" w:ascii="Times New Roman" w:hAnsi="Times New Roman" w:eastAsia="宋体" w:cs="Times New Roman"/>
                      <w:color w:val="auto"/>
                      <w:sz w:val="21"/>
                      <w:szCs w:val="21"/>
                    </w:rPr>
                  </w:pPr>
                </w:p>
              </w:tc>
            </w:tr>
            <w:tr w14:paraId="4AC7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6029126A">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900" w:type="dxa"/>
                  <w:vAlign w:val="center"/>
                </w:tcPr>
                <w:p w14:paraId="2329A353">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DA001</w:t>
                  </w:r>
                </w:p>
              </w:tc>
              <w:tc>
                <w:tcPr>
                  <w:tcW w:w="1005" w:type="dxa"/>
                  <w:vAlign w:val="center"/>
                </w:tcPr>
                <w:p w14:paraId="753BAAFD">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投料工序废气处理设施排放口</w:t>
                  </w:r>
                </w:p>
              </w:tc>
              <w:tc>
                <w:tcPr>
                  <w:tcW w:w="900" w:type="dxa"/>
                  <w:vAlign w:val="center"/>
                </w:tcPr>
                <w:p w14:paraId="6632CE23">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972" w:type="dxa"/>
                  <w:vAlign w:val="center"/>
                </w:tcPr>
                <w:p w14:paraId="08CE6A39">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000000"/>
                      <w:spacing w:val="0"/>
                      <w:sz w:val="21"/>
                      <w:szCs w:val="21"/>
                      <w:shd w:val="clear" w:fill="FFFFFF"/>
                    </w:rPr>
                    <w:t>114°33′9.4</w:t>
                  </w:r>
                  <w:r>
                    <w:rPr>
                      <w:rFonts w:hint="default" w:ascii="Times New Roman" w:hAnsi="Times New Roman" w:eastAsia="宋体" w:cs="Times New Roman"/>
                      <w:i w:val="0"/>
                      <w:iCs w:val="0"/>
                      <w:caps w:val="0"/>
                      <w:color w:val="000000"/>
                      <w:spacing w:val="0"/>
                      <w:sz w:val="21"/>
                      <w:szCs w:val="21"/>
                      <w:shd w:val="clear" w:fill="FFFFFF"/>
                      <w:lang w:val="en-US" w:eastAsia="zh-CN"/>
                    </w:rPr>
                    <w:t>5</w:t>
                  </w:r>
                  <w:r>
                    <w:rPr>
                      <w:rFonts w:hint="default" w:ascii="Times New Roman" w:hAnsi="Times New Roman" w:eastAsia="宋体" w:cs="Times New Roman"/>
                      <w:i w:val="0"/>
                      <w:iCs w:val="0"/>
                      <w:caps w:val="0"/>
                      <w:color w:val="000000"/>
                      <w:spacing w:val="0"/>
                      <w:sz w:val="21"/>
                      <w:szCs w:val="21"/>
                      <w:shd w:val="clear" w:fill="FFFFFF"/>
                    </w:rPr>
                    <w:t>″</w:t>
                  </w:r>
                </w:p>
              </w:tc>
              <w:tc>
                <w:tcPr>
                  <w:tcW w:w="948" w:type="dxa"/>
                  <w:vAlign w:val="center"/>
                </w:tcPr>
                <w:p w14:paraId="163543D5">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000000"/>
                      <w:spacing w:val="0"/>
                      <w:sz w:val="21"/>
                      <w:szCs w:val="21"/>
                      <w:shd w:val="clear" w:fill="FFFFFF"/>
                    </w:rPr>
                    <w:t>35°31′56.8</w:t>
                  </w:r>
                  <w:r>
                    <w:rPr>
                      <w:rFonts w:hint="default" w:ascii="Times New Roman" w:hAnsi="Times New Roman" w:eastAsia="宋体" w:cs="Times New Roman"/>
                      <w:i w:val="0"/>
                      <w:iCs w:val="0"/>
                      <w:caps w:val="0"/>
                      <w:color w:val="000000"/>
                      <w:spacing w:val="0"/>
                      <w:sz w:val="21"/>
                      <w:szCs w:val="21"/>
                      <w:shd w:val="clear" w:fill="FFFFFF"/>
                      <w:lang w:val="en-US" w:eastAsia="zh-CN"/>
                    </w:rPr>
                    <w:t>9</w:t>
                  </w:r>
                  <w:r>
                    <w:rPr>
                      <w:rFonts w:hint="default" w:ascii="Times New Roman" w:hAnsi="Times New Roman" w:eastAsia="宋体" w:cs="Times New Roman"/>
                      <w:i w:val="0"/>
                      <w:iCs w:val="0"/>
                      <w:caps w:val="0"/>
                      <w:color w:val="000000"/>
                      <w:spacing w:val="0"/>
                      <w:sz w:val="21"/>
                      <w:szCs w:val="21"/>
                      <w:shd w:val="clear" w:fill="FFFFFF"/>
                    </w:rPr>
                    <w:t>″</w:t>
                  </w:r>
                </w:p>
              </w:tc>
              <w:tc>
                <w:tcPr>
                  <w:tcW w:w="777" w:type="dxa"/>
                  <w:vAlign w:val="center"/>
                </w:tcPr>
                <w:p w14:paraId="595A4439">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1020" w:type="dxa"/>
                  <w:vAlign w:val="center"/>
                </w:tcPr>
                <w:p w14:paraId="63740A55">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w:t>
                  </w:r>
                </w:p>
              </w:tc>
              <w:tc>
                <w:tcPr>
                  <w:tcW w:w="930" w:type="dxa"/>
                  <w:vAlign w:val="center"/>
                </w:tcPr>
                <w:p w14:paraId="18AC5F49">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w:t>
                  </w:r>
                </w:p>
              </w:tc>
              <w:tc>
                <w:tcPr>
                  <w:tcW w:w="990" w:type="dxa"/>
                  <w:vAlign w:val="center"/>
                </w:tcPr>
                <w:p w14:paraId="450C758D">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一般排放口</w:t>
                  </w:r>
                </w:p>
              </w:tc>
            </w:tr>
          </w:tbl>
          <w:p w14:paraId="0E3F87FC">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废气污染物治理措施及可行性</w:t>
            </w:r>
          </w:p>
          <w:p w14:paraId="0A7F9CF6">
            <w:pPr>
              <w:pStyle w:val="1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根据《排污许可证申请与核发技术规范 农副食品加工工业—淀粉工业》（HJ 860.2—2018）表 3 淀粉工业排污单位废气产污环节、污染控制项目、排放形式及污染治理本项目排放口基本情况见表4-6。</w:t>
            </w:r>
          </w:p>
          <w:p w14:paraId="66B7FA8D">
            <w:pPr>
              <w:pStyle w:val="17"/>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表4-6有组织排放源参数基本情况</w:t>
            </w:r>
          </w:p>
          <w:tbl>
            <w:tblPr>
              <w:tblStyle w:val="20"/>
              <w:tblW w:w="9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915"/>
              <w:gridCol w:w="1050"/>
              <w:gridCol w:w="765"/>
              <w:gridCol w:w="693"/>
              <w:gridCol w:w="555"/>
              <w:gridCol w:w="768"/>
              <w:gridCol w:w="975"/>
              <w:gridCol w:w="1422"/>
              <w:gridCol w:w="783"/>
              <w:gridCol w:w="736"/>
            </w:tblGrid>
            <w:tr w14:paraId="0D7D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829" w:type="dxa"/>
                  <w:vMerge w:val="restart"/>
                  <w:vAlign w:val="center"/>
                </w:tcPr>
                <w:p w14:paraId="7B7EC1BB">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污染源名称</w:t>
                  </w:r>
                </w:p>
              </w:tc>
              <w:tc>
                <w:tcPr>
                  <w:tcW w:w="1965" w:type="dxa"/>
                  <w:gridSpan w:val="2"/>
                  <w:vAlign w:val="center"/>
                </w:tcPr>
                <w:p w14:paraId="342B474B">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排气筒底部中坐标</w:t>
                  </w:r>
                </w:p>
              </w:tc>
              <w:tc>
                <w:tcPr>
                  <w:tcW w:w="2781" w:type="dxa"/>
                  <w:gridSpan w:val="4"/>
                  <w:vAlign w:val="center"/>
                </w:tcPr>
                <w:p w14:paraId="4B651701">
                  <w:pPr>
                    <w:pStyle w:val="17"/>
                    <w:keepNext w:val="0"/>
                    <w:keepLines w:val="0"/>
                    <w:pageBreakBefore w:val="0"/>
                    <w:widowControl/>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排气筒参数</w:t>
                  </w:r>
                </w:p>
              </w:tc>
              <w:tc>
                <w:tcPr>
                  <w:tcW w:w="975" w:type="dxa"/>
                  <w:vMerge w:val="restart"/>
                  <w:vAlign w:val="center"/>
                </w:tcPr>
                <w:p w14:paraId="5D38AA2D">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污染物名称</w:t>
                  </w:r>
                </w:p>
              </w:tc>
              <w:tc>
                <w:tcPr>
                  <w:tcW w:w="2941" w:type="dxa"/>
                  <w:gridSpan w:val="3"/>
                  <w:vAlign w:val="center"/>
                </w:tcPr>
                <w:p w14:paraId="4EC97173">
                  <w:pPr>
                    <w:pStyle w:val="17"/>
                    <w:keepNext w:val="0"/>
                    <w:keepLines w:val="0"/>
                    <w:pageBreakBefore w:val="0"/>
                    <w:widowControl/>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排放标准</w:t>
                  </w:r>
                </w:p>
              </w:tc>
            </w:tr>
            <w:tr w14:paraId="06A6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829" w:type="dxa"/>
                  <w:vMerge w:val="continue"/>
                  <w:vAlign w:val="center"/>
                </w:tcPr>
                <w:p w14:paraId="660D01BB">
                  <w:pPr>
                    <w:pStyle w:val="17"/>
                    <w:keepNext w:val="0"/>
                    <w:keepLines w:val="0"/>
                    <w:pageBreakBefore w:val="0"/>
                    <w:widowControl/>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color w:val="auto"/>
                    </w:rPr>
                  </w:pPr>
                </w:p>
              </w:tc>
              <w:tc>
                <w:tcPr>
                  <w:tcW w:w="915" w:type="dxa"/>
                  <w:vAlign w:val="center"/>
                </w:tcPr>
                <w:p w14:paraId="144E6268">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经度</w:t>
                  </w:r>
                </w:p>
              </w:tc>
              <w:tc>
                <w:tcPr>
                  <w:tcW w:w="1050" w:type="dxa"/>
                  <w:vAlign w:val="center"/>
                </w:tcPr>
                <w:p w14:paraId="649BF00A">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纬度</w:t>
                  </w:r>
                </w:p>
              </w:tc>
              <w:tc>
                <w:tcPr>
                  <w:tcW w:w="765" w:type="dxa"/>
                  <w:vAlign w:val="center"/>
                </w:tcPr>
                <w:p w14:paraId="42B95CFA">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高度（m）</w:t>
                  </w:r>
                </w:p>
              </w:tc>
              <w:tc>
                <w:tcPr>
                  <w:tcW w:w="693" w:type="dxa"/>
                  <w:vAlign w:val="center"/>
                </w:tcPr>
                <w:p w14:paraId="214DB912">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内径（m）</w:t>
                  </w:r>
                </w:p>
              </w:tc>
              <w:tc>
                <w:tcPr>
                  <w:tcW w:w="555" w:type="dxa"/>
                  <w:vAlign w:val="center"/>
                </w:tcPr>
                <w:p w14:paraId="582E5C63">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温度（℃）</w:t>
                  </w:r>
                </w:p>
              </w:tc>
              <w:tc>
                <w:tcPr>
                  <w:tcW w:w="768" w:type="dxa"/>
                  <w:vAlign w:val="center"/>
                </w:tcPr>
                <w:p w14:paraId="31CDD49B">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流量（m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vertAlign w:val="baseline"/>
                      <w:lang w:val="en-US" w:eastAsia="zh-CN"/>
                    </w:rPr>
                    <w:t>/h）</w:t>
                  </w:r>
                </w:p>
              </w:tc>
              <w:tc>
                <w:tcPr>
                  <w:tcW w:w="975" w:type="dxa"/>
                  <w:vMerge w:val="continue"/>
                  <w:vAlign w:val="center"/>
                </w:tcPr>
                <w:p w14:paraId="04DC6F61">
                  <w:pPr>
                    <w:pStyle w:val="17"/>
                    <w:keepNext w:val="0"/>
                    <w:keepLines w:val="0"/>
                    <w:pageBreakBefore w:val="0"/>
                    <w:widowControl/>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color w:val="auto"/>
                      <w:vertAlign w:val="baseline"/>
                      <w:lang w:val="en-US" w:eastAsia="zh-CN"/>
                    </w:rPr>
                  </w:pPr>
                </w:p>
              </w:tc>
              <w:tc>
                <w:tcPr>
                  <w:tcW w:w="1422" w:type="dxa"/>
                  <w:vAlign w:val="center"/>
                </w:tcPr>
                <w:p w14:paraId="48364162">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标准名称</w:t>
                  </w:r>
                </w:p>
              </w:tc>
              <w:tc>
                <w:tcPr>
                  <w:tcW w:w="783" w:type="dxa"/>
                  <w:vAlign w:val="center"/>
                </w:tcPr>
                <w:p w14:paraId="6E7A805A">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排放浓度（mg/m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vertAlign w:val="baseline"/>
                      <w:lang w:val="en-US" w:eastAsia="zh-CN"/>
                    </w:rPr>
                    <w:t>）</w:t>
                  </w:r>
                </w:p>
              </w:tc>
              <w:tc>
                <w:tcPr>
                  <w:tcW w:w="736" w:type="dxa"/>
                  <w:vAlign w:val="center"/>
                </w:tcPr>
                <w:p w14:paraId="6A8E9C46">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排放速率</w:t>
                  </w:r>
                </w:p>
              </w:tc>
            </w:tr>
            <w:tr w14:paraId="2114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restart"/>
                  <w:vAlign w:val="center"/>
                </w:tcPr>
                <w:p w14:paraId="788003C9">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投料工序废气</w:t>
                  </w:r>
                </w:p>
              </w:tc>
              <w:tc>
                <w:tcPr>
                  <w:tcW w:w="915" w:type="dxa"/>
                  <w:vMerge w:val="restart"/>
                  <w:vAlign w:val="center"/>
                </w:tcPr>
                <w:p w14:paraId="10C38D7B">
                  <w:pPr>
                    <w:numPr>
                      <w:ilvl w:val="0"/>
                      <w:numId w:val="0"/>
                    </w:numPr>
                    <w:spacing w:line="240" w:lineRule="auto"/>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i w:val="0"/>
                      <w:iCs w:val="0"/>
                      <w:caps w:val="0"/>
                      <w:color w:val="000000"/>
                      <w:spacing w:val="0"/>
                      <w:sz w:val="21"/>
                      <w:szCs w:val="21"/>
                      <w:shd w:val="clear" w:fill="FFFFFF"/>
                    </w:rPr>
                    <w:t>114°33′9.4</w:t>
                  </w:r>
                  <w:r>
                    <w:rPr>
                      <w:rFonts w:hint="default" w:ascii="Times New Roman" w:hAnsi="Times New Roman" w:eastAsia="宋体" w:cs="Times New Roman"/>
                      <w:i w:val="0"/>
                      <w:iCs w:val="0"/>
                      <w:caps w:val="0"/>
                      <w:color w:val="000000"/>
                      <w:spacing w:val="0"/>
                      <w:sz w:val="21"/>
                      <w:szCs w:val="21"/>
                      <w:shd w:val="clear" w:fill="FFFFFF"/>
                      <w:lang w:val="en-US" w:eastAsia="zh-CN"/>
                    </w:rPr>
                    <w:t>5</w:t>
                  </w:r>
                  <w:r>
                    <w:rPr>
                      <w:rFonts w:hint="default" w:ascii="Times New Roman" w:hAnsi="Times New Roman" w:eastAsia="宋体" w:cs="Times New Roman"/>
                      <w:i w:val="0"/>
                      <w:iCs w:val="0"/>
                      <w:caps w:val="0"/>
                      <w:color w:val="000000"/>
                      <w:spacing w:val="0"/>
                      <w:sz w:val="21"/>
                      <w:szCs w:val="21"/>
                      <w:shd w:val="clear" w:fill="FFFFFF"/>
                    </w:rPr>
                    <w:t>″</w:t>
                  </w:r>
                </w:p>
              </w:tc>
              <w:tc>
                <w:tcPr>
                  <w:tcW w:w="1050" w:type="dxa"/>
                  <w:vMerge w:val="restart"/>
                  <w:vAlign w:val="center"/>
                </w:tcPr>
                <w:p w14:paraId="3324A259">
                  <w:pPr>
                    <w:numPr>
                      <w:ilvl w:val="0"/>
                      <w:numId w:val="0"/>
                    </w:numPr>
                    <w:spacing w:line="240" w:lineRule="auto"/>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i w:val="0"/>
                      <w:iCs w:val="0"/>
                      <w:caps w:val="0"/>
                      <w:color w:val="000000"/>
                      <w:spacing w:val="0"/>
                      <w:sz w:val="21"/>
                      <w:szCs w:val="21"/>
                      <w:shd w:val="clear" w:fill="FFFFFF"/>
                    </w:rPr>
                    <w:t>35°31′56.8</w:t>
                  </w:r>
                  <w:r>
                    <w:rPr>
                      <w:rFonts w:hint="default" w:ascii="Times New Roman" w:hAnsi="Times New Roman" w:eastAsia="宋体" w:cs="Times New Roman"/>
                      <w:i w:val="0"/>
                      <w:iCs w:val="0"/>
                      <w:caps w:val="0"/>
                      <w:color w:val="000000"/>
                      <w:spacing w:val="0"/>
                      <w:sz w:val="21"/>
                      <w:szCs w:val="21"/>
                      <w:shd w:val="clear" w:fill="FFFFFF"/>
                      <w:lang w:val="en-US" w:eastAsia="zh-CN"/>
                    </w:rPr>
                    <w:t>9</w:t>
                  </w:r>
                  <w:r>
                    <w:rPr>
                      <w:rFonts w:hint="default" w:ascii="Times New Roman" w:hAnsi="Times New Roman" w:eastAsia="宋体" w:cs="Times New Roman"/>
                      <w:i w:val="0"/>
                      <w:iCs w:val="0"/>
                      <w:caps w:val="0"/>
                      <w:color w:val="000000"/>
                      <w:spacing w:val="0"/>
                      <w:sz w:val="21"/>
                      <w:szCs w:val="21"/>
                      <w:shd w:val="clear" w:fill="FFFFFF"/>
                    </w:rPr>
                    <w:t>″</w:t>
                  </w:r>
                </w:p>
              </w:tc>
              <w:tc>
                <w:tcPr>
                  <w:tcW w:w="765" w:type="dxa"/>
                  <w:vMerge w:val="restart"/>
                  <w:vAlign w:val="center"/>
                </w:tcPr>
                <w:p w14:paraId="3921EB05">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15</w:t>
                  </w:r>
                </w:p>
              </w:tc>
              <w:tc>
                <w:tcPr>
                  <w:tcW w:w="693" w:type="dxa"/>
                  <w:vMerge w:val="restart"/>
                  <w:vAlign w:val="center"/>
                </w:tcPr>
                <w:p w14:paraId="6B9042C7">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0.4</w:t>
                  </w:r>
                </w:p>
              </w:tc>
              <w:tc>
                <w:tcPr>
                  <w:tcW w:w="555" w:type="dxa"/>
                  <w:vMerge w:val="restart"/>
                  <w:vAlign w:val="center"/>
                </w:tcPr>
                <w:p w14:paraId="306F78AF">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25</w:t>
                  </w:r>
                </w:p>
              </w:tc>
              <w:tc>
                <w:tcPr>
                  <w:tcW w:w="768" w:type="dxa"/>
                  <w:vMerge w:val="restart"/>
                  <w:vAlign w:val="center"/>
                </w:tcPr>
                <w:p w14:paraId="12F27C79">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3000</w:t>
                  </w:r>
                </w:p>
              </w:tc>
              <w:tc>
                <w:tcPr>
                  <w:tcW w:w="975" w:type="dxa"/>
                  <w:vMerge w:val="restart"/>
                  <w:vAlign w:val="center"/>
                </w:tcPr>
                <w:p w14:paraId="6FDD92D6">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颗粒物</w:t>
                  </w:r>
                </w:p>
              </w:tc>
              <w:tc>
                <w:tcPr>
                  <w:tcW w:w="1422" w:type="dxa"/>
                  <w:vAlign w:val="center"/>
                </w:tcPr>
                <w:p w14:paraId="75412367">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《大气污染物综合排放标准》（GB16297-1996）二级标准</w:t>
                  </w:r>
                </w:p>
              </w:tc>
              <w:tc>
                <w:tcPr>
                  <w:tcW w:w="783" w:type="dxa"/>
                  <w:vAlign w:val="center"/>
                </w:tcPr>
                <w:p w14:paraId="184D6219">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120</w:t>
                  </w:r>
                </w:p>
              </w:tc>
              <w:tc>
                <w:tcPr>
                  <w:tcW w:w="736" w:type="dxa"/>
                  <w:vAlign w:val="center"/>
                </w:tcPr>
                <w:p w14:paraId="78355640">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3.5</w:t>
                  </w:r>
                </w:p>
              </w:tc>
            </w:tr>
            <w:tr w14:paraId="51C9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34AA05A6">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p>
              </w:tc>
              <w:tc>
                <w:tcPr>
                  <w:tcW w:w="915" w:type="dxa"/>
                  <w:vMerge w:val="continue"/>
                  <w:vAlign w:val="center"/>
                </w:tcPr>
                <w:p w14:paraId="0CB6AF86">
                  <w:pPr>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50" w:type="dxa"/>
                  <w:vMerge w:val="continue"/>
                  <w:vAlign w:val="center"/>
                </w:tcPr>
                <w:p w14:paraId="3C1EC649">
                  <w:pPr>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dxa"/>
                  <w:vMerge w:val="continue"/>
                  <w:vAlign w:val="center"/>
                </w:tcPr>
                <w:p w14:paraId="3B4785F7">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p>
              </w:tc>
              <w:tc>
                <w:tcPr>
                  <w:tcW w:w="693" w:type="dxa"/>
                  <w:vMerge w:val="continue"/>
                  <w:vAlign w:val="center"/>
                </w:tcPr>
                <w:p w14:paraId="5BFBB77A">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p>
              </w:tc>
              <w:tc>
                <w:tcPr>
                  <w:tcW w:w="555" w:type="dxa"/>
                  <w:vMerge w:val="continue"/>
                  <w:vAlign w:val="center"/>
                </w:tcPr>
                <w:p w14:paraId="79F61B5B">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p>
              </w:tc>
              <w:tc>
                <w:tcPr>
                  <w:tcW w:w="768" w:type="dxa"/>
                  <w:vMerge w:val="continue"/>
                  <w:vAlign w:val="center"/>
                </w:tcPr>
                <w:p w14:paraId="768055F0">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p>
              </w:tc>
              <w:tc>
                <w:tcPr>
                  <w:tcW w:w="975" w:type="dxa"/>
                  <w:vMerge w:val="continue"/>
                  <w:vAlign w:val="center"/>
                </w:tcPr>
                <w:p w14:paraId="543C4D59">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p>
              </w:tc>
              <w:tc>
                <w:tcPr>
                  <w:tcW w:w="1422" w:type="dxa"/>
                  <w:vAlign w:val="center"/>
                </w:tcPr>
                <w:p w14:paraId="0A1452A8">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rPr>
                    <w:t>安阳市《2019年推进全市工业企业超低排放深度治理实施方案》（安环攻坚办〔2019〕205号）</w:t>
                  </w:r>
                </w:p>
              </w:tc>
              <w:tc>
                <w:tcPr>
                  <w:tcW w:w="783" w:type="dxa"/>
                  <w:vAlign w:val="center"/>
                </w:tcPr>
                <w:p w14:paraId="3A52AF34">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＜10mg/m</w:t>
                  </w:r>
                  <w:r>
                    <w:rPr>
                      <w:rFonts w:hint="default" w:ascii="Times New Roman" w:hAnsi="Times New Roman" w:eastAsia="宋体" w:cs="Times New Roman"/>
                      <w:color w:val="auto"/>
                      <w:vertAlign w:val="superscript"/>
                      <w:lang w:val="en-US" w:eastAsia="zh-CN"/>
                    </w:rPr>
                    <w:t>3</w:t>
                  </w:r>
                </w:p>
              </w:tc>
              <w:tc>
                <w:tcPr>
                  <w:tcW w:w="736" w:type="dxa"/>
                  <w:vAlign w:val="center"/>
                </w:tcPr>
                <w:p w14:paraId="59290A4F">
                  <w:pPr>
                    <w:pStyle w:val="17"/>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p>
              </w:tc>
            </w:tr>
          </w:tbl>
          <w:p w14:paraId="796F6711">
            <w:pPr>
              <w:pStyle w:val="17"/>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1.5非正常状况</w:t>
            </w:r>
          </w:p>
          <w:p w14:paraId="6545E86C">
            <w:pPr>
              <w:pStyle w:val="17"/>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本项目的非正常工况主要是污染物排放控制措施达不到应有效率及废气治理措施失效，造成排气筒废气污染物未经净化直接排放，其排放情况如表4-7所示。</w:t>
            </w:r>
          </w:p>
          <w:p w14:paraId="26480374">
            <w:pPr>
              <w:pStyle w:val="17"/>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表4-7.非正常工况排气筒排放情况</w:t>
            </w:r>
          </w:p>
          <w:tbl>
            <w:tblPr>
              <w:tblStyle w:val="20"/>
              <w:tblW w:w="9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765"/>
              <w:gridCol w:w="1129"/>
              <w:gridCol w:w="949"/>
              <w:gridCol w:w="1024"/>
              <w:gridCol w:w="990"/>
              <w:gridCol w:w="1020"/>
              <w:gridCol w:w="975"/>
              <w:gridCol w:w="930"/>
              <w:gridCol w:w="756"/>
            </w:tblGrid>
            <w:tr w14:paraId="2B16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3" w:type="dxa"/>
                  <w:vMerge w:val="restart"/>
                  <w:vAlign w:val="center"/>
                </w:tcPr>
                <w:p w14:paraId="302EB40D">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污染源</w:t>
                  </w:r>
                </w:p>
              </w:tc>
              <w:tc>
                <w:tcPr>
                  <w:tcW w:w="765" w:type="dxa"/>
                  <w:vMerge w:val="restart"/>
                  <w:vAlign w:val="center"/>
                </w:tcPr>
                <w:p w14:paraId="138F4B5D">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污染物名称</w:t>
                  </w:r>
                </w:p>
              </w:tc>
              <w:tc>
                <w:tcPr>
                  <w:tcW w:w="1129" w:type="dxa"/>
                  <w:vMerge w:val="restart"/>
                  <w:vAlign w:val="center"/>
                </w:tcPr>
                <w:p w14:paraId="554252D0">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非正常原因</w:t>
                  </w:r>
                </w:p>
              </w:tc>
              <w:tc>
                <w:tcPr>
                  <w:tcW w:w="3983" w:type="dxa"/>
                  <w:gridSpan w:val="4"/>
                  <w:vAlign w:val="center"/>
                </w:tcPr>
                <w:p w14:paraId="33617DB2">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非正常排放状况</w:t>
                  </w:r>
                </w:p>
              </w:tc>
              <w:tc>
                <w:tcPr>
                  <w:tcW w:w="1905" w:type="dxa"/>
                  <w:gridSpan w:val="2"/>
                  <w:vAlign w:val="center"/>
                </w:tcPr>
                <w:p w14:paraId="6C82D818">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c>
                <w:tcPr>
                  <w:tcW w:w="756" w:type="dxa"/>
                  <w:vMerge w:val="restart"/>
                  <w:vAlign w:val="center"/>
                </w:tcPr>
                <w:p w14:paraId="17EF254D">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达标分析</w:t>
                  </w:r>
                </w:p>
              </w:tc>
            </w:tr>
            <w:tr w14:paraId="369B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953" w:type="dxa"/>
                  <w:vMerge w:val="continue"/>
                  <w:vAlign w:val="center"/>
                </w:tcPr>
                <w:p w14:paraId="72795642">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rPr>
                  </w:pPr>
                </w:p>
              </w:tc>
              <w:tc>
                <w:tcPr>
                  <w:tcW w:w="765" w:type="dxa"/>
                  <w:vMerge w:val="continue"/>
                  <w:vAlign w:val="center"/>
                </w:tcPr>
                <w:p w14:paraId="3589C186">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rPr>
                  </w:pPr>
                </w:p>
              </w:tc>
              <w:tc>
                <w:tcPr>
                  <w:tcW w:w="1129" w:type="dxa"/>
                  <w:vMerge w:val="continue"/>
                  <w:vAlign w:val="center"/>
                </w:tcPr>
                <w:p w14:paraId="0D3FB970">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rPr>
                  </w:pPr>
                </w:p>
              </w:tc>
              <w:tc>
                <w:tcPr>
                  <w:tcW w:w="949" w:type="dxa"/>
                  <w:vAlign w:val="center"/>
                </w:tcPr>
                <w:p w14:paraId="350F28A0">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浓度</w:t>
                  </w:r>
                </w:p>
                <w:p w14:paraId="49276552">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1024" w:type="dxa"/>
                  <w:vAlign w:val="center"/>
                </w:tcPr>
                <w:p w14:paraId="66F86FBC">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速率</w:t>
                  </w:r>
                </w:p>
                <w:p w14:paraId="2AE9366E">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(kg/h)</w:t>
                  </w:r>
                </w:p>
              </w:tc>
              <w:tc>
                <w:tcPr>
                  <w:tcW w:w="990" w:type="dxa"/>
                  <w:vAlign w:val="center"/>
                </w:tcPr>
                <w:p w14:paraId="2E1AEBCF">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频次及持</w:t>
                  </w:r>
                </w:p>
                <w:p w14:paraId="278E4639">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续时间</w:t>
                  </w:r>
                </w:p>
              </w:tc>
              <w:tc>
                <w:tcPr>
                  <w:tcW w:w="1020" w:type="dxa"/>
                  <w:vAlign w:val="center"/>
                </w:tcPr>
                <w:p w14:paraId="44B46C91">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w:t>
                  </w:r>
                </w:p>
                <w:p w14:paraId="1DF01D03">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（t/a）</w:t>
                  </w:r>
                </w:p>
              </w:tc>
              <w:tc>
                <w:tcPr>
                  <w:tcW w:w="975" w:type="dxa"/>
                  <w:vAlign w:val="center"/>
                </w:tcPr>
                <w:p w14:paraId="765D34E6">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浓度</w:t>
                  </w:r>
                </w:p>
                <w:p w14:paraId="663DC1B5">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930" w:type="dxa"/>
                  <w:vAlign w:val="center"/>
                </w:tcPr>
                <w:p w14:paraId="36B7C066">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速率</w:t>
                  </w:r>
                </w:p>
                <w:p w14:paraId="391CC6FB">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(kg/h)</w:t>
                  </w:r>
                </w:p>
              </w:tc>
              <w:tc>
                <w:tcPr>
                  <w:tcW w:w="756" w:type="dxa"/>
                  <w:vMerge w:val="continue"/>
                  <w:vAlign w:val="center"/>
                </w:tcPr>
                <w:p w14:paraId="4604EDAC">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p>
              </w:tc>
            </w:tr>
            <w:tr w14:paraId="58B5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vAlign w:val="center"/>
                </w:tcPr>
                <w:p w14:paraId="289612E2">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DA001排气筒</w:t>
                  </w:r>
                </w:p>
              </w:tc>
              <w:tc>
                <w:tcPr>
                  <w:tcW w:w="765" w:type="dxa"/>
                  <w:vAlign w:val="center"/>
                </w:tcPr>
                <w:p w14:paraId="1E00F755">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粉尘</w:t>
                  </w:r>
                </w:p>
              </w:tc>
              <w:tc>
                <w:tcPr>
                  <w:tcW w:w="1129" w:type="dxa"/>
                  <w:vAlign w:val="center"/>
                </w:tcPr>
                <w:p w14:paraId="43EDE4B6">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袋式除尘器故障，去除效率为 0</w:t>
                  </w:r>
                </w:p>
              </w:tc>
              <w:tc>
                <w:tcPr>
                  <w:tcW w:w="949" w:type="dxa"/>
                  <w:vAlign w:val="center"/>
                </w:tcPr>
                <w:p w14:paraId="77D4D27D">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143</w:t>
                  </w:r>
                </w:p>
              </w:tc>
              <w:tc>
                <w:tcPr>
                  <w:tcW w:w="1024" w:type="dxa"/>
                  <w:vAlign w:val="center"/>
                </w:tcPr>
                <w:p w14:paraId="76B8E57D">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.43</w:t>
                  </w:r>
                </w:p>
              </w:tc>
              <w:tc>
                <w:tcPr>
                  <w:tcW w:w="990" w:type="dxa"/>
                  <w:vAlign w:val="center"/>
                </w:tcPr>
                <w:p w14:paraId="215CA689">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 次/a</w:t>
                  </w:r>
                </w:p>
                <w:p w14:paraId="556577A5">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1h/次</w:t>
                  </w:r>
                </w:p>
              </w:tc>
              <w:tc>
                <w:tcPr>
                  <w:tcW w:w="1020" w:type="dxa"/>
                  <w:vAlign w:val="center"/>
                </w:tcPr>
                <w:p w14:paraId="2055BA08">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26</w:t>
                  </w:r>
                </w:p>
              </w:tc>
              <w:tc>
                <w:tcPr>
                  <w:tcW w:w="975" w:type="dxa"/>
                  <w:vAlign w:val="center"/>
                </w:tcPr>
                <w:p w14:paraId="0784673A">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30" w:type="dxa"/>
                  <w:vAlign w:val="center"/>
                </w:tcPr>
                <w:p w14:paraId="2CC7D2C4">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w:t>
                  </w:r>
                </w:p>
              </w:tc>
              <w:tc>
                <w:tcPr>
                  <w:tcW w:w="756" w:type="dxa"/>
                  <w:vAlign w:val="center"/>
                </w:tcPr>
                <w:p w14:paraId="5AA8F536">
                  <w:pPr>
                    <w:pStyle w:val="17"/>
                    <w:keepNext w:val="0"/>
                    <w:keepLines w:val="0"/>
                    <w:pageBreakBefore w:val="0"/>
                    <w:widowControl/>
                    <w:kinsoku/>
                    <w:wordWrap/>
                    <w:overflowPunct/>
                    <w:topLinePunct w:val="0"/>
                    <w:autoSpaceDE/>
                    <w:autoSpaceDN/>
                    <w:bidi w:val="0"/>
                    <w:adjustRightInd/>
                    <w:snapToGrid w:val="0"/>
                    <w:spacing w:line="240" w:lineRule="auto"/>
                    <w:ind w:right="113"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不达标</w:t>
                  </w:r>
                </w:p>
              </w:tc>
            </w:tr>
          </w:tbl>
          <w:p w14:paraId="49B3256E">
            <w:pPr>
              <w:pStyle w:val="17"/>
              <w:spacing w:line="360" w:lineRule="auto"/>
              <w:ind w:left="0" w:lef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表可知，非正常工况下，DA001排气筒颗粒物排放浓度不达标，排放速率均达标排放。为防止项目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177896C9">
            <w:pPr>
              <w:pStyle w:val="17"/>
              <w:spacing w:line="360" w:lineRule="auto"/>
              <w:ind w:left="0" w:lef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①安排专人负责环保设备的日常维护和管理，每隔固定时间检测、汇报情况，及时</w:t>
            </w:r>
          </w:p>
          <w:p w14:paraId="5B843B0A">
            <w:pPr>
              <w:pStyle w:val="17"/>
              <w:spacing w:line="360" w:lineRule="auto"/>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发现废气处理设备的隐患，确保废气处理系统正常运行。</w:t>
            </w:r>
          </w:p>
          <w:p w14:paraId="304D132A">
            <w:pPr>
              <w:pStyle w:val="17"/>
              <w:spacing w:line="360" w:lineRule="auto"/>
              <w:ind w:left="0" w:lef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②建立健全的环保管理机构，对环保管理人员的技术人员进行岗位培训，委托具有</w:t>
            </w:r>
          </w:p>
          <w:p w14:paraId="0F934B3B">
            <w:pPr>
              <w:pStyle w:val="17"/>
              <w:spacing w:line="360" w:lineRule="auto"/>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专业资质的环境监测单位对项目排放的各类污染物进行定期检测；</w:t>
            </w:r>
          </w:p>
          <w:p w14:paraId="793707D1">
            <w:pPr>
              <w:pStyle w:val="17"/>
              <w:spacing w:line="360" w:lineRule="auto"/>
              <w:ind w:left="0" w:lef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③定期维护、检修废气净化装置，以保持废气处理装置的净化能力和净化容量。</w:t>
            </w:r>
          </w:p>
          <w:p w14:paraId="4D0A5B69">
            <w:pPr>
              <w:pStyle w:val="17"/>
              <w:spacing w:line="360" w:lineRule="auto"/>
              <w:ind w:left="0" w:lef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④旋风除尘器定期维护，袋式除尘器布袋要及时清灰，确保除尘器处于最佳工作状</w:t>
            </w:r>
          </w:p>
          <w:p w14:paraId="0C7A059F">
            <w:pPr>
              <w:pStyle w:val="17"/>
              <w:spacing w:line="360" w:lineRule="auto"/>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态。</w:t>
            </w:r>
          </w:p>
          <w:p w14:paraId="141AC22A">
            <w:pPr>
              <w:pStyle w:val="17"/>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1.6 监测计划</w:t>
            </w:r>
          </w:p>
          <w:p w14:paraId="5B380F37">
            <w:pPr>
              <w:pStyle w:val="17"/>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根据《排污单位自行监测技术指南 总则》（HJ819-2017）及根据《排污许可证申请与核发技术规范 农副食品加工工业—淀粉工业》（HJ 860.2—2018）中相关规定，本项目监测内容及监测频次见下表4-8。</w:t>
            </w:r>
          </w:p>
          <w:p w14:paraId="562967AF">
            <w:pPr>
              <w:pStyle w:val="17"/>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表4-8监测内容及监测频率</w:t>
            </w:r>
          </w:p>
          <w:tbl>
            <w:tblPr>
              <w:tblStyle w:val="20"/>
              <w:tblW w:w="9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635"/>
              <w:gridCol w:w="3120"/>
              <w:gridCol w:w="1875"/>
              <w:gridCol w:w="1627"/>
            </w:tblGrid>
            <w:tr w14:paraId="515A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14:paraId="42A04673">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序号</w:t>
                  </w:r>
                </w:p>
              </w:tc>
              <w:tc>
                <w:tcPr>
                  <w:tcW w:w="1635" w:type="dxa"/>
                  <w:vAlign w:val="center"/>
                </w:tcPr>
                <w:p w14:paraId="036ADACD">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污染源</w:t>
                  </w:r>
                </w:p>
              </w:tc>
              <w:tc>
                <w:tcPr>
                  <w:tcW w:w="3120" w:type="dxa"/>
                  <w:vAlign w:val="center"/>
                </w:tcPr>
                <w:p w14:paraId="5DDB8A97">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监测点位</w:t>
                  </w:r>
                </w:p>
              </w:tc>
              <w:tc>
                <w:tcPr>
                  <w:tcW w:w="1875" w:type="dxa"/>
                  <w:vAlign w:val="center"/>
                </w:tcPr>
                <w:p w14:paraId="098ECCF7">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监测项目</w:t>
                  </w:r>
                </w:p>
              </w:tc>
              <w:tc>
                <w:tcPr>
                  <w:tcW w:w="1627" w:type="dxa"/>
                  <w:vAlign w:val="center"/>
                </w:tcPr>
                <w:p w14:paraId="183E966F">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监测频次</w:t>
                  </w:r>
                </w:p>
              </w:tc>
            </w:tr>
            <w:tr w14:paraId="0DCA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14:paraId="14F866B5">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w:t>
                  </w:r>
                </w:p>
              </w:tc>
              <w:tc>
                <w:tcPr>
                  <w:tcW w:w="1635" w:type="dxa"/>
                  <w:vAlign w:val="center"/>
                </w:tcPr>
                <w:p w14:paraId="434A134B">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投料废气</w:t>
                  </w:r>
                </w:p>
              </w:tc>
              <w:tc>
                <w:tcPr>
                  <w:tcW w:w="3120" w:type="dxa"/>
                  <w:vAlign w:val="center"/>
                </w:tcPr>
                <w:p w14:paraId="2E18E9EC">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袋式除尘器排气筒出口</w:t>
                  </w:r>
                </w:p>
              </w:tc>
              <w:tc>
                <w:tcPr>
                  <w:tcW w:w="1875" w:type="dxa"/>
                  <w:vAlign w:val="center"/>
                </w:tcPr>
                <w:p w14:paraId="3021E46B">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颗粒物</w:t>
                  </w:r>
                </w:p>
              </w:tc>
              <w:tc>
                <w:tcPr>
                  <w:tcW w:w="1627" w:type="dxa"/>
                  <w:vAlign w:val="center"/>
                </w:tcPr>
                <w:p w14:paraId="265BC38E">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1次/半年</w:t>
                  </w:r>
                </w:p>
              </w:tc>
            </w:tr>
            <w:tr w14:paraId="3C55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14:paraId="13B9215E">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w:t>
                  </w:r>
                </w:p>
              </w:tc>
              <w:tc>
                <w:tcPr>
                  <w:tcW w:w="1635" w:type="dxa"/>
                  <w:vAlign w:val="center"/>
                </w:tcPr>
                <w:p w14:paraId="52650D2A">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厂界</w:t>
                  </w:r>
                </w:p>
              </w:tc>
              <w:tc>
                <w:tcPr>
                  <w:tcW w:w="3120" w:type="dxa"/>
                  <w:vAlign w:val="center"/>
                </w:tcPr>
                <w:p w14:paraId="7E51D0FA">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上风向1个、下风向3个点位</w:t>
                  </w:r>
                </w:p>
              </w:tc>
              <w:tc>
                <w:tcPr>
                  <w:tcW w:w="1875" w:type="dxa"/>
                  <w:vAlign w:val="center"/>
                </w:tcPr>
                <w:p w14:paraId="64E452C7">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颗粒物</w:t>
                  </w:r>
                </w:p>
              </w:tc>
              <w:tc>
                <w:tcPr>
                  <w:tcW w:w="1627" w:type="dxa"/>
                  <w:vAlign w:val="center"/>
                </w:tcPr>
                <w:p w14:paraId="73666F8E">
                  <w:pPr>
                    <w:pStyle w:val="17"/>
                    <w:keepNext w:val="0"/>
                    <w:keepLines w:val="0"/>
                    <w:pageBreakBefore w:val="0"/>
                    <w:widowControl/>
                    <w:kinsoku/>
                    <w:wordWrap/>
                    <w:overflowPunct/>
                    <w:topLinePunct w:val="0"/>
                    <w:autoSpaceDE/>
                    <w:autoSpaceDN/>
                    <w:bidi w:val="0"/>
                    <w:adjustRightInd/>
                    <w:snapToGrid w:val="0"/>
                    <w:spacing w:line="260" w:lineRule="auto"/>
                    <w:ind w:right="113"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1次/半年</w:t>
                  </w:r>
                </w:p>
              </w:tc>
            </w:tr>
          </w:tbl>
          <w:p w14:paraId="7AD7CCDF">
            <w:pPr>
              <w:keepNext w:val="0"/>
              <w:keepLines w:val="0"/>
              <w:pageBreakBefore w:val="0"/>
              <w:widowControl w:val="0"/>
              <w:kinsoku/>
              <w:wordWrap/>
              <w:overflowPunct/>
              <w:topLinePunct w:val="0"/>
              <w:bidi w:val="0"/>
              <w:snapToGrid/>
              <w:spacing w:line="360" w:lineRule="auto"/>
              <w:jc w:val="both"/>
              <w:textAlignment w:val="auto"/>
              <w:rPr>
                <w:rFonts w:hint="default" w:ascii="Times New Roman" w:hAnsi="Times New Roman" w:eastAsia="宋体" w:cs="Times New Roman"/>
                <w:color w:val="auto"/>
                <w:sz w:val="24"/>
                <w:szCs w:val="24"/>
                <w:lang w:val="en-US" w:eastAsia="zh-CN"/>
              </w:rPr>
            </w:pPr>
          </w:p>
          <w:p w14:paraId="4B1D838E">
            <w:pPr>
              <w:keepNext w:val="0"/>
              <w:keepLines w:val="0"/>
              <w:pageBreakBefore w:val="0"/>
              <w:widowControl w:val="0"/>
              <w:numPr>
                <w:ilvl w:val="0"/>
                <w:numId w:val="0"/>
              </w:numPr>
              <w:tabs>
                <w:tab w:val="left" w:pos="3225"/>
              </w:tabs>
              <w:kinsoku/>
              <w:wordWrap/>
              <w:overflowPunct/>
              <w:topLinePunct w:val="0"/>
              <w:bidi w:val="0"/>
              <w:snapToGrid/>
              <w:spacing w:line="360" w:lineRule="auto"/>
              <w:ind w:left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废水</w:t>
            </w:r>
            <w:r>
              <w:rPr>
                <w:rFonts w:hint="default" w:ascii="Times New Roman" w:hAnsi="Times New Roman" w:eastAsia="宋体" w:cs="Times New Roman"/>
                <w:color w:val="auto"/>
                <w:sz w:val="24"/>
                <w:szCs w:val="24"/>
                <w:lang w:eastAsia="zh-CN"/>
              </w:rPr>
              <w:t>环境影响分析</w:t>
            </w:r>
          </w:p>
          <w:p w14:paraId="340D16CE">
            <w:pPr>
              <w:pStyle w:val="2"/>
              <w:keepNext w:val="0"/>
              <w:keepLines w:val="0"/>
              <w:pageBreakBefore w:val="0"/>
              <w:widowControl w:val="0"/>
              <w:numPr>
                <w:ilvl w:val="0"/>
                <w:numId w:val="0"/>
              </w:numPr>
              <w:kinsoku/>
              <w:wordWrap/>
              <w:overflowPunct/>
              <w:topLinePunct w:val="0"/>
              <w:bidi w:val="0"/>
              <w:snapToGrid/>
              <w:spacing w:line="360" w:lineRule="auto"/>
              <w:ind w:right="6"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2.1、废水产生情况</w:t>
            </w:r>
          </w:p>
          <w:p w14:paraId="3BCFFC74">
            <w:pPr>
              <w:pStyle w:val="2"/>
              <w:keepNext w:val="0"/>
              <w:keepLines w:val="0"/>
              <w:pageBreakBefore w:val="0"/>
              <w:widowControl w:val="0"/>
              <w:numPr>
                <w:ilvl w:val="0"/>
                <w:numId w:val="0"/>
              </w:numPr>
              <w:kinsoku/>
              <w:wordWrap/>
              <w:overflowPunct/>
              <w:topLinePunct w:val="0"/>
              <w:bidi w:val="0"/>
              <w:snapToGrid/>
              <w:spacing w:line="360" w:lineRule="auto"/>
              <w:ind w:right="6"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本项目营运期产生的废水包括生活污水、生产设备清洗废水和车间地面冲洗废水。</w:t>
            </w:r>
          </w:p>
          <w:p w14:paraId="30FDD0DA">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zh-CN"/>
              </w:rPr>
            </w:pPr>
            <w:r>
              <w:rPr>
                <w:rFonts w:hint="default" w:ascii="Times New Roman" w:hAnsi="Times New Roman" w:eastAsia="宋体" w:cs="Times New Roman"/>
                <w:color w:val="auto"/>
                <w:kern w:val="2"/>
                <w:sz w:val="24"/>
                <w:szCs w:val="24"/>
                <w:highlight w:val="none"/>
                <w:lang w:val="en-US" w:eastAsia="zh-CN" w:bidi="zh-CN"/>
              </w:rPr>
              <w:t>（1）职工生活污水</w:t>
            </w:r>
          </w:p>
          <w:p w14:paraId="31643744">
            <w:pPr>
              <w:pageBreakBefore w:val="0"/>
              <w:numPr>
                <w:ilvl w:val="0"/>
                <w:numId w:val="0"/>
              </w:numP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本项目计划劳动定员</w:t>
            </w:r>
            <w:r>
              <w:rPr>
                <w:rFonts w:hint="default" w:ascii="Times New Roman" w:hAnsi="Times New Roman" w:eastAsia="宋体" w:cs="Times New Roman"/>
                <w:bCs/>
                <w:color w:val="auto"/>
                <w:sz w:val="24"/>
                <w:lang w:val="en-US" w:eastAsia="zh-CN"/>
              </w:rPr>
              <w:t>30</w:t>
            </w:r>
            <w:r>
              <w:rPr>
                <w:rFonts w:hint="default" w:ascii="Times New Roman" w:hAnsi="Times New Roman" w:eastAsia="宋体" w:cs="Times New Roman"/>
                <w:bCs/>
                <w:color w:val="auto"/>
                <w:sz w:val="24"/>
              </w:rPr>
              <w:t>人，</w:t>
            </w:r>
            <w:r>
              <w:rPr>
                <w:rFonts w:hint="default" w:ascii="Times New Roman" w:hAnsi="Times New Roman" w:eastAsia="宋体" w:cs="Times New Roman"/>
                <w:bCs/>
                <w:color w:val="auto"/>
                <w:sz w:val="24"/>
                <w:lang w:eastAsia="zh-CN"/>
              </w:rPr>
              <w:t>均</w:t>
            </w:r>
            <w:r>
              <w:rPr>
                <w:rFonts w:hint="default" w:ascii="Times New Roman" w:hAnsi="Times New Roman" w:eastAsia="宋体" w:cs="Times New Roman"/>
                <w:bCs/>
                <w:color w:val="auto"/>
                <w:sz w:val="24"/>
              </w:rPr>
              <w:t>不在厂区内食宿。根据《安阳市用水定额》，不食宿人员用水量参照人均</w:t>
            </w: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0L/d计算，则生活用水量为</w:t>
            </w:r>
            <w:r>
              <w:rPr>
                <w:rFonts w:hint="default" w:ascii="Times New Roman" w:hAnsi="Times New Roman" w:eastAsia="宋体" w:cs="Times New Roman"/>
                <w:bCs/>
                <w:color w:val="auto"/>
                <w:sz w:val="24"/>
                <w:lang w:val="en-US" w:eastAsia="zh-CN"/>
              </w:rPr>
              <w:t>270</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/a（</w:t>
            </w:r>
            <w:r>
              <w:rPr>
                <w:rFonts w:hint="default" w:ascii="Times New Roman" w:hAnsi="Times New Roman" w:eastAsia="宋体" w:cs="Times New Roman"/>
                <w:bCs/>
                <w:color w:val="auto"/>
                <w:sz w:val="24"/>
                <w:lang w:val="en-US" w:eastAsia="zh-CN"/>
              </w:rPr>
              <w:t>0.9</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/d）</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废水的排放量按用水量的80%计算，则本项目生活污水排放量为</w:t>
            </w:r>
            <w:r>
              <w:rPr>
                <w:rFonts w:hint="default" w:ascii="Times New Roman" w:hAnsi="Times New Roman" w:eastAsia="宋体" w:cs="Times New Roman"/>
                <w:bCs/>
                <w:color w:val="auto"/>
                <w:sz w:val="24"/>
                <w:lang w:val="en-US" w:eastAsia="zh-CN"/>
              </w:rPr>
              <w:t>216</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/a（</w:t>
            </w:r>
            <w:r>
              <w:rPr>
                <w:rFonts w:hint="default" w:ascii="Times New Roman" w:hAnsi="Times New Roman" w:eastAsia="宋体" w:cs="Times New Roman"/>
                <w:bCs/>
                <w:color w:val="auto"/>
                <w:sz w:val="24"/>
                <w:lang w:val="en-US" w:eastAsia="zh-CN"/>
              </w:rPr>
              <w:t>0.72</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/d）。</w:t>
            </w:r>
            <w:r>
              <w:rPr>
                <w:rFonts w:hint="default" w:ascii="Times New Roman" w:hAnsi="Times New Roman" w:eastAsia="宋体" w:cs="Times New Roman"/>
                <w:color w:val="auto"/>
                <w:kern w:val="2"/>
                <w:sz w:val="24"/>
                <w:szCs w:val="24"/>
                <w:lang w:val="en-US" w:eastAsia="zh-CN" w:bidi="ar-SA"/>
              </w:rPr>
              <w:t>主要污染物浓度为：COD 250mg/L、BOD</w:t>
            </w:r>
            <w:r>
              <w:rPr>
                <w:rFonts w:hint="default" w:ascii="Times New Roman" w:hAnsi="Times New Roman" w:eastAsia="宋体" w:cs="Times New Roman"/>
                <w:color w:val="auto"/>
                <w:kern w:val="2"/>
                <w:sz w:val="24"/>
                <w:szCs w:val="24"/>
                <w:vertAlign w:val="subscript"/>
                <w:lang w:val="en-US" w:eastAsia="zh-CN" w:bidi="ar-SA"/>
              </w:rPr>
              <w:t>5</w:t>
            </w:r>
            <w:r>
              <w:rPr>
                <w:rFonts w:hint="default" w:ascii="Times New Roman" w:hAnsi="Times New Roman" w:eastAsia="宋体" w:cs="Times New Roman"/>
                <w:color w:val="auto"/>
                <w:kern w:val="2"/>
                <w:sz w:val="24"/>
                <w:szCs w:val="24"/>
                <w:lang w:val="en-US" w:eastAsia="zh-CN" w:bidi="ar-SA"/>
              </w:rPr>
              <w:t>150mg/L、SS 180mg/L、氨氮15mg/L</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TN</w:t>
            </w:r>
            <w:r>
              <w:rPr>
                <w:rFonts w:hint="default" w:ascii="Times New Roman" w:hAnsi="Times New Roman" w:cs="Times New Roman"/>
                <w:color w:val="auto"/>
                <w:kern w:val="2"/>
                <w:sz w:val="24"/>
                <w:szCs w:val="24"/>
                <w:lang w:val="en-US" w:eastAsia="zh-CN" w:bidi="ar-SA"/>
              </w:rPr>
              <w:t>40</w:t>
            </w:r>
            <w:r>
              <w:rPr>
                <w:rFonts w:hint="default" w:ascii="Times New Roman" w:hAnsi="Times New Roman" w:eastAsia="宋体" w:cs="Times New Roman"/>
                <w:color w:val="auto"/>
                <w:kern w:val="2"/>
                <w:sz w:val="24"/>
                <w:szCs w:val="24"/>
                <w:lang w:val="en-US" w:eastAsia="zh-CN" w:bidi="ar-SA"/>
              </w:rPr>
              <w:t>mg/L，TP</w:t>
            </w:r>
            <w:r>
              <w:rPr>
                <w:rFonts w:hint="default" w:ascii="Times New Roman" w:hAnsi="Times New Roman"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mg/L。</w:t>
            </w:r>
          </w:p>
          <w:p w14:paraId="1C7502FA">
            <w:pPr>
              <w:pStyle w:val="2"/>
              <w:keepNext w:val="0"/>
              <w:keepLines w:val="0"/>
              <w:pageBreakBefore w:val="0"/>
              <w:numPr>
                <w:ilvl w:val="0"/>
                <w:numId w:val="5"/>
              </w:numPr>
              <w:kinsoku/>
              <w:wordWrap/>
              <w:overflowPunct/>
              <w:topLinePunct w:val="0"/>
              <w:bidi w:val="0"/>
              <w:spacing w:line="360" w:lineRule="auto"/>
              <w:ind w:left="0" w:leftChars="0" w:right="6" w:rightChars="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生产设备清洗废水</w:t>
            </w:r>
          </w:p>
          <w:p w14:paraId="50CC66F3">
            <w:pPr>
              <w:pStyle w:val="2"/>
              <w:keepNext w:val="0"/>
              <w:keepLines w:val="0"/>
              <w:pageBreakBefore w:val="0"/>
              <w:numPr>
                <w:ilvl w:val="0"/>
                <w:numId w:val="5"/>
              </w:numPr>
              <w:kinsoku/>
              <w:wordWrap/>
              <w:overflowPunct/>
              <w:topLinePunct w:val="0"/>
              <w:bidi w:val="0"/>
              <w:spacing w:line="360" w:lineRule="auto"/>
              <w:ind w:left="0" w:leftChars="0" w:right="6" w:rightChars="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根据建设单位提供资料，项目生产过程中所用的搅拌机、多功能制糖机等生产设备均需定期清洗。经计算，生产设备清洗用水量为 162m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/a（0.54m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/d）。废水排污系数按 0.90计，则生产设备清洗废水量为147m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/a（0.49m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/d）。</w:t>
            </w:r>
          </w:p>
          <w:p w14:paraId="2C1442BD">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（3）生产车间地面冲洗废水</w:t>
            </w:r>
          </w:p>
          <w:p w14:paraId="17EF8FDA">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按照清洁生产要求，本项目生产车间地面需定期进行清洗，采用拖布拖洗的方式，频率为每天一次，清洗用水量平均按0.5L/次·m</w:t>
            </w:r>
            <w:r>
              <w:rPr>
                <w:rFonts w:hint="default" w:ascii="Times New Roman" w:hAnsi="Times New Roman" w:eastAsia="宋体" w:cs="Times New Roman"/>
                <w:bCs/>
                <w:color w:val="auto"/>
                <w:kern w:val="2"/>
                <w:sz w:val="24"/>
                <w:szCs w:val="24"/>
                <w:vertAlign w:val="superscript"/>
                <w:lang w:val="en-US" w:eastAsia="zh-CN" w:bidi="ar-SA"/>
              </w:rPr>
              <w:t>2</w:t>
            </w:r>
            <w:r>
              <w:rPr>
                <w:rFonts w:hint="default" w:ascii="Times New Roman" w:hAnsi="Times New Roman" w:eastAsia="宋体" w:cs="Times New Roman"/>
                <w:bCs/>
                <w:color w:val="auto"/>
                <w:kern w:val="2"/>
                <w:sz w:val="24"/>
                <w:szCs w:val="24"/>
                <w:lang w:val="en-US" w:eastAsia="zh-CN" w:bidi="ar-SA"/>
              </w:rPr>
              <w:t>核算，本项目生产车间面积4000m</w:t>
            </w:r>
            <w:r>
              <w:rPr>
                <w:rFonts w:hint="default" w:ascii="Times New Roman" w:hAnsi="Times New Roman" w:eastAsia="宋体" w:cs="Times New Roman"/>
                <w:bCs/>
                <w:color w:val="auto"/>
                <w:kern w:val="2"/>
                <w:sz w:val="24"/>
                <w:szCs w:val="24"/>
                <w:vertAlign w:val="superscript"/>
                <w:lang w:val="en-US" w:eastAsia="zh-CN" w:bidi="ar-SA"/>
              </w:rPr>
              <w:t>2</w:t>
            </w:r>
            <w:r>
              <w:rPr>
                <w:rFonts w:hint="default" w:ascii="Times New Roman" w:hAnsi="Times New Roman" w:eastAsia="宋体" w:cs="Times New Roman"/>
                <w:bCs/>
                <w:color w:val="auto"/>
                <w:kern w:val="2"/>
                <w:sz w:val="24"/>
                <w:szCs w:val="24"/>
                <w:lang w:val="en-US" w:eastAsia="zh-CN" w:bidi="ar-SA"/>
              </w:rPr>
              <w:t>，则地面拖洗用水量为111m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/a（0.37m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/d）。地面拖洗过程中将有部分废水蒸发耗散，废水产生系数按0.9计，则拖洗废水产生量99m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/a（0.33m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主要污染物浓度为：COD 280mg/L、SS 260mg/L、氨氮 5mg/L。</w:t>
            </w:r>
          </w:p>
          <w:p w14:paraId="1F0ED19A">
            <w:pPr>
              <w:pStyle w:val="2"/>
              <w:numPr>
                <w:ilvl w:val="0"/>
                <w:numId w:val="0"/>
              </w:numPr>
              <w:ind w:right="6" w:righ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2.2、废水处理措施</w:t>
            </w:r>
          </w:p>
          <w:p w14:paraId="32D28C4E">
            <w:pPr>
              <w:pStyle w:val="2"/>
              <w:keepNext w:val="0"/>
              <w:keepLines w:val="0"/>
              <w:pageBreakBefore w:val="0"/>
              <w:widowControl w:val="0"/>
              <w:numPr>
                <w:ilvl w:val="0"/>
                <w:numId w:val="0"/>
              </w:numPr>
              <w:kinsoku/>
              <w:wordWrap/>
              <w:overflowPunct/>
              <w:topLinePunct w:val="0"/>
              <w:bidi w:val="0"/>
              <w:adjustRightInd w:val="0"/>
              <w:spacing w:line="360" w:lineRule="auto"/>
              <w:ind w:right="6"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①综合废水产生浓度</w:t>
            </w:r>
          </w:p>
          <w:p w14:paraId="38514D80">
            <w:pPr>
              <w:pStyle w:val="2"/>
              <w:numPr>
                <w:ilvl w:val="0"/>
                <w:numId w:val="0"/>
              </w:numPr>
              <w:ind w:right="6" w:rightChars="0"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color w:val="auto"/>
                <w:kern w:val="2"/>
                <w:sz w:val="24"/>
                <w:szCs w:val="24"/>
                <w:lang w:val="en-US" w:eastAsia="zh-CN" w:bidi="ar-SA"/>
              </w:rPr>
              <w:t>本项目废水产生量为1.54m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/d（462m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 xml:space="preserve">/a），混合污水水质为：COD </w:t>
            </w:r>
            <w:r>
              <w:rPr>
                <w:rFonts w:hint="default" w:ascii="Times New Roman" w:hAnsi="Times New Roman" w:cs="Times New Roman"/>
                <w:color w:val="auto"/>
                <w:kern w:val="2"/>
                <w:sz w:val="24"/>
                <w:szCs w:val="24"/>
                <w:lang w:val="en-US" w:eastAsia="zh-CN" w:bidi="ar-SA"/>
              </w:rPr>
              <w:t>270</w:t>
            </w:r>
            <w:r>
              <w:rPr>
                <w:rFonts w:hint="default" w:ascii="Times New Roman" w:hAnsi="Times New Roman" w:eastAsia="宋体" w:cs="Times New Roman"/>
                <w:color w:val="auto"/>
                <w:kern w:val="2"/>
                <w:sz w:val="24"/>
                <w:szCs w:val="24"/>
                <w:lang w:val="en-US" w:eastAsia="zh-CN" w:bidi="ar-SA"/>
              </w:rPr>
              <w:t>mg/L、BOD</w:t>
            </w:r>
            <w:r>
              <w:rPr>
                <w:rFonts w:hint="default" w:ascii="Times New Roman" w:hAnsi="Times New Roman" w:eastAsia="宋体" w:cs="Times New Roman"/>
                <w:color w:val="auto"/>
                <w:kern w:val="2"/>
                <w:sz w:val="24"/>
                <w:szCs w:val="24"/>
                <w:vertAlign w:val="subscript"/>
                <w:lang w:val="en-US" w:eastAsia="zh-CN" w:bidi="ar-SA"/>
              </w:rPr>
              <w:t>5</w:t>
            </w:r>
            <w:r>
              <w:rPr>
                <w:rFonts w:hint="default" w:ascii="Times New Roman" w:hAnsi="Times New Roman" w:cs="Times New Roman"/>
                <w:color w:val="auto"/>
                <w:kern w:val="2"/>
                <w:sz w:val="24"/>
                <w:szCs w:val="24"/>
                <w:lang w:val="en-US" w:eastAsia="zh-CN" w:bidi="ar-SA"/>
              </w:rPr>
              <w:t>180</w:t>
            </w:r>
            <w:r>
              <w:rPr>
                <w:rFonts w:hint="default" w:ascii="Times New Roman" w:hAnsi="Times New Roman" w:eastAsia="宋体" w:cs="Times New Roman"/>
                <w:color w:val="auto"/>
                <w:kern w:val="2"/>
                <w:sz w:val="24"/>
                <w:szCs w:val="24"/>
                <w:lang w:val="en-US" w:eastAsia="zh-CN" w:bidi="ar-SA"/>
              </w:rPr>
              <w:t>mg/L、SS</w:t>
            </w:r>
            <w:r>
              <w:rPr>
                <w:rFonts w:hint="default" w:ascii="Times New Roman" w:hAnsi="Times New Roman" w:cs="Times New Roman"/>
                <w:color w:val="auto"/>
                <w:kern w:val="2"/>
                <w:sz w:val="24"/>
                <w:szCs w:val="24"/>
                <w:lang w:val="en-US" w:eastAsia="zh-CN" w:bidi="ar-SA"/>
              </w:rPr>
              <w:t>220</w:t>
            </w:r>
            <w:r>
              <w:rPr>
                <w:rFonts w:hint="default" w:ascii="Times New Roman" w:hAnsi="Times New Roman" w:eastAsia="宋体" w:cs="Times New Roman"/>
                <w:color w:val="auto"/>
                <w:kern w:val="2"/>
                <w:sz w:val="24"/>
                <w:szCs w:val="24"/>
                <w:lang w:val="en-US" w:eastAsia="zh-CN" w:bidi="ar-SA"/>
              </w:rPr>
              <w:t>mg/L、NH</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-N</w:t>
            </w:r>
            <w:r>
              <w:rPr>
                <w:rFonts w:hint="default" w:ascii="Times New Roman" w:hAnsi="Times New Roman" w:cs="Times New Roman"/>
                <w:color w:val="auto"/>
                <w:kern w:val="2"/>
                <w:sz w:val="24"/>
                <w:szCs w:val="24"/>
                <w:lang w:val="en-US" w:eastAsia="zh-CN" w:bidi="ar-SA"/>
              </w:rPr>
              <w:t>14</w:t>
            </w:r>
            <w:r>
              <w:rPr>
                <w:rFonts w:hint="default" w:ascii="Times New Roman" w:hAnsi="Times New Roman" w:eastAsia="宋体" w:cs="Times New Roman"/>
                <w:color w:val="auto"/>
                <w:kern w:val="2"/>
                <w:sz w:val="24"/>
                <w:szCs w:val="24"/>
                <w:lang w:val="en-US" w:eastAsia="zh-CN" w:bidi="ar-SA"/>
              </w:rPr>
              <w:t>mg/L</w:t>
            </w:r>
            <w:r>
              <w:rPr>
                <w:rFonts w:hint="default" w:ascii="Times New Roman" w:hAnsi="Times New Roman" w:cs="Times New Roman"/>
                <w:color w:val="auto"/>
                <w:kern w:val="2"/>
                <w:sz w:val="24"/>
                <w:szCs w:val="24"/>
                <w:lang w:val="en-US" w:eastAsia="zh-CN" w:bidi="ar-SA"/>
              </w:rPr>
              <w:t>，</w:t>
            </w:r>
            <w:r>
              <w:rPr>
                <w:rFonts w:hint="default" w:ascii="Times New Roman" w:hAnsi="Times New Roman" w:cs="Times New Roman"/>
                <w:color w:val="auto"/>
                <w:szCs w:val="21"/>
              </w:rPr>
              <w:t>TN</w:t>
            </w:r>
            <w:r>
              <w:rPr>
                <w:rFonts w:hint="default" w:ascii="Times New Roman" w:hAnsi="Times New Roman" w:cs="Times New Roman"/>
                <w:color w:val="auto"/>
                <w:szCs w:val="21"/>
                <w:lang w:val="en-US" w:eastAsia="zh-CN"/>
              </w:rPr>
              <w:t>35</w:t>
            </w:r>
            <w:r>
              <w:rPr>
                <w:rFonts w:hint="default" w:ascii="Times New Roman" w:hAnsi="Times New Roman" w:eastAsia="宋体" w:cs="Times New Roman"/>
                <w:color w:val="auto"/>
                <w:kern w:val="2"/>
                <w:sz w:val="24"/>
                <w:szCs w:val="24"/>
                <w:lang w:val="en-US" w:eastAsia="zh-CN" w:bidi="ar-SA"/>
              </w:rPr>
              <w:t>mg/L</w:t>
            </w:r>
            <w:r>
              <w:rPr>
                <w:rFonts w:hint="default" w:ascii="Times New Roman" w:hAnsi="Times New Roman" w:cs="Times New Roman"/>
                <w:color w:val="auto"/>
                <w:kern w:val="2"/>
                <w:sz w:val="24"/>
                <w:szCs w:val="24"/>
                <w:lang w:val="en-US" w:eastAsia="zh-CN" w:bidi="ar-SA"/>
              </w:rPr>
              <w:t>，</w:t>
            </w:r>
            <w:r>
              <w:rPr>
                <w:rFonts w:hint="default" w:ascii="Times New Roman" w:hAnsi="Times New Roman" w:cs="Times New Roman"/>
                <w:color w:val="auto"/>
                <w:szCs w:val="21"/>
              </w:rPr>
              <w:t>T</w:t>
            </w:r>
            <w:r>
              <w:rPr>
                <w:rFonts w:hint="default" w:ascii="Times New Roman" w:hAnsi="Times New Roman" w:cs="Times New Roman"/>
                <w:color w:val="auto"/>
                <w:szCs w:val="21"/>
                <w:lang w:val="en-US" w:eastAsia="zh-CN"/>
              </w:rPr>
              <w:t>P4</w:t>
            </w:r>
            <w:r>
              <w:rPr>
                <w:rFonts w:hint="default" w:ascii="Times New Roman" w:hAnsi="Times New Roman" w:eastAsia="宋体" w:cs="Times New Roman"/>
                <w:color w:val="auto"/>
                <w:kern w:val="2"/>
                <w:sz w:val="24"/>
                <w:szCs w:val="24"/>
                <w:lang w:val="en-US" w:eastAsia="zh-CN" w:bidi="ar-SA"/>
              </w:rPr>
              <w:t>mg/L。</w:t>
            </w:r>
            <w:r>
              <w:rPr>
                <w:rFonts w:hint="default" w:ascii="Times New Roman" w:hAnsi="Times New Roman" w:cs="Times New Roman"/>
                <w:bCs/>
                <w:color w:val="auto"/>
                <w:sz w:val="24"/>
              </w:rPr>
              <w:t>可以满足滑县产业集聚区污水处理厂进水水质要求</w:t>
            </w:r>
            <w:r>
              <w:rPr>
                <w:rFonts w:hint="default" w:ascii="Times New Roman" w:hAnsi="Times New Roman" w:cs="Times New Roman"/>
                <w:bCs/>
                <w:color w:val="auto"/>
                <w:sz w:val="24"/>
                <w:lang w:eastAsia="zh-CN"/>
              </w:rPr>
              <w:t>。</w:t>
            </w:r>
            <w:r>
              <w:rPr>
                <w:rFonts w:hint="default" w:ascii="Times New Roman" w:hAnsi="Times New Roman" w:eastAsia="宋体" w:cs="Times New Roman"/>
                <w:bCs/>
                <w:color w:val="auto"/>
                <w:sz w:val="24"/>
                <w:lang w:eastAsia="zh-CN"/>
              </w:rPr>
              <w:t>废水经</w:t>
            </w:r>
            <w:r>
              <w:rPr>
                <w:rFonts w:hint="default" w:ascii="Times New Roman" w:hAnsi="Times New Roman" w:eastAsia="宋体" w:cs="Times New Roman"/>
                <w:bCs/>
                <w:color w:val="auto"/>
                <w:sz w:val="24"/>
                <w:lang w:val="en-US" w:eastAsia="zh-CN"/>
              </w:rPr>
              <w:t>化粪池+一体化污水处理设施</w:t>
            </w:r>
            <w:r>
              <w:rPr>
                <w:rFonts w:hint="eastAsia" w:ascii="Times New Roman" w:hAnsi="Times New Roman" w:eastAsia="宋体" w:cs="Times New Roman"/>
                <w:bCs/>
                <w:color w:val="auto"/>
                <w:sz w:val="24"/>
                <w:lang w:val="en-US" w:eastAsia="zh-CN"/>
              </w:rPr>
              <w:t>处理后，</w:t>
            </w:r>
            <w:r>
              <w:rPr>
                <w:rFonts w:hint="default" w:ascii="Times New Roman" w:hAnsi="Times New Roman" w:eastAsia="宋体" w:cs="Times New Roman"/>
                <w:bCs/>
                <w:color w:val="auto"/>
                <w:sz w:val="24"/>
                <w:lang w:val="en-US" w:eastAsia="zh-CN"/>
              </w:rPr>
              <w:t>经市政管网排入滑县产业集聚区污水处理厂</w:t>
            </w:r>
            <w:r>
              <w:rPr>
                <w:rFonts w:hint="default" w:ascii="Times New Roman" w:hAnsi="Times New Roman" w:eastAsia="宋体" w:cs="Times New Roman"/>
                <w:bCs/>
                <w:color w:val="auto"/>
                <w:sz w:val="24"/>
              </w:rPr>
              <w:t>进一步处理</w:t>
            </w:r>
            <w:r>
              <w:rPr>
                <w:rFonts w:hint="default" w:ascii="Times New Roman" w:hAnsi="Times New Roman" w:eastAsia="宋体" w:cs="Times New Roman"/>
                <w:bCs/>
                <w:color w:val="auto"/>
                <w:sz w:val="24"/>
                <w:lang w:eastAsia="zh-CN"/>
              </w:rPr>
              <w:t>。</w:t>
            </w:r>
          </w:p>
          <w:p w14:paraId="454AAB89">
            <w:pPr>
              <w:pStyle w:val="2"/>
              <w:numPr>
                <w:ilvl w:val="0"/>
                <w:numId w:val="0"/>
              </w:numPr>
              <w:ind w:right="6" w:righ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②综合废水处理工艺</w:t>
            </w:r>
          </w:p>
          <w:p w14:paraId="122E44EB">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6"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根据现场勘查，拟在厂区内建设一座5m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/d的污水处理设施来处理项目产生的废水和生活污水。本项目污水处理设计规模为5m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/d，废水量较少，可生化有机物含量高，建议一体化污水处理设施的处理工艺采用“A/O法”，处理工艺见下图。</w:t>
            </w:r>
          </w:p>
          <w:p w14:paraId="1529AC3F">
            <w:pPr>
              <w:pStyle w:val="17"/>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rPr>
              <w:drawing>
                <wp:anchor distT="0" distB="0" distL="114300" distR="114300" simplePos="0" relativeHeight="251699200" behindDoc="0" locked="0" layoutInCell="1" allowOverlap="1">
                  <wp:simplePos x="0" y="0"/>
                  <wp:positionH relativeFrom="column">
                    <wp:posOffset>714375</wp:posOffset>
                  </wp:positionH>
                  <wp:positionV relativeFrom="paragraph">
                    <wp:posOffset>121920</wp:posOffset>
                  </wp:positionV>
                  <wp:extent cx="4410075" cy="2181225"/>
                  <wp:effectExtent l="0" t="0" r="9525" b="9525"/>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4410075" cy="2181225"/>
                          </a:xfrm>
                          <a:prstGeom prst="rect">
                            <a:avLst/>
                          </a:prstGeom>
                          <a:noFill/>
                          <a:ln>
                            <a:noFill/>
                          </a:ln>
                        </pic:spPr>
                      </pic:pic>
                    </a:graphicData>
                  </a:graphic>
                </wp:anchor>
              </w:drawing>
            </w:r>
          </w:p>
          <w:p w14:paraId="3D094798">
            <w:pPr>
              <w:pStyle w:val="17"/>
              <w:spacing w:line="360" w:lineRule="auto"/>
              <w:rPr>
                <w:rFonts w:hint="default" w:ascii="Times New Roman" w:hAnsi="Times New Roman" w:eastAsia="宋体" w:cs="Times New Roman"/>
                <w:sz w:val="24"/>
                <w:szCs w:val="24"/>
                <w:lang w:eastAsia="zh-CN"/>
              </w:rPr>
            </w:pPr>
          </w:p>
          <w:p w14:paraId="77C14909">
            <w:pPr>
              <w:pStyle w:val="17"/>
              <w:spacing w:line="360" w:lineRule="auto"/>
              <w:rPr>
                <w:rFonts w:hint="default" w:ascii="Times New Roman" w:hAnsi="Times New Roman" w:eastAsia="宋体" w:cs="Times New Roman"/>
                <w:sz w:val="24"/>
                <w:szCs w:val="24"/>
                <w:lang w:eastAsia="zh-CN"/>
              </w:rPr>
            </w:pPr>
          </w:p>
          <w:p w14:paraId="3652BB42">
            <w:pPr>
              <w:pStyle w:val="17"/>
              <w:spacing w:line="360" w:lineRule="auto"/>
              <w:rPr>
                <w:rFonts w:hint="default" w:ascii="Times New Roman" w:hAnsi="Times New Roman" w:eastAsia="宋体" w:cs="Times New Roman"/>
                <w:sz w:val="24"/>
                <w:szCs w:val="24"/>
                <w:lang w:eastAsia="zh-CN"/>
              </w:rPr>
            </w:pPr>
          </w:p>
          <w:p w14:paraId="7B290B72">
            <w:pPr>
              <w:pStyle w:val="17"/>
              <w:spacing w:line="360" w:lineRule="auto"/>
              <w:rPr>
                <w:rFonts w:hint="default" w:ascii="Times New Roman" w:hAnsi="Times New Roman" w:eastAsia="宋体" w:cs="Times New Roman"/>
                <w:sz w:val="24"/>
                <w:szCs w:val="24"/>
                <w:lang w:eastAsia="zh-CN"/>
              </w:rPr>
            </w:pPr>
          </w:p>
          <w:p w14:paraId="35E952BD">
            <w:pPr>
              <w:pStyle w:val="17"/>
              <w:spacing w:line="360" w:lineRule="auto"/>
              <w:rPr>
                <w:rFonts w:hint="default" w:ascii="Times New Roman" w:hAnsi="Times New Roman" w:eastAsia="宋体" w:cs="Times New Roman"/>
                <w:sz w:val="24"/>
                <w:szCs w:val="24"/>
                <w:lang w:eastAsia="zh-CN"/>
              </w:rPr>
            </w:pPr>
          </w:p>
          <w:p w14:paraId="156FC1EC">
            <w:pPr>
              <w:pStyle w:val="17"/>
              <w:spacing w:line="360" w:lineRule="auto"/>
              <w:rPr>
                <w:rFonts w:hint="default" w:ascii="Times New Roman" w:hAnsi="Times New Roman" w:eastAsia="宋体" w:cs="Times New Roman"/>
                <w:sz w:val="24"/>
                <w:szCs w:val="24"/>
                <w:lang w:eastAsia="zh-CN"/>
              </w:rPr>
            </w:pPr>
          </w:p>
          <w:p w14:paraId="7C507548">
            <w:pPr>
              <w:pStyle w:val="17"/>
              <w:keepNext w:val="0"/>
              <w:keepLines w:val="0"/>
              <w:pageBreakBefore w:val="0"/>
              <w:widowControl/>
              <w:kinsoku/>
              <w:wordWrap/>
              <w:overflowPunct/>
              <w:topLinePunct w:val="0"/>
              <w:autoSpaceDE/>
              <w:autoSpaceDN/>
              <w:bidi w:val="0"/>
              <w:adjustRightInd/>
              <w:snapToGrid w:val="0"/>
              <w:spacing w:line="360" w:lineRule="auto"/>
              <w:ind w:right="113" w:firstLine="420"/>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图</w:t>
            </w:r>
            <w:r>
              <w:rPr>
                <w:rFonts w:hint="default" w:ascii="Times New Roman" w:hAnsi="Times New Roman" w:eastAsia="宋体" w:cs="Times New Roman"/>
                <w:sz w:val="24"/>
                <w:szCs w:val="24"/>
                <w:lang w:val="en-US" w:eastAsia="zh-CN"/>
              </w:rPr>
              <w:t>4-1</w:t>
            </w:r>
            <w:r>
              <w:rPr>
                <w:rFonts w:hint="default" w:ascii="Times New Roman" w:hAnsi="Times New Roman" w:eastAsia="宋体" w:cs="Times New Roman"/>
                <w:sz w:val="24"/>
                <w:szCs w:val="24"/>
                <w:lang w:eastAsia="zh-CN"/>
              </w:rPr>
              <w:t xml:space="preserve"> 项目污水处理设施处理工艺流程图</w:t>
            </w:r>
          </w:p>
          <w:p w14:paraId="40FD49ED">
            <w:pPr>
              <w:pStyle w:val="17"/>
              <w:keepNext w:val="0"/>
              <w:keepLines w:val="0"/>
              <w:pageBreakBefore w:val="0"/>
              <w:widowControl/>
              <w:kinsoku/>
              <w:wordWrap/>
              <w:overflowPunct/>
              <w:topLinePunct w:val="0"/>
              <w:autoSpaceDE/>
              <w:autoSpaceDN/>
              <w:bidi w:val="0"/>
              <w:adjustRightInd/>
              <w:snapToGrid w:val="0"/>
              <w:spacing w:line="360" w:lineRule="auto"/>
              <w:ind w:right="113" w:firstLine="42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污水处理设施工艺简述：废水先经化粪池预处理后流入调节池，在调节池进行水量、水质的调节均化；在调节池充分混合后由潜水排污泵抽入厌氧处理池（厌氧生物滤池），出水自流进入好氧处理池（接触氧化），出水经沉淀池沉淀后达标排出（沉淀池污泥由污泥泵定时回流至调节池）。A/O工艺是利用不同种类微生物对污水各阶段污染物的去除效果各异而研制的污水处理工艺，在厌氧段（A段），厌氧微生物繁衍生息在生物填料上，利用自身的新陈代谢将污水中的大分子有污染物水解成小分子的污染物，有利于后续好氧生化段的高效运行。在好氧段（O段），由于采用水下曝气机向水中充入足够氧气，好氧微生物在填料上大量繁殖并通过新陈代谢作用，将水中可生化降解的有机物降解成无害的无机物。死亡脱落的生物膜在沉淀池中定期回流至厌氧段，利用厌氧细菌的反硝化作用将污泥消化分解，使系统剩余污泥很少。该污水处理工艺技术成熟，经济合理，处理效率高，运行成本低，出水水质稳定、可靠。</w:t>
            </w:r>
          </w:p>
          <w:p w14:paraId="3800131D">
            <w:pPr>
              <w:pStyle w:val="17"/>
              <w:keepNext w:val="0"/>
              <w:keepLines w:val="0"/>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③综合废水排放浓度项目废水经污水处理设施处理后的进出水水质参数见表</w:t>
            </w:r>
            <w:r>
              <w:rPr>
                <w:rFonts w:hint="default" w:ascii="Times New Roman" w:hAnsi="Times New Roman" w:eastAsia="宋体" w:cs="Times New Roman"/>
                <w:sz w:val="24"/>
                <w:szCs w:val="24"/>
                <w:lang w:val="en-US" w:eastAsia="zh-CN"/>
              </w:rPr>
              <w:t>4-9</w:t>
            </w:r>
            <w:r>
              <w:rPr>
                <w:rFonts w:hint="default" w:ascii="Times New Roman" w:hAnsi="Times New Roman" w:eastAsia="宋体" w:cs="Times New Roman"/>
                <w:sz w:val="24"/>
                <w:szCs w:val="24"/>
                <w:lang w:eastAsia="zh-CN"/>
              </w:rPr>
              <w:t>。</w:t>
            </w:r>
          </w:p>
          <w:p w14:paraId="2C464861">
            <w:pPr>
              <w:keepNext w:val="0"/>
              <w:keepLines w:val="0"/>
              <w:pageBreakBefore w:val="0"/>
              <w:tabs>
                <w:tab w:val="left" w:pos="3225"/>
              </w:tabs>
              <w:kinsoku/>
              <w:wordWrap/>
              <w:overflowPunct/>
              <w:topLinePunct w:val="0"/>
              <w:autoSpaceDE/>
              <w:autoSpaceDN/>
              <w:bidi w:val="0"/>
              <w:adjustRightInd/>
              <w:spacing w:line="360" w:lineRule="auto"/>
              <w:ind w:firstLine="480" w:firstLineChars="200"/>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4-9</w:t>
            </w:r>
            <w:r>
              <w:rPr>
                <w:rFonts w:hint="default" w:ascii="Times New Roman" w:hAnsi="Times New Roman" w:eastAsia="宋体" w:cs="Times New Roman"/>
                <w:sz w:val="24"/>
                <w:szCs w:val="24"/>
                <w:lang w:eastAsia="zh-CN"/>
              </w:rPr>
              <w:t>生活污水主要污染物产生排放情况</w:t>
            </w:r>
          </w:p>
          <w:tbl>
            <w:tblPr>
              <w:tblStyle w:val="20"/>
              <w:tblW w:w="9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113"/>
              <w:gridCol w:w="1356"/>
              <w:gridCol w:w="1356"/>
              <w:gridCol w:w="1356"/>
              <w:gridCol w:w="1356"/>
              <w:gridCol w:w="1356"/>
            </w:tblGrid>
            <w:tr w14:paraId="4FFA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Merge w:val="restart"/>
                  <w:vAlign w:val="center"/>
                </w:tcPr>
                <w:p w14:paraId="39BDC193">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项目</w:t>
                  </w:r>
                </w:p>
              </w:tc>
              <w:tc>
                <w:tcPr>
                  <w:tcW w:w="1113" w:type="dxa"/>
                  <w:vMerge w:val="restart"/>
                  <w:vAlign w:val="center"/>
                </w:tcPr>
                <w:p w14:paraId="04A101C4">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废水量</w:t>
                  </w:r>
                </w:p>
                <w:p w14:paraId="5CFCC695">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vertAlign w:val="baseline"/>
                      <w:lang w:eastAsia="zh-CN"/>
                    </w:rPr>
                    <w:t>/a）</w:t>
                  </w:r>
                </w:p>
              </w:tc>
              <w:tc>
                <w:tcPr>
                  <w:tcW w:w="6780" w:type="dxa"/>
                  <w:gridSpan w:val="5"/>
                  <w:vAlign w:val="center"/>
                </w:tcPr>
                <w:p w14:paraId="5B608E98">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废水水质（mg/L）</w:t>
                  </w:r>
                </w:p>
              </w:tc>
            </w:tr>
            <w:tr w14:paraId="6B10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Merge w:val="continue"/>
                  <w:vAlign w:val="center"/>
                </w:tcPr>
                <w:p w14:paraId="0081761C">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tc>
              <w:tc>
                <w:tcPr>
                  <w:tcW w:w="1113" w:type="dxa"/>
                  <w:vMerge w:val="continue"/>
                  <w:vAlign w:val="center"/>
                </w:tcPr>
                <w:p w14:paraId="4D9AD08D">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p>
              </w:tc>
              <w:tc>
                <w:tcPr>
                  <w:tcW w:w="1356" w:type="dxa"/>
                  <w:vAlign w:val="center"/>
                </w:tcPr>
                <w:p w14:paraId="56357176">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1356" w:type="dxa"/>
                  <w:vAlign w:val="center"/>
                </w:tcPr>
                <w:p w14:paraId="0CCCB6A5">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356" w:type="dxa"/>
                  <w:vAlign w:val="center"/>
                </w:tcPr>
                <w:p w14:paraId="12A47FFC">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1356" w:type="dxa"/>
                  <w:vAlign w:val="center"/>
                </w:tcPr>
                <w:p w14:paraId="27E319D5">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c>
                <w:tcPr>
                  <w:tcW w:w="1356" w:type="dxa"/>
                  <w:vAlign w:val="center"/>
                </w:tcPr>
                <w:p w14:paraId="4F6A34D5">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动植物油</w:t>
                  </w:r>
                </w:p>
              </w:tc>
            </w:tr>
            <w:tr w14:paraId="1CEC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shd w:val="clear" w:color="auto" w:fill="auto"/>
                  <w:vAlign w:val="center"/>
                </w:tcPr>
                <w:p w14:paraId="23F1AC6D">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混合废水进水</w:t>
                  </w:r>
                </w:p>
              </w:tc>
              <w:tc>
                <w:tcPr>
                  <w:tcW w:w="1113" w:type="dxa"/>
                  <w:vAlign w:val="center"/>
                </w:tcPr>
                <w:p w14:paraId="38F2C1A3">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462</w:t>
                  </w:r>
                </w:p>
              </w:tc>
              <w:tc>
                <w:tcPr>
                  <w:tcW w:w="1356" w:type="dxa"/>
                  <w:vAlign w:val="center"/>
                </w:tcPr>
                <w:p w14:paraId="4FF8A9DC">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460</w:t>
                  </w:r>
                </w:p>
              </w:tc>
              <w:tc>
                <w:tcPr>
                  <w:tcW w:w="1356" w:type="dxa"/>
                  <w:vAlign w:val="center"/>
                </w:tcPr>
                <w:p w14:paraId="28D36381">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215</w:t>
                  </w:r>
                </w:p>
              </w:tc>
              <w:tc>
                <w:tcPr>
                  <w:tcW w:w="1356" w:type="dxa"/>
                  <w:vAlign w:val="center"/>
                </w:tcPr>
                <w:p w14:paraId="7BE70C0A">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343</w:t>
                  </w:r>
                </w:p>
              </w:tc>
              <w:tc>
                <w:tcPr>
                  <w:tcW w:w="1356" w:type="dxa"/>
                  <w:vAlign w:val="center"/>
                </w:tcPr>
                <w:p w14:paraId="1328A003">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1356" w:type="dxa"/>
                  <w:vAlign w:val="center"/>
                </w:tcPr>
                <w:p w14:paraId="5A855508">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w:t>
                  </w:r>
                </w:p>
              </w:tc>
            </w:tr>
            <w:tr w14:paraId="3C4C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gridSpan w:val="2"/>
                  <w:vAlign w:val="center"/>
                </w:tcPr>
                <w:p w14:paraId="7AC7FA29">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污染物产生量（t/a）</w:t>
                  </w:r>
                </w:p>
              </w:tc>
              <w:tc>
                <w:tcPr>
                  <w:tcW w:w="1356" w:type="dxa"/>
                  <w:vAlign w:val="center"/>
                </w:tcPr>
                <w:p w14:paraId="1E3A62DA">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0.21</w:t>
                  </w:r>
                </w:p>
              </w:tc>
              <w:tc>
                <w:tcPr>
                  <w:tcW w:w="1356" w:type="dxa"/>
                  <w:vAlign w:val="center"/>
                </w:tcPr>
                <w:p w14:paraId="49B66B77">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w:t>
                  </w:r>
                </w:p>
              </w:tc>
              <w:tc>
                <w:tcPr>
                  <w:tcW w:w="1356" w:type="dxa"/>
                  <w:vAlign w:val="center"/>
                </w:tcPr>
                <w:p w14:paraId="5F7B0296">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0.16</w:t>
                  </w:r>
                </w:p>
              </w:tc>
              <w:tc>
                <w:tcPr>
                  <w:tcW w:w="1356" w:type="dxa"/>
                  <w:vAlign w:val="center"/>
                </w:tcPr>
                <w:p w14:paraId="1392E8DA">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0.014</w:t>
                  </w:r>
                </w:p>
              </w:tc>
              <w:tc>
                <w:tcPr>
                  <w:tcW w:w="1356" w:type="dxa"/>
                  <w:vAlign w:val="center"/>
                </w:tcPr>
                <w:p w14:paraId="6671C5C2">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0.012</w:t>
                  </w:r>
                </w:p>
              </w:tc>
            </w:tr>
            <w:tr w14:paraId="2E43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gridSpan w:val="2"/>
                  <w:vAlign w:val="center"/>
                </w:tcPr>
                <w:p w14:paraId="2AE41270">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 xml:space="preserve">污水处理设施去除效率 </w:t>
                  </w:r>
                </w:p>
              </w:tc>
              <w:tc>
                <w:tcPr>
                  <w:tcW w:w="1356" w:type="dxa"/>
                  <w:vAlign w:val="center"/>
                </w:tcPr>
                <w:p w14:paraId="61537FBA">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1356" w:type="dxa"/>
                  <w:vAlign w:val="center"/>
                </w:tcPr>
                <w:p w14:paraId="07159218">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w:t>
                  </w:r>
                </w:p>
              </w:tc>
              <w:tc>
                <w:tcPr>
                  <w:tcW w:w="1356" w:type="dxa"/>
                  <w:vAlign w:val="center"/>
                </w:tcPr>
                <w:p w14:paraId="4F8E9B88">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w:t>
                  </w:r>
                </w:p>
              </w:tc>
              <w:tc>
                <w:tcPr>
                  <w:tcW w:w="1356" w:type="dxa"/>
                  <w:vAlign w:val="center"/>
                </w:tcPr>
                <w:p w14:paraId="08632C42">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1356" w:type="dxa"/>
                  <w:vAlign w:val="center"/>
                </w:tcPr>
                <w:p w14:paraId="77AFBCB3">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w:t>
                  </w:r>
                </w:p>
              </w:tc>
            </w:tr>
            <w:tr w14:paraId="1D56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2CC90C39">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经污水处理设施处理后出水</w:t>
                  </w:r>
                </w:p>
              </w:tc>
              <w:tc>
                <w:tcPr>
                  <w:tcW w:w="1113" w:type="dxa"/>
                  <w:vAlign w:val="center"/>
                </w:tcPr>
                <w:p w14:paraId="34DAA89C">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462</w:t>
                  </w:r>
                </w:p>
              </w:tc>
              <w:tc>
                <w:tcPr>
                  <w:tcW w:w="1356" w:type="dxa"/>
                  <w:vAlign w:val="center"/>
                </w:tcPr>
                <w:p w14:paraId="78BDC6A8">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w:t>
                  </w:r>
                </w:p>
              </w:tc>
              <w:tc>
                <w:tcPr>
                  <w:tcW w:w="1356" w:type="dxa"/>
                  <w:vAlign w:val="center"/>
                </w:tcPr>
                <w:p w14:paraId="004D49FC">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21.5</w:t>
                  </w:r>
                </w:p>
              </w:tc>
              <w:tc>
                <w:tcPr>
                  <w:tcW w:w="1356" w:type="dxa"/>
                  <w:vAlign w:val="center"/>
                </w:tcPr>
                <w:p w14:paraId="1FCA73F6">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34.3</w:t>
                  </w:r>
                </w:p>
              </w:tc>
              <w:tc>
                <w:tcPr>
                  <w:tcW w:w="1356" w:type="dxa"/>
                  <w:vAlign w:val="center"/>
                </w:tcPr>
                <w:p w14:paraId="7BA3CB40">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1356" w:type="dxa"/>
                  <w:vAlign w:val="center"/>
                </w:tcPr>
                <w:p w14:paraId="795C18A5">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8.1</w:t>
                  </w:r>
                </w:p>
              </w:tc>
            </w:tr>
            <w:tr w14:paraId="47E9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gridSpan w:val="2"/>
                  <w:vAlign w:val="center"/>
                </w:tcPr>
                <w:p w14:paraId="2B4FCCF1">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污染物排放量（t/a）</w:t>
                  </w:r>
                </w:p>
              </w:tc>
              <w:tc>
                <w:tcPr>
                  <w:tcW w:w="1356" w:type="dxa"/>
                  <w:vAlign w:val="center"/>
                </w:tcPr>
                <w:p w14:paraId="311EC720">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w:t>
                  </w:r>
                </w:p>
              </w:tc>
              <w:tc>
                <w:tcPr>
                  <w:tcW w:w="1356" w:type="dxa"/>
                  <w:vAlign w:val="center"/>
                </w:tcPr>
                <w:p w14:paraId="48D42AF1">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1356" w:type="dxa"/>
                  <w:vAlign w:val="center"/>
                </w:tcPr>
                <w:p w14:paraId="2E85A7E6">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0.016</w:t>
                  </w:r>
                </w:p>
              </w:tc>
              <w:tc>
                <w:tcPr>
                  <w:tcW w:w="1356" w:type="dxa"/>
                  <w:vAlign w:val="center"/>
                </w:tcPr>
                <w:p w14:paraId="770E1817">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0.007</w:t>
                  </w:r>
                </w:p>
              </w:tc>
              <w:tc>
                <w:tcPr>
                  <w:tcW w:w="1356" w:type="dxa"/>
                  <w:vAlign w:val="center"/>
                </w:tcPr>
                <w:p w14:paraId="139D89E0">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0.0037</w:t>
                  </w:r>
                </w:p>
              </w:tc>
            </w:tr>
          </w:tbl>
          <w:p w14:paraId="53D97CAC">
            <w:pPr>
              <w:tabs>
                <w:tab w:val="left" w:pos="3225"/>
              </w:tabs>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由上表可知，本项目废水经厂区拟建污水处理设施处理后，污染物排放浓度为：COD</w:t>
            </w:r>
          </w:p>
          <w:p w14:paraId="79F12EC1">
            <w:pPr>
              <w:tabs>
                <w:tab w:val="left" w:pos="3225"/>
              </w:tabs>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92mg/L、BOD</w:t>
            </w:r>
            <w:r>
              <w:rPr>
                <w:rFonts w:hint="default" w:ascii="Times New Roman" w:hAnsi="Times New Roman" w:eastAsia="宋体" w:cs="Times New Roman"/>
                <w:sz w:val="24"/>
                <w:szCs w:val="24"/>
                <w:vertAlign w:val="subscript"/>
                <w:lang w:eastAsia="zh-CN"/>
              </w:rPr>
              <w:t>5</w:t>
            </w:r>
            <w:r>
              <w:rPr>
                <w:rFonts w:hint="default" w:ascii="Times New Roman" w:hAnsi="Times New Roman" w:eastAsia="宋体" w:cs="Times New Roman"/>
                <w:sz w:val="24"/>
                <w:szCs w:val="24"/>
                <w:lang w:eastAsia="zh-CN"/>
              </w:rPr>
              <w:t xml:space="preserve"> 21.5mg/L、SS 34.3mg/L、NH</w:t>
            </w:r>
            <w:r>
              <w:rPr>
                <w:rFonts w:hint="default" w:ascii="Times New Roman" w:hAnsi="Times New Roman" w:eastAsia="宋体" w:cs="Times New Roman"/>
                <w:sz w:val="24"/>
                <w:szCs w:val="24"/>
                <w:vertAlign w:val="subscript"/>
                <w:lang w:eastAsia="zh-CN"/>
              </w:rPr>
              <w:t>3</w:t>
            </w:r>
            <w:r>
              <w:rPr>
                <w:rFonts w:hint="default" w:ascii="Times New Roman" w:hAnsi="Times New Roman" w:eastAsia="宋体" w:cs="Times New Roman"/>
                <w:sz w:val="24"/>
                <w:szCs w:val="24"/>
                <w:lang w:eastAsia="zh-CN"/>
              </w:rPr>
              <w:t>-N 15mg/L、动植物油8.1mg/L。</w:t>
            </w:r>
          </w:p>
          <w:p w14:paraId="797D7868">
            <w:pPr>
              <w:tabs>
                <w:tab w:val="left" w:pos="3225"/>
              </w:tabs>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3项目废水处理措施可行性分析</w:t>
            </w:r>
          </w:p>
          <w:p w14:paraId="6E4077E4">
            <w:pPr>
              <w:tabs>
                <w:tab w:val="left" w:pos="3225"/>
              </w:tabs>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根据《排污许可证申请与核发技术规范 农副食品加工工业—淀粉工业》（HJ 860.2—2018）表 7 淀粉工业排污单位废水治理可行技术</w:t>
            </w:r>
            <w:r>
              <w:rPr>
                <w:rFonts w:hint="default" w:ascii="Times New Roman" w:hAnsi="Times New Roman" w:eastAsia="宋体" w:cs="Times New Roman"/>
                <w:sz w:val="24"/>
                <w:szCs w:val="24"/>
                <w:lang w:eastAsia="zh-CN"/>
              </w:rPr>
              <w:t>，相关要求及本项目可行性分析见下表。</w:t>
            </w:r>
          </w:p>
          <w:p w14:paraId="1EA3CDB5">
            <w:pPr>
              <w:tabs>
                <w:tab w:val="left" w:pos="3225"/>
              </w:tabs>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4-10</w:t>
            </w:r>
            <w:r>
              <w:rPr>
                <w:rFonts w:hint="default" w:ascii="Times New Roman" w:hAnsi="Times New Roman" w:eastAsia="宋体" w:cs="Times New Roman"/>
                <w:sz w:val="24"/>
                <w:szCs w:val="24"/>
                <w:lang w:eastAsia="zh-CN"/>
              </w:rPr>
              <w:t xml:space="preserve"> 本项目废水处理措施与行业排污许可“污染防治可行技术要求”相符性分析</w:t>
            </w:r>
          </w:p>
          <w:tbl>
            <w:tblPr>
              <w:tblStyle w:val="20"/>
              <w:tblW w:w="8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455"/>
              <w:gridCol w:w="1969"/>
              <w:gridCol w:w="2081"/>
              <w:gridCol w:w="1965"/>
            </w:tblGrid>
            <w:tr w14:paraId="7350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181" w:type="dxa"/>
                  <w:vAlign w:val="center"/>
                </w:tcPr>
                <w:p w14:paraId="3EA5F4A5">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废水类别</w:t>
                  </w:r>
                </w:p>
              </w:tc>
              <w:tc>
                <w:tcPr>
                  <w:tcW w:w="1455" w:type="dxa"/>
                  <w:vAlign w:val="center"/>
                </w:tcPr>
                <w:p w14:paraId="0080E15D">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污染物种类</w:t>
                  </w:r>
                </w:p>
              </w:tc>
              <w:tc>
                <w:tcPr>
                  <w:tcW w:w="1969" w:type="dxa"/>
                  <w:vAlign w:val="center"/>
                </w:tcPr>
                <w:p w14:paraId="75515332">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可行技术</w:t>
                  </w:r>
                </w:p>
              </w:tc>
              <w:tc>
                <w:tcPr>
                  <w:tcW w:w="2081" w:type="dxa"/>
                  <w:vAlign w:val="center"/>
                </w:tcPr>
                <w:p w14:paraId="1F7DB335">
                  <w:pPr>
                    <w:pStyle w:val="17"/>
                    <w:keepNext w:val="0"/>
                    <w:keepLines w:val="0"/>
                    <w:pageBreakBefore w:val="0"/>
                    <w:widowControl/>
                    <w:kinsoku/>
                    <w:wordWrap/>
                    <w:overflowPunct/>
                    <w:topLinePunct w:val="0"/>
                    <w:autoSpaceDE/>
                    <w:autoSpaceDN/>
                    <w:bidi w:val="0"/>
                    <w:adjustRightInd/>
                    <w:snapToGrid w:val="0"/>
                    <w:spacing w:line="240" w:lineRule="atLeast"/>
                    <w:ind w:right="113" w:firstLine="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本项目情况</w:t>
                  </w:r>
                </w:p>
              </w:tc>
              <w:tc>
                <w:tcPr>
                  <w:tcW w:w="1965" w:type="dxa"/>
                  <w:vAlign w:val="center"/>
                </w:tcPr>
                <w:p w14:paraId="28F6BD07">
                  <w:pPr>
                    <w:pStyle w:val="17"/>
                    <w:keepNext w:val="0"/>
                    <w:keepLines w:val="0"/>
                    <w:pageBreakBefore w:val="0"/>
                    <w:widowControl/>
                    <w:kinsoku/>
                    <w:wordWrap/>
                    <w:overflowPunct/>
                    <w:topLinePunct w:val="0"/>
                    <w:autoSpaceDE/>
                    <w:autoSpaceDN/>
                    <w:bidi w:val="0"/>
                    <w:adjustRightInd/>
                    <w:snapToGrid w:val="0"/>
                    <w:spacing w:line="240" w:lineRule="atLeast"/>
                    <w:ind w:right="113" w:firstLine="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是否为可行技术</w:t>
                  </w:r>
                </w:p>
              </w:tc>
            </w:tr>
            <w:tr w14:paraId="5AD9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14:paraId="7BF4FD2D">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厂内综合污水处理站的综合污水（生产废水、生活污水、初期雨水等）投料</w:t>
                  </w:r>
                </w:p>
              </w:tc>
              <w:tc>
                <w:tcPr>
                  <w:tcW w:w="1455" w:type="dxa"/>
                  <w:vAlign w:val="center"/>
                </w:tcPr>
                <w:p w14:paraId="2D8E6EA1">
                  <w:pPr>
                    <w:pStyle w:val="17"/>
                    <w:keepNext w:val="0"/>
                    <w:keepLines w:val="0"/>
                    <w:pageBreakBefore w:val="0"/>
                    <w:widowControl/>
                    <w:kinsoku/>
                    <w:wordWrap/>
                    <w:overflowPunct/>
                    <w:topLinePunct w:val="0"/>
                    <w:autoSpaceDE/>
                    <w:autoSpaceDN/>
                    <w:bidi w:val="0"/>
                    <w:adjustRightInd/>
                    <w:snapToGrid w:val="0"/>
                    <w:spacing w:line="240" w:lineRule="atLeast"/>
                    <w:ind w:right="113" w:firstLine="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pH 值、悬浮物、五日生化需氧量（BOD5）、化学需氧量（CODCr）、氨氮、总氮、总磷、总氰化物（以木薯为原料的淀粉生产）颗粒物</w:t>
                  </w:r>
                </w:p>
              </w:tc>
              <w:tc>
                <w:tcPr>
                  <w:tcW w:w="1969" w:type="dxa"/>
                  <w:vAlign w:val="center"/>
                </w:tcPr>
                <w:p w14:paraId="47EE24E7">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预处理：除油、沉淀、过滤二级处理+化学除磷：厌氧（UASB、EGSB、IC等）+好氧+化学除磷</w:t>
                  </w:r>
                </w:p>
              </w:tc>
              <w:tc>
                <w:tcPr>
                  <w:tcW w:w="2081" w:type="dxa"/>
                  <w:vAlign w:val="center"/>
                </w:tcPr>
                <w:p w14:paraId="66F044CE">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废水经一体化污</w:t>
                  </w:r>
                </w:p>
                <w:p w14:paraId="418E98B9">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水处理设施处理，</w:t>
                  </w:r>
                </w:p>
                <w:p w14:paraId="6A5CDC0A">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一体化污水处理</w:t>
                  </w:r>
                </w:p>
                <w:p w14:paraId="2BFC010B">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设施采用缺氧/好</w:t>
                  </w:r>
                </w:p>
                <w:p w14:paraId="04F34B91">
                  <w:pPr>
                    <w:pStyle w:val="17"/>
                    <w:keepNext w:val="0"/>
                    <w:keepLines w:val="0"/>
                    <w:pageBreakBefore w:val="0"/>
                    <w:widowControl/>
                    <w:kinsoku/>
                    <w:wordWrap/>
                    <w:overflowPunct/>
                    <w:topLinePunct w:val="0"/>
                    <w:autoSpaceDE/>
                    <w:autoSpaceDN/>
                    <w:bidi w:val="0"/>
                    <w:adjustRightInd/>
                    <w:snapToGrid w:val="0"/>
                    <w:spacing w:line="240" w:lineRule="atLeast"/>
                    <w:ind w:left="0" w:leftChars="0" w:right="113"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氧 活 性 污 泥 法（A/O 法）</w:t>
                  </w:r>
                </w:p>
              </w:tc>
              <w:tc>
                <w:tcPr>
                  <w:tcW w:w="1965" w:type="dxa"/>
                  <w:vAlign w:val="center"/>
                </w:tcPr>
                <w:p w14:paraId="13F4A9F5">
                  <w:pPr>
                    <w:pStyle w:val="17"/>
                    <w:keepNext w:val="0"/>
                    <w:keepLines w:val="0"/>
                    <w:pageBreakBefore w:val="0"/>
                    <w:widowControl/>
                    <w:kinsoku/>
                    <w:wordWrap/>
                    <w:overflowPunct/>
                    <w:topLinePunct w:val="0"/>
                    <w:autoSpaceDE/>
                    <w:autoSpaceDN/>
                    <w:bidi w:val="0"/>
                    <w:adjustRightInd/>
                    <w:snapToGrid w:val="0"/>
                    <w:spacing w:line="240" w:lineRule="atLeast"/>
                    <w:ind w:right="113" w:firstLine="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是</w:t>
                  </w:r>
                </w:p>
              </w:tc>
            </w:tr>
          </w:tbl>
          <w:p w14:paraId="28F2338B">
            <w:pPr>
              <w:tabs>
                <w:tab w:val="left" w:pos="3225"/>
              </w:tabs>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sz w:val="24"/>
                <w:szCs w:val="24"/>
                <w:lang w:eastAsia="zh-CN"/>
              </w:rPr>
              <w:t>由上表可知，本项目采用的废水处理方法符合</w:t>
            </w:r>
            <w:r>
              <w:rPr>
                <w:rFonts w:hint="default" w:ascii="Times New Roman" w:hAnsi="Times New Roman" w:eastAsia="宋体" w:cs="Times New Roman"/>
                <w:sz w:val="24"/>
                <w:szCs w:val="24"/>
                <w:lang w:val="en-US" w:eastAsia="zh-CN"/>
              </w:rPr>
              <w:t>《排污许可证申请与核发技术规范 农副食品加工工业—淀粉工业》（HJ 860.2—2018）</w:t>
            </w:r>
            <w:r>
              <w:rPr>
                <w:rFonts w:hint="default" w:ascii="Times New Roman" w:hAnsi="Times New Roman" w:eastAsia="宋体" w:cs="Times New Roman"/>
                <w:sz w:val="24"/>
                <w:szCs w:val="24"/>
                <w:lang w:eastAsia="zh-CN"/>
              </w:rPr>
              <w:t>，技术可行。</w:t>
            </w:r>
            <w:r>
              <w:rPr>
                <w:rFonts w:hint="default" w:ascii="Times New Roman" w:hAnsi="Times New Roman" w:eastAsia="宋体" w:cs="Times New Roman"/>
                <w:sz w:val="24"/>
                <w:szCs w:val="24"/>
                <w:lang w:val="en-US" w:eastAsia="zh-CN"/>
              </w:rPr>
              <w:t xml:space="preserve">  </w:t>
            </w:r>
          </w:p>
          <w:p w14:paraId="439B372E">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w:t>
            </w:r>
            <w:r>
              <w:rPr>
                <w:rFonts w:hint="default" w:ascii="Times New Roman" w:hAnsi="Times New Roman" w:cs="Times New Roman"/>
                <w:bCs/>
                <w:color w:val="auto"/>
                <w:sz w:val="24"/>
                <w:lang w:eastAsia="zh-CN"/>
              </w:rPr>
              <w:t>.</w:t>
            </w:r>
            <w:r>
              <w:rPr>
                <w:rFonts w:hint="eastAsia" w:cs="Times New Roman"/>
                <w:bCs/>
                <w:color w:val="auto"/>
                <w:sz w:val="24"/>
                <w:lang w:val="en-US" w:eastAsia="zh-CN"/>
              </w:rPr>
              <w:t>4</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废水污染治理设施可行性分析</w:t>
            </w:r>
          </w:p>
          <w:p w14:paraId="49166D6B">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w:t>
            </w:r>
            <w:r>
              <w:rPr>
                <w:rFonts w:hint="default" w:ascii="Times New Roman" w:hAnsi="Times New Roman" w:eastAsia="宋体" w:cs="Times New Roman"/>
                <w:bCs/>
                <w:color w:val="auto"/>
                <w:sz w:val="24"/>
                <w:lang w:eastAsia="zh-CN"/>
              </w:rPr>
              <w:t>废水经</w:t>
            </w:r>
            <w:r>
              <w:rPr>
                <w:rFonts w:hint="default" w:ascii="Times New Roman" w:hAnsi="Times New Roman" w:eastAsia="宋体" w:cs="Times New Roman"/>
                <w:bCs/>
                <w:color w:val="auto"/>
                <w:sz w:val="24"/>
                <w:lang w:val="en-US" w:eastAsia="zh-CN"/>
              </w:rPr>
              <w:t>化粪池+一体化污水处理设施</w:t>
            </w:r>
            <w:r>
              <w:rPr>
                <w:rFonts w:hint="eastAsia" w:ascii="Times New Roman" w:hAnsi="Times New Roman" w:eastAsia="宋体" w:cs="Times New Roman"/>
                <w:bCs/>
                <w:color w:val="auto"/>
                <w:sz w:val="24"/>
                <w:lang w:val="en-US" w:eastAsia="zh-CN"/>
              </w:rPr>
              <w:t>处理后</w:t>
            </w:r>
            <w:r>
              <w:rPr>
                <w:rFonts w:hint="default" w:ascii="Times New Roman" w:hAnsi="Times New Roman" w:cs="Times New Roman"/>
                <w:bCs/>
                <w:color w:val="auto"/>
                <w:sz w:val="24"/>
              </w:rPr>
              <w:t>，排入滑县产业集聚区污水处理厂进行处理，属于间接排放，排放的废水满足《污水综合排放标准》（GB8978-1996）表4三级标准和滑县产业集聚区污水处理厂进水指标要求，措施可行。</w:t>
            </w:r>
          </w:p>
          <w:p w14:paraId="5AB94A3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）废水间接排放口基本情况</w:t>
            </w:r>
          </w:p>
          <w:p w14:paraId="4AB1A0FA">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sz w:val="24"/>
              </w:rPr>
              <w:t>本项目间接排放口情况见下表。</w:t>
            </w:r>
          </w:p>
          <w:p w14:paraId="061C7830">
            <w:pPr>
              <w:pStyle w:val="2"/>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p>
          <w:p w14:paraId="1499B953">
            <w:pPr>
              <w:pStyle w:val="17"/>
              <w:spacing w:line="360" w:lineRule="auto"/>
              <w:ind w:left="0" w:leftChars="0" w:firstLine="480" w:firstLineChars="200"/>
              <w:rPr>
                <w:rFonts w:hint="default" w:ascii="Times New Roman" w:hAnsi="Times New Roman" w:eastAsia="宋体" w:cs="Times New Roman"/>
                <w:color w:val="auto"/>
                <w:sz w:val="24"/>
                <w:szCs w:val="24"/>
                <w:lang w:val="en-US" w:eastAsia="zh-CN"/>
              </w:rPr>
            </w:pPr>
          </w:p>
          <w:p w14:paraId="5C655F98">
            <w:pPr>
              <w:tabs>
                <w:tab w:val="left" w:pos="787"/>
              </w:tabs>
              <w:bidi w:val="0"/>
              <w:jc w:val="left"/>
              <w:rPr>
                <w:rFonts w:hint="default" w:ascii="Times New Roman" w:hAnsi="Times New Roman" w:cs="Times New Roman"/>
                <w:lang w:val="en-US" w:eastAsia="zh-CN"/>
              </w:rPr>
            </w:pPr>
          </w:p>
          <w:p w14:paraId="77B2F418">
            <w:pPr>
              <w:pStyle w:val="2"/>
              <w:rPr>
                <w:rFonts w:hint="default" w:ascii="Times New Roman" w:hAnsi="Times New Roman" w:cs="Times New Roman"/>
                <w:lang w:val="en-US" w:eastAsia="zh-CN"/>
              </w:rPr>
            </w:pPr>
          </w:p>
          <w:p w14:paraId="75ACF574">
            <w:pPr>
              <w:rPr>
                <w:rFonts w:hint="default" w:ascii="Times New Roman" w:hAnsi="Times New Roman" w:cs="Times New Roman"/>
                <w:lang w:val="en-US" w:eastAsia="zh-CN"/>
              </w:rPr>
            </w:pPr>
          </w:p>
        </w:tc>
      </w:tr>
    </w:tbl>
    <w:p w14:paraId="41245B7B">
      <w:pPr>
        <w:jc w:val="both"/>
        <w:rPr>
          <w:rFonts w:hint="default" w:ascii="Times New Roman" w:hAnsi="Times New Roman" w:eastAsia="宋体" w:cs="Times New Roman"/>
          <w:b w:val="0"/>
          <w:bCs w:val="0"/>
          <w:color w:val="auto"/>
          <w:kern w:val="21"/>
          <w:szCs w:val="21"/>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0"/>
        <w:tblpPr w:leftFromText="180" w:rightFromText="180" w:vertAnchor="text" w:horzAnchor="page" w:tblpX="764" w:tblpY="20"/>
        <w:tblOverlap w:val="never"/>
        <w:tblW w:w="1068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7"/>
        <w:gridCol w:w="9707"/>
      </w:tblGrid>
      <w:tr w14:paraId="61B4AA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809" w:hRule="atLeast"/>
        </w:trPr>
        <w:tc>
          <w:tcPr>
            <w:tcW w:w="977" w:type="dxa"/>
            <w:tcBorders>
              <w:tl2br w:val="nil"/>
              <w:tr2bl w:val="nil"/>
            </w:tcBorders>
            <w:noWrap w:val="0"/>
            <w:vAlign w:val="center"/>
          </w:tcPr>
          <w:p w14:paraId="300A3683">
            <w:pPr>
              <w:jc w:val="center"/>
              <w:rPr>
                <w:rFonts w:hint="default" w:ascii="Times New Roman" w:hAnsi="Times New Roman" w:eastAsia="宋体" w:cs="Times New Roman"/>
                <w:b/>
                <w:bCs/>
                <w:color w:val="auto"/>
                <w:kern w:val="21"/>
                <w:szCs w:val="21"/>
                <w:lang w:eastAsia="zh-CN"/>
              </w:rPr>
            </w:pPr>
            <w:r>
              <w:rPr>
                <w:rFonts w:hint="default" w:ascii="Times New Roman" w:hAnsi="Times New Roman" w:eastAsia="宋体" w:cs="Times New Roman"/>
                <w:b w:val="0"/>
                <w:bCs w:val="0"/>
                <w:color w:val="auto"/>
                <w:kern w:val="21"/>
                <w:szCs w:val="21"/>
                <w:lang w:eastAsia="zh-CN"/>
              </w:rPr>
              <w:t>运营期环境影响和保护措施</w:t>
            </w:r>
          </w:p>
        </w:tc>
        <w:tc>
          <w:tcPr>
            <w:tcW w:w="9707" w:type="dxa"/>
            <w:tcBorders>
              <w:tl2br w:val="nil"/>
              <w:tr2bl w:val="nil"/>
            </w:tcBorders>
            <w:noWrap w:val="0"/>
            <w:vAlign w:val="top"/>
          </w:tcPr>
          <w:p w14:paraId="2855FCAA">
            <w:pPr>
              <w:autoSpaceDE w:val="0"/>
              <w:autoSpaceDN w:val="0"/>
              <w:adjustRightInd w:val="0"/>
              <w:snapToGrid w:val="0"/>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表4-</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废水间接排放口基本情况表</w:t>
            </w:r>
          </w:p>
          <w:tbl>
            <w:tblPr>
              <w:tblStyle w:val="1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346"/>
              <w:gridCol w:w="851"/>
              <w:gridCol w:w="1214"/>
              <w:gridCol w:w="1106"/>
              <w:gridCol w:w="756"/>
              <w:gridCol w:w="680"/>
              <w:gridCol w:w="686"/>
              <w:gridCol w:w="701"/>
              <w:gridCol w:w="866"/>
              <w:gridCol w:w="900"/>
              <w:gridCol w:w="1362"/>
            </w:tblGrid>
            <w:tr w14:paraId="6A5E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3" w:type="pct"/>
                  <w:vMerge w:val="restart"/>
                  <w:noWrap w:val="0"/>
                  <w:vAlign w:val="center"/>
                </w:tcPr>
                <w:p w14:paraId="0FEA1B1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450" w:type="pct"/>
                  <w:vMerge w:val="restart"/>
                  <w:noWrap w:val="0"/>
                  <w:vAlign w:val="center"/>
                </w:tcPr>
                <w:p w14:paraId="010E9ED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w:t>
                  </w:r>
                </w:p>
              </w:tc>
              <w:tc>
                <w:tcPr>
                  <w:tcW w:w="1225" w:type="pct"/>
                  <w:gridSpan w:val="2"/>
                  <w:noWrap w:val="0"/>
                  <w:vAlign w:val="center"/>
                </w:tcPr>
                <w:p w14:paraId="4899B25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排放口地理坐标</w:t>
                  </w:r>
                </w:p>
              </w:tc>
              <w:tc>
                <w:tcPr>
                  <w:tcW w:w="399" w:type="pct"/>
                  <w:vMerge w:val="restart"/>
                  <w:noWrap w:val="0"/>
                  <w:vAlign w:val="center"/>
                </w:tcPr>
                <w:p w14:paraId="12B79E7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废水排放量（万t/a）</w:t>
                  </w:r>
                </w:p>
              </w:tc>
              <w:tc>
                <w:tcPr>
                  <w:tcW w:w="359" w:type="pct"/>
                  <w:vMerge w:val="restart"/>
                  <w:noWrap w:val="0"/>
                  <w:vAlign w:val="center"/>
                </w:tcPr>
                <w:p w14:paraId="7FF3A89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排放去向</w:t>
                  </w:r>
                </w:p>
              </w:tc>
              <w:tc>
                <w:tcPr>
                  <w:tcW w:w="362" w:type="pct"/>
                  <w:vMerge w:val="restart"/>
                  <w:noWrap w:val="0"/>
                  <w:vAlign w:val="center"/>
                </w:tcPr>
                <w:p w14:paraId="2B05ED5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排放规律</w:t>
                  </w:r>
                </w:p>
              </w:tc>
              <w:tc>
                <w:tcPr>
                  <w:tcW w:w="370" w:type="pct"/>
                  <w:vMerge w:val="restart"/>
                  <w:noWrap w:val="0"/>
                  <w:vAlign w:val="center"/>
                </w:tcPr>
                <w:p w14:paraId="50A213E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间歇排放时段</w:t>
                  </w:r>
                </w:p>
              </w:tc>
              <w:tc>
                <w:tcPr>
                  <w:tcW w:w="1651" w:type="pct"/>
                  <w:gridSpan w:val="3"/>
                  <w:noWrap w:val="0"/>
                  <w:vAlign w:val="center"/>
                </w:tcPr>
                <w:p w14:paraId="6C92CDD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收纳污水处理厂信息</w:t>
                  </w:r>
                </w:p>
              </w:tc>
            </w:tr>
            <w:tr w14:paraId="52C0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3" w:type="pct"/>
                  <w:vMerge w:val="continue"/>
                  <w:noWrap w:val="0"/>
                  <w:vAlign w:val="center"/>
                </w:tcPr>
                <w:p w14:paraId="280AAD30">
                  <w:pPr>
                    <w:adjustRightInd w:val="0"/>
                    <w:snapToGrid w:val="0"/>
                    <w:jc w:val="center"/>
                    <w:rPr>
                      <w:rFonts w:hint="default" w:ascii="Times New Roman" w:hAnsi="Times New Roman" w:cs="Times New Roman"/>
                      <w:color w:val="auto"/>
                      <w:szCs w:val="21"/>
                    </w:rPr>
                  </w:pPr>
                </w:p>
              </w:tc>
              <w:tc>
                <w:tcPr>
                  <w:tcW w:w="450" w:type="pct"/>
                  <w:vMerge w:val="continue"/>
                  <w:noWrap w:val="0"/>
                  <w:vAlign w:val="center"/>
                </w:tcPr>
                <w:p w14:paraId="6C85BD97">
                  <w:pPr>
                    <w:adjustRightInd w:val="0"/>
                    <w:snapToGrid w:val="0"/>
                    <w:jc w:val="center"/>
                    <w:rPr>
                      <w:rFonts w:hint="default" w:ascii="Times New Roman" w:hAnsi="Times New Roman" w:cs="Times New Roman"/>
                      <w:color w:val="auto"/>
                      <w:szCs w:val="21"/>
                    </w:rPr>
                  </w:pPr>
                </w:p>
              </w:tc>
              <w:tc>
                <w:tcPr>
                  <w:tcW w:w="641" w:type="pct"/>
                  <w:noWrap w:val="0"/>
                  <w:vAlign w:val="center"/>
                </w:tcPr>
                <w:p w14:paraId="3A19880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经度</w:t>
                  </w:r>
                </w:p>
              </w:tc>
              <w:tc>
                <w:tcPr>
                  <w:tcW w:w="584" w:type="pct"/>
                  <w:noWrap w:val="0"/>
                  <w:vAlign w:val="center"/>
                </w:tcPr>
                <w:p w14:paraId="691BB3D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纬度</w:t>
                  </w:r>
                </w:p>
              </w:tc>
              <w:tc>
                <w:tcPr>
                  <w:tcW w:w="399" w:type="pct"/>
                  <w:vMerge w:val="continue"/>
                  <w:noWrap w:val="0"/>
                  <w:vAlign w:val="center"/>
                </w:tcPr>
                <w:p w14:paraId="439C2DCB">
                  <w:pPr>
                    <w:adjustRightInd w:val="0"/>
                    <w:snapToGrid w:val="0"/>
                    <w:jc w:val="center"/>
                    <w:rPr>
                      <w:rFonts w:hint="default" w:ascii="Times New Roman" w:hAnsi="Times New Roman" w:cs="Times New Roman"/>
                      <w:color w:val="auto"/>
                      <w:szCs w:val="21"/>
                    </w:rPr>
                  </w:pPr>
                </w:p>
              </w:tc>
              <w:tc>
                <w:tcPr>
                  <w:tcW w:w="359" w:type="pct"/>
                  <w:vMerge w:val="continue"/>
                  <w:noWrap w:val="0"/>
                  <w:vAlign w:val="center"/>
                </w:tcPr>
                <w:p w14:paraId="3CD31FF2">
                  <w:pPr>
                    <w:adjustRightInd w:val="0"/>
                    <w:snapToGrid w:val="0"/>
                    <w:jc w:val="center"/>
                    <w:rPr>
                      <w:rFonts w:hint="default" w:ascii="Times New Roman" w:hAnsi="Times New Roman" w:cs="Times New Roman"/>
                      <w:color w:val="auto"/>
                      <w:szCs w:val="21"/>
                    </w:rPr>
                  </w:pPr>
                </w:p>
              </w:tc>
              <w:tc>
                <w:tcPr>
                  <w:tcW w:w="362" w:type="pct"/>
                  <w:vMerge w:val="continue"/>
                  <w:noWrap w:val="0"/>
                  <w:vAlign w:val="center"/>
                </w:tcPr>
                <w:p w14:paraId="42606B55">
                  <w:pPr>
                    <w:adjustRightInd w:val="0"/>
                    <w:snapToGrid w:val="0"/>
                    <w:jc w:val="center"/>
                    <w:rPr>
                      <w:rFonts w:hint="default" w:ascii="Times New Roman" w:hAnsi="Times New Roman" w:cs="Times New Roman"/>
                      <w:color w:val="auto"/>
                      <w:szCs w:val="21"/>
                    </w:rPr>
                  </w:pPr>
                </w:p>
              </w:tc>
              <w:tc>
                <w:tcPr>
                  <w:tcW w:w="370" w:type="pct"/>
                  <w:vMerge w:val="continue"/>
                  <w:noWrap w:val="0"/>
                  <w:vAlign w:val="center"/>
                </w:tcPr>
                <w:p w14:paraId="7F74BEC9">
                  <w:pPr>
                    <w:adjustRightInd w:val="0"/>
                    <w:snapToGrid w:val="0"/>
                    <w:jc w:val="center"/>
                    <w:rPr>
                      <w:rFonts w:hint="default" w:ascii="Times New Roman" w:hAnsi="Times New Roman" w:cs="Times New Roman"/>
                      <w:color w:val="auto"/>
                      <w:szCs w:val="21"/>
                    </w:rPr>
                  </w:pPr>
                </w:p>
              </w:tc>
              <w:tc>
                <w:tcPr>
                  <w:tcW w:w="457" w:type="pct"/>
                  <w:noWrap w:val="0"/>
                  <w:vAlign w:val="center"/>
                </w:tcPr>
                <w:p w14:paraId="720B53F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475" w:type="pct"/>
                  <w:noWrap w:val="0"/>
                  <w:vAlign w:val="center"/>
                </w:tcPr>
                <w:p w14:paraId="2B0E799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污染物种类</w:t>
                  </w:r>
                </w:p>
              </w:tc>
              <w:tc>
                <w:tcPr>
                  <w:tcW w:w="719" w:type="pct"/>
                  <w:noWrap w:val="0"/>
                  <w:vAlign w:val="center"/>
                </w:tcPr>
                <w:p w14:paraId="4A171A5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国家或地方污染物排放标准浓度限值/（mg/L）</w:t>
                  </w:r>
                </w:p>
              </w:tc>
            </w:tr>
            <w:tr w14:paraId="3FD8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3" w:type="pct"/>
                  <w:vMerge w:val="restart"/>
                  <w:noWrap w:val="0"/>
                  <w:vAlign w:val="center"/>
                </w:tcPr>
                <w:p w14:paraId="2AF70C5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50" w:type="pct"/>
                  <w:vMerge w:val="restart"/>
                  <w:noWrap w:val="0"/>
                  <w:vAlign w:val="center"/>
                </w:tcPr>
                <w:p w14:paraId="5F9FBFD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DW001</w:t>
                  </w:r>
                </w:p>
              </w:tc>
              <w:tc>
                <w:tcPr>
                  <w:tcW w:w="1214" w:type="dxa"/>
                  <w:vMerge w:val="restart"/>
                  <w:noWrap w:val="0"/>
                  <w:vAlign w:val="center"/>
                </w:tcPr>
                <w:p w14:paraId="014464E9">
                  <w:pPr>
                    <w:adjustRightInd w:val="0"/>
                    <w:snapToGrid w:val="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114°33′9.49356″</w:t>
                  </w:r>
                </w:p>
              </w:tc>
              <w:tc>
                <w:tcPr>
                  <w:tcW w:w="1106" w:type="dxa"/>
                  <w:vMerge w:val="restart"/>
                  <w:noWrap w:val="0"/>
                  <w:vAlign w:val="center"/>
                </w:tcPr>
                <w:p w14:paraId="5149FDA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35°31′57.07704″</w:t>
                  </w:r>
                </w:p>
              </w:tc>
              <w:tc>
                <w:tcPr>
                  <w:tcW w:w="399" w:type="pct"/>
                  <w:vMerge w:val="restart"/>
                  <w:noWrap w:val="0"/>
                  <w:vAlign w:val="center"/>
                </w:tcPr>
                <w:p w14:paraId="570D5B5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0.04</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2</w:t>
                  </w:r>
                </w:p>
              </w:tc>
              <w:tc>
                <w:tcPr>
                  <w:tcW w:w="359" w:type="pct"/>
                  <w:vMerge w:val="restart"/>
                  <w:noWrap w:val="0"/>
                  <w:vAlign w:val="center"/>
                </w:tcPr>
                <w:p w14:paraId="7C32856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滑县产业集聚区污水处理厂</w:t>
                  </w:r>
                </w:p>
              </w:tc>
              <w:tc>
                <w:tcPr>
                  <w:tcW w:w="362" w:type="pct"/>
                  <w:vMerge w:val="restart"/>
                  <w:noWrap w:val="0"/>
                  <w:vAlign w:val="center"/>
                </w:tcPr>
                <w:p w14:paraId="616CEC1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间断排放，流量不稳定，但有周期性规律</w:t>
                  </w:r>
                </w:p>
              </w:tc>
              <w:tc>
                <w:tcPr>
                  <w:tcW w:w="370" w:type="pct"/>
                  <w:vMerge w:val="restart"/>
                  <w:noWrap w:val="0"/>
                  <w:vAlign w:val="center"/>
                </w:tcPr>
                <w:p w14:paraId="165BBE2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有流水时</w:t>
                  </w:r>
                </w:p>
              </w:tc>
              <w:tc>
                <w:tcPr>
                  <w:tcW w:w="457" w:type="pct"/>
                  <w:vMerge w:val="restart"/>
                  <w:noWrap w:val="0"/>
                  <w:vAlign w:val="center"/>
                </w:tcPr>
                <w:p w14:paraId="1E1A2E2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滑县产业集聚区污水处理厂</w:t>
                  </w:r>
                </w:p>
              </w:tc>
              <w:tc>
                <w:tcPr>
                  <w:tcW w:w="475" w:type="pct"/>
                  <w:noWrap w:val="0"/>
                  <w:vAlign w:val="center"/>
                </w:tcPr>
                <w:p w14:paraId="7A2E9AF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719" w:type="pct"/>
                  <w:noWrap w:val="0"/>
                  <w:vAlign w:val="center"/>
                </w:tcPr>
                <w:p w14:paraId="6470EBA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r>
            <w:tr w14:paraId="5764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3" w:type="pct"/>
                  <w:vMerge w:val="continue"/>
                  <w:noWrap w:val="0"/>
                  <w:vAlign w:val="center"/>
                </w:tcPr>
                <w:p w14:paraId="5D17475E">
                  <w:pPr>
                    <w:adjustRightInd w:val="0"/>
                    <w:snapToGrid w:val="0"/>
                    <w:jc w:val="center"/>
                    <w:rPr>
                      <w:rFonts w:hint="default" w:ascii="Times New Roman" w:hAnsi="Times New Roman" w:cs="Times New Roman"/>
                      <w:color w:val="auto"/>
                      <w:szCs w:val="21"/>
                    </w:rPr>
                  </w:pPr>
                </w:p>
              </w:tc>
              <w:tc>
                <w:tcPr>
                  <w:tcW w:w="450" w:type="pct"/>
                  <w:vMerge w:val="continue"/>
                  <w:noWrap w:val="0"/>
                  <w:vAlign w:val="center"/>
                </w:tcPr>
                <w:p w14:paraId="47120403">
                  <w:pPr>
                    <w:adjustRightInd w:val="0"/>
                    <w:snapToGrid w:val="0"/>
                    <w:jc w:val="center"/>
                    <w:rPr>
                      <w:rFonts w:hint="default" w:ascii="Times New Roman" w:hAnsi="Times New Roman" w:cs="Times New Roman"/>
                      <w:color w:val="auto"/>
                      <w:szCs w:val="21"/>
                    </w:rPr>
                  </w:pPr>
                </w:p>
              </w:tc>
              <w:tc>
                <w:tcPr>
                  <w:tcW w:w="641" w:type="pct"/>
                  <w:vMerge w:val="continue"/>
                  <w:noWrap w:val="0"/>
                  <w:vAlign w:val="center"/>
                </w:tcPr>
                <w:p w14:paraId="2A5FB2AA">
                  <w:pPr>
                    <w:adjustRightInd w:val="0"/>
                    <w:snapToGrid w:val="0"/>
                    <w:jc w:val="center"/>
                    <w:rPr>
                      <w:rFonts w:hint="default" w:ascii="Times New Roman" w:hAnsi="Times New Roman" w:cs="Times New Roman"/>
                      <w:color w:val="auto"/>
                      <w:szCs w:val="21"/>
                    </w:rPr>
                  </w:pPr>
                </w:p>
              </w:tc>
              <w:tc>
                <w:tcPr>
                  <w:tcW w:w="584" w:type="pct"/>
                  <w:vMerge w:val="continue"/>
                  <w:noWrap w:val="0"/>
                  <w:vAlign w:val="center"/>
                </w:tcPr>
                <w:p w14:paraId="36BA064B">
                  <w:pPr>
                    <w:adjustRightInd w:val="0"/>
                    <w:snapToGrid w:val="0"/>
                    <w:jc w:val="center"/>
                    <w:rPr>
                      <w:rFonts w:hint="default" w:ascii="Times New Roman" w:hAnsi="Times New Roman" w:cs="Times New Roman"/>
                      <w:color w:val="auto"/>
                      <w:szCs w:val="21"/>
                    </w:rPr>
                  </w:pPr>
                </w:p>
              </w:tc>
              <w:tc>
                <w:tcPr>
                  <w:tcW w:w="399" w:type="pct"/>
                  <w:vMerge w:val="continue"/>
                  <w:noWrap w:val="0"/>
                  <w:vAlign w:val="center"/>
                </w:tcPr>
                <w:p w14:paraId="1E62B0F4">
                  <w:pPr>
                    <w:adjustRightInd w:val="0"/>
                    <w:snapToGrid w:val="0"/>
                    <w:jc w:val="center"/>
                    <w:rPr>
                      <w:rFonts w:hint="default" w:ascii="Times New Roman" w:hAnsi="Times New Roman" w:cs="Times New Roman"/>
                      <w:color w:val="auto"/>
                      <w:szCs w:val="21"/>
                    </w:rPr>
                  </w:pPr>
                </w:p>
              </w:tc>
              <w:tc>
                <w:tcPr>
                  <w:tcW w:w="359" w:type="pct"/>
                  <w:vMerge w:val="continue"/>
                  <w:noWrap w:val="0"/>
                  <w:vAlign w:val="center"/>
                </w:tcPr>
                <w:p w14:paraId="4D5B0BDC">
                  <w:pPr>
                    <w:adjustRightInd w:val="0"/>
                    <w:snapToGrid w:val="0"/>
                    <w:jc w:val="center"/>
                    <w:rPr>
                      <w:rFonts w:hint="default" w:ascii="Times New Roman" w:hAnsi="Times New Roman" w:cs="Times New Roman"/>
                      <w:color w:val="auto"/>
                      <w:szCs w:val="21"/>
                    </w:rPr>
                  </w:pPr>
                </w:p>
              </w:tc>
              <w:tc>
                <w:tcPr>
                  <w:tcW w:w="362" w:type="pct"/>
                  <w:vMerge w:val="continue"/>
                  <w:noWrap w:val="0"/>
                  <w:vAlign w:val="center"/>
                </w:tcPr>
                <w:p w14:paraId="67322E9F">
                  <w:pPr>
                    <w:adjustRightInd w:val="0"/>
                    <w:snapToGrid w:val="0"/>
                    <w:jc w:val="center"/>
                    <w:rPr>
                      <w:rFonts w:hint="default" w:ascii="Times New Roman" w:hAnsi="Times New Roman" w:cs="Times New Roman"/>
                      <w:color w:val="auto"/>
                      <w:szCs w:val="21"/>
                    </w:rPr>
                  </w:pPr>
                </w:p>
              </w:tc>
              <w:tc>
                <w:tcPr>
                  <w:tcW w:w="370" w:type="pct"/>
                  <w:vMerge w:val="continue"/>
                  <w:noWrap w:val="0"/>
                  <w:vAlign w:val="center"/>
                </w:tcPr>
                <w:p w14:paraId="3E386F7D">
                  <w:pPr>
                    <w:adjustRightInd w:val="0"/>
                    <w:snapToGrid w:val="0"/>
                    <w:jc w:val="center"/>
                    <w:rPr>
                      <w:rFonts w:hint="default" w:ascii="Times New Roman" w:hAnsi="Times New Roman" w:cs="Times New Roman"/>
                      <w:color w:val="auto"/>
                      <w:szCs w:val="21"/>
                    </w:rPr>
                  </w:pPr>
                </w:p>
              </w:tc>
              <w:tc>
                <w:tcPr>
                  <w:tcW w:w="457" w:type="pct"/>
                  <w:vMerge w:val="continue"/>
                  <w:noWrap w:val="0"/>
                  <w:vAlign w:val="center"/>
                </w:tcPr>
                <w:p w14:paraId="3D3CF12E">
                  <w:pPr>
                    <w:adjustRightInd w:val="0"/>
                    <w:snapToGrid w:val="0"/>
                    <w:jc w:val="center"/>
                    <w:rPr>
                      <w:rFonts w:hint="default" w:ascii="Times New Roman" w:hAnsi="Times New Roman" w:cs="Times New Roman"/>
                      <w:color w:val="auto"/>
                      <w:szCs w:val="21"/>
                    </w:rPr>
                  </w:pPr>
                </w:p>
              </w:tc>
              <w:tc>
                <w:tcPr>
                  <w:tcW w:w="475" w:type="pct"/>
                  <w:noWrap w:val="0"/>
                  <w:vAlign w:val="center"/>
                </w:tcPr>
                <w:p w14:paraId="508868B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719" w:type="pct"/>
                  <w:noWrap w:val="0"/>
                  <w:vAlign w:val="center"/>
                </w:tcPr>
                <w:p w14:paraId="7B0F921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r>
            <w:tr w14:paraId="3A91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3" w:type="pct"/>
                  <w:vMerge w:val="continue"/>
                  <w:noWrap w:val="0"/>
                  <w:vAlign w:val="center"/>
                </w:tcPr>
                <w:p w14:paraId="002CD4B0">
                  <w:pPr>
                    <w:adjustRightInd w:val="0"/>
                    <w:snapToGrid w:val="0"/>
                    <w:jc w:val="center"/>
                    <w:rPr>
                      <w:rFonts w:hint="default" w:ascii="Times New Roman" w:hAnsi="Times New Roman" w:cs="Times New Roman"/>
                      <w:color w:val="auto"/>
                      <w:szCs w:val="21"/>
                    </w:rPr>
                  </w:pPr>
                </w:p>
              </w:tc>
              <w:tc>
                <w:tcPr>
                  <w:tcW w:w="450" w:type="pct"/>
                  <w:vMerge w:val="continue"/>
                  <w:noWrap w:val="0"/>
                  <w:vAlign w:val="center"/>
                </w:tcPr>
                <w:p w14:paraId="0FC7BAA4">
                  <w:pPr>
                    <w:adjustRightInd w:val="0"/>
                    <w:snapToGrid w:val="0"/>
                    <w:jc w:val="center"/>
                    <w:rPr>
                      <w:rFonts w:hint="default" w:ascii="Times New Roman" w:hAnsi="Times New Roman" w:cs="Times New Roman"/>
                      <w:color w:val="auto"/>
                      <w:szCs w:val="21"/>
                    </w:rPr>
                  </w:pPr>
                </w:p>
              </w:tc>
              <w:tc>
                <w:tcPr>
                  <w:tcW w:w="641" w:type="pct"/>
                  <w:vMerge w:val="continue"/>
                  <w:noWrap w:val="0"/>
                  <w:vAlign w:val="center"/>
                </w:tcPr>
                <w:p w14:paraId="0C89307D">
                  <w:pPr>
                    <w:adjustRightInd w:val="0"/>
                    <w:snapToGrid w:val="0"/>
                    <w:jc w:val="center"/>
                    <w:rPr>
                      <w:rFonts w:hint="default" w:ascii="Times New Roman" w:hAnsi="Times New Roman" w:cs="Times New Roman"/>
                      <w:color w:val="auto"/>
                      <w:szCs w:val="21"/>
                    </w:rPr>
                  </w:pPr>
                </w:p>
              </w:tc>
              <w:tc>
                <w:tcPr>
                  <w:tcW w:w="584" w:type="pct"/>
                  <w:vMerge w:val="continue"/>
                  <w:noWrap w:val="0"/>
                  <w:vAlign w:val="center"/>
                </w:tcPr>
                <w:p w14:paraId="78487804">
                  <w:pPr>
                    <w:adjustRightInd w:val="0"/>
                    <w:snapToGrid w:val="0"/>
                    <w:jc w:val="center"/>
                    <w:rPr>
                      <w:rFonts w:hint="default" w:ascii="Times New Roman" w:hAnsi="Times New Roman" w:cs="Times New Roman"/>
                      <w:color w:val="auto"/>
                      <w:szCs w:val="21"/>
                    </w:rPr>
                  </w:pPr>
                </w:p>
              </w:tc>
              <w:tc>
                <w:tcPr>
                  <w:tcW w:w="399" w:type="pct"/>
                  <w:vMerge w:val="continue"/>
                  <w:noWrap w:val="0"/>
                  <w:vAlign w:val="center"/>
                </w:tcPr>
                <w:p w14:paraId="082C902C">
                  <w:pPr>
                    <w:adjustRightInd w:val="0"/>
                    <w:snapToGrid w:val="0"/>
                    <w:jc w:val="center"/>
                    <w:rPr>
                      <w:rFonts w:hint="default" w:ascii="Times New Roman" w:hAnsi="Times New Roman" w:cs="Times New Roman"/>
                      <w:color w:val="auto"/>
                      <w:szCs w:val="21"/>
                    </w:rPr>
                  </w:pPr>
                </w:p>
              </w:tc>
              <w:tc>
                <w:tcPr>
                  <w:tcW w:w="359" w:type="pct"/>
                  <w:vMerge w:val="continue"/>
                  <w:noWrap w:val="0"/>
                  <w:vAlign w:val="center"/>
                </w:tcPr>
                <w:p w14:paraId="6334CDD1">
                  <w:pPr>
                    <w:adjustRightInd w:val="0"/>
                    <w:snapToGrid w:val="0"/>
                    <w:jc w:val="center"/>
                    <w:rPr>
                      <w:rFonts w:hint="default" w:ascii="Times New Roman" w:hAnsi="Times New Roman" w:cs="Times New Roman"/>
                      <w:color w:val="auto"/>
                      <w:szCs w:val="21"/>
                    </w:rPr>
                  </w:pPr>
                </w:p>
              </w:tc>
              <w:tc>
                <w:tcPr>
                  <w:tcW w:w="362" w:type="pct"/>
                  <w:vMerge w:val="continue"/>
                  <w:noWrap w:val="0"/>
                  <w:vAlign w:val="center"/>
                </w:tcPr>
                <w:p w14:paraId="448BB7E0">
                  <w:pPr>
                    <w:adjustRightInd w:val="0"/>
                    <w:snapToGrid w:val="0"/>
                    <w:jc w:val="center"/>
                    <w:rPr>
                      <w:rFonts w:hint="default" w:ascii="Times New Roman" w:hAnsi="Times New Roman" w:cs="Times New Roman"/>
                      <w:color w:val="auto"/>
                      <w:szCs w:val="21"/>
                    </w:rPr>
                  </w:pPr>
                </w:p>
              </w:tc>
              <w:tc>
                <w:tcPr>
                  <w:tcW w:w="370" w:type="pct"/>
                  <w:vMerge w:val="continue"/>
                  <w:noWrap w:val="0"/>
                  <w:vAlign w:val="center"/>
                </w:tcPr>
                <w:p w14:paraId="7B53EC78">
                  <w:pPr>
                    <w:adjustRightInd w:val="0"/>
                    <w:snapToGrid w:val="0"/>
                    <w:jc w:val="center"/>
                    <w:rPr>
                      <w:rFonts w:hint="default" w:ascii="Times New Roman" w:hAnsi="Times New Roman" w:cs="Times New Roman"/>
                      <w:color w:val="auto"/>
                      <w:szCs w:val="21"/>
                    </w:rPr>
                  </w:pPr>
                </w:p>
              </w:tc>
              <w:tc>
                <w:tcPr>
                  <w:tcW w:w="457" w:type="pct"/>
                  <w:vMerge w:val="continue"/>
                  <w:noWrap w:val="0"/>
                  <w:vAlign w:val="center"/>
                </w:tcPr>
                <w:p w14:paraId="1CA2DF19">
                  <w:pPr>
                    <w:adjustRightInd w:val="0"/>
                    <w:snapToGrid w:val="0"/>
                    <w:jc w:val="center"/>
                    <w:rPr>
                      <w:rFonts w:hint="default" w:ascii="Times New Roman" w:hAnsi="Times New Roman" w:cs="Times New Roman"/>
                      <w:color w:val="auto"/>
                      <w:szCs w:val="21"/>
                    </w:rPr>
                  </w:pPr>
                </w:p>
              </w:tc>
              <w:tc>
                <w:tcPr>
                  <w:tcW w:w="475" w:type="pct"/>
                  <w:noWrap w:val="0"/>
                  <w:vAlign w:val="center"/>
                </w:tcPr>
                <w:p w14:paraId="30A5D0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719" w:type="pct"/>
                  <w:noWrap w:val="0"/>
                  <w:vAlign w:val="center"/>
                </w:tcPr>
                <w:p w14:paraId="1228067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r>
            <w:tr w14:paraId="2C7C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3" w:type="pct"/>
                  <w:vMerge w:val="continue"/>
                  <w:noWrap w:val="0"/>
                  <w:vAlign w:val="center"/>
                </w:tcPr>
                <w:p w14:paraId="12CA740A">
                  <w:pPr>
                    <w:adjustRightInd w:val="0"/>
                    <w:snapToGrid w:val="0"/>
                    <w:jc w:val="center"/>
                    <w:rPr>
                      <w:rFonts w:hint="default" w:ascii="Times New Roman" w:hAnsi="Times New Roman" w:cs="Times New Roman"/>
                      <w:color w:val="auto"/>
                      <w:szCs w:val="21"/>
                    </w:rPr>
                  </w:pPr>
                </w:p>
              </w:tc>
              <w:tc>
                <w:tcPr>
                  <w:tcW w:w="450" w:type="pct"/>
                  <w:vMerge w:val="continue"/>
                  <w:noWrap w:val="0"/>
                  <w:vAlign w:val="center"/>
                </w:tcPr>
                <w:p w14:paraId="423D42BA">
                  <w:pPr>
                    <w:adjustRightInd w:val="0"/>
                    <w:snapToGrid w:val="0"/>
                    <w:jc w:val="center"/>
                    <w:rPr>
                      <w:rFonts w:hint="default" w:ascii="Times New Roman" w:hAnsi="Times New Roman" w:cs="Times New Roman"/>
                      <w:color w:val="auto"/>
                      <w:szCs w:val="21"/>
                    </w:rPr>
                  </w:pPr>
                </w:p>
              </w:tc>
              <w:tc>
                <w:tcPr>
                  <w:tcW w:w="641" w:type="pct"/>
                  <w:vMerge w:val="continue"/>
                  <w:noWrap w:val="0"/>
                  <w:vAlign w:val="center"/>
                </w:tcPr>
                <w:p w14:paraId="2F1DBDAC">
                  <w:pPr>
                    <w:adjustRightInd w:val="0"/>
                    <w:snapToGrid w:val="0"/>
                    <w:jc w:val="center"/>
                    <w:rPr>
                      <w:rFonts w:hint="default" w:ascii="Times New Roman" w:hAnsi="Times New Roman" w:cs="Times New Roman"/>
                      <w:color w:val="auto"/>
                      <w:szCs w:val="21"/>
                    </w:rPr>
                  </w:pPr>
                </w:p>
              </w:tc>
              <w:tc>
                <w:tcPr>
                  <w:tcW w:w="584" w:type="pct"/>
                  <w:vMerge w:val="continue"/>
                  <w:noWrap w:val="0"/>
                  <w:vAlign w:val="center"/>
                </w:tcPr>
                <w:p w14:paraId="640AF3CC">
                  <w:pPr>
                    <w:adjustRightInd w:val="0"/>
                    <w:snapToGrid w:val="0"/>
                    <w:jc w:val="center"/>
                    <w:rPr>
                      <w:rFonts w:hint="default" w:ascii="Times New Roman" w:hAnsi="Times New Roman" w:cs="Times New Roman"/>
                      <w:color w:val="auto"/>
                      <w:szCs w:val="21"/>
                    </w:rPr>
                  </w:pPr>
                </w:p>
              </w:tc>
              <w:tc>
                <w:tcPr>
                  <w:tcW w:w="399" w:type="pct"/>
                  <w:vMerge w:val="continue"/>
                  <w:noWrap w:val="0"/>
                  <w:vAlign w:val="center"/>
                </w:tcPr>
                <w:p w14:paraId="0FFF1FF0">
                  <w:pPr>
                    <w:adjustRightInd w:val="0"/>
                    <w:snapToGrid w:val="0"/>
                    <w:jc w:val="center"/>
                    <w:rPr>
                      <w:rFonts w:hint="default" w:ascii="Times New Roman" w:hAnsi="Times New Roman" w:cs="Times New Roman"/>
                      <w:color w:val="auto"/>
                      <w:szCs w:val="21"/>
                    </w:rPr>
                  </w:pPr>
                </w:p>
              </w:tc>
              <w:tc>
                <w:tcPr>
                  <w:tcW w:w="359" w:type="pct"/>
                  <w:vMerge w:val="continue"/>
                  <w:noWrap w:val="0"/>
                  <w:vAlign w:val="center"/>
                </w:tcPr>
                <w:p w14:paraId="6CD39449">
                  <w:pPr>
                    <w:adjustRightInd w:val="0"/>
                    <w:snapToGrid w:val="0"/>
                    <w:jc w:val="center"/>
                    <w:rPr>
                      <w:rFonts w:hint="default" w:ascii="Times New Roman" w:hAnsi="Times New Roman" w:cs="Times New Roman"/>
                      <w:color w:val="auto"/>
                      <w:szCs w:val="21"/>
                    </w:rPr>
                  </w:pPr>
                </w:p>
              </w:tc>
              <w:tc>
                <w:tcPr>
                  <w:tcW w:w="362" w:type="pct"/>
                  <w:vMerge w:val="continue"/>
                  <w:noWrap w:val="0"/>
                  <w:vAlign w:val="center"/>
                </w:tcPr>
                <w:p w14:paraId="12A031FC">
                  <w:pPr>
                    <w:adjustRightInd w:val="0"/>
                    <w:snapToGrid w:val="0"/>
                    <w:jc w:val="center"/>
                    <w:rPr>
                      <w:rFonts w:hint="default" w:ascii="Times New Roman" w:hAnsi="Times New Roman" w:cs="Times New Roman"/>
                      <w:color w:val="auto"/>
                      <w:szCs w:val="21"/>
                    </w:rPr>
                  </w:pPr>
                </w:p>
              </w:tc>
              <w:tc>
                <w:tcPr>
                  <w:tcW w:w="370" w:type="pct"/>
                  <w:vMerge w:val="continue"/>
                  <w:noWrap w:val="0"/>
                  <w:vAlign w:val="center"/>
                </w:tcPr>
                <w:p w14:paraId="39BA8AA6">
                  <w:pPr>
                    <w:adjustRightInd w:val="0"/>
                    <w:snapToGrid w:val="0"/>
                    <w:jc w:val="center"/>
                    <w:rPr>
                      <w:rFonts w:hint="default" w:ascii="Times New Roman" w:hAnsi="Times New Roman" w:cs="Times New Roman"/>
                      <w:color w:val="auto"/>
                      <w:szCs w:val="21"/>
                    </w:rPr>
                  </w:pPr>
                </w:p>
              </w:tc>
              <w:tc>
                <w:tcPr>
                  <w:tcW w:w="457" w:type="pct"/>
                  <w:vMerge w:val="continue"/>
                  <w:noWrap w:val="0"/>
                  <w:vAlign w:val="center"/>
                </w:tcPr>
                <w:p w14:paraId="0F4C4F84">
                  <w:pPr>
                    <w:adjustRightInd w:val="0"/>
                    <w:snapToGrid w:val="0"/>
                    <w:jc w:val="center"/>
                    <w:rPr>
                      <w:rFonts w:hint="default" w:ascii="Times New Roman" w:hAnsi="Times New Roman" w:cs="Times New Roman"/>
                      <w:color w:val="auto"/>
                      <w:szCs w:val="21"/>
                    </w:rPr>
                  </w:pPr>
                </w:p>
              </w:tc>
              <w:tc>
                <w:tcPr>
                  <w:tcW w:w="475" w:type="pct"/>
                  <w:noWrap w:val="0"/>
                  <w:vAlign w:val="center"/>
                </w:tcPr>
                <w:p w14:paraId="056E1E5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719" w:type="pct"/>
                  <w:noWrap w:val="0"/>
                  <w:vAlign w:val="center"/>
                </w:tcPr>
                <w:p w14:paraId="56DF996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r>
            <w:tr w14:paraId="3242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3" w:type="pct"/>
                  <w:vMerge w:val="continue"/>
                  <w:noWrap w:val="0"/>
                  <w:vAlign w:val="center"/>
                </w:tcPr>
                <w:p w14:paraId="07293E7D">
                  <w:pPr>
                    <w:adjustRightInd w:val="0"/>
                    <w:snapToGrid w:val="0"/>
                    <w:jc w:val="center"/>
                    <w:rPr>
                      <w:rFonts w:hint="default" w:ascii="Times New Roman" w:hAnsi="Times New Roman" w:cs="Times New Roman"/>
                      <w:color w:val="auto"/>
                      <w:szCs w:val="21"/>
                    </w:rPr>
                  </w:pPr>
                </w:p>
              </w:tc>
              <w:tc>
                <w:tcPr>
                  <w:tcW w:w="450" w:type="pct"/>
                  <w:vMerge w:val="continue"/>
                  <w:noWrap w:val="0"/>
                  <w:vAlign w:val="center"/>
                </w:tcPr>
                <w:p w14:paraId="487EC65A">
                  <w:pPr>
                    <w:adjustRightInd w:val="0"/>
                    <w:snapToGrid w:val="0"/>
                    <w:jc w:val="center"/>
                    <w:rPr>
                      <w:rFonts w:hint="default" w:ascii="Times New Roman" w:hAnsi="Times New Roman" w:cs="Times New Roman"/>
                      <w:color w:val="auto"/>
                      <w:szCs w:val="21"/>
                    </w:rPr>
                  </w:pPr>
                </w:p>
              </w:tc>
              <w:tc>
                <w:tcPr>
                  <w:tcW w:w="641" w:type="pct"/>
                  <w:vMerge w:val="continue"/>
                  <w:noWrap w:val="0"/>
                  <w:vAlign w:val="center"/>
                </w:tcPr>
                <w:p w14:paraId="317180A2">
                  <w:pPr>
                    <w:adjustRightInd w:val="0"/>
                    <w:snapToGrid w:val="0"/>
                    <w:jc w:val="center"/>
                    <w:rPr>
                      <w:rFonts w:hint="default" w:ascii="Times New Roman" w:hAnsi="Times New Roman" w:cs="Times New Roman"/>
                      <w:color w:val="auto"/>
                      <w:szCs w:val="21"/>
                    </w:rPr>
                  </w:pPr>
                </w:p>
              </w:tc>
              <w:tc>
                <w:tcPr>
                  <w:tcW w:w="584" w:type="pct"/>
                  <w:vMerge w:val="continue"/>
                  <w:noWrap w:val="0"/>
                  <w:vAlign w:val="center"/>
                </w:tcPr>
                <w:p w14:paraId="3ACDB7D5">
                  <w:pPr>
                    <w:adjustRightInd w:val="0"/>
                    <w:snapToGrid w:val="0"/>
                    <w:jc w:val="center"/>
                    <w:rPr>
                      <w:rFonts w:hint="default" w:ascii="Times New Roman" w:hAnsi="Times New Roman" w:cs="Times New Roman"/>
                      <w:color w:val="auto"/>
                      <w:szCs w:val="21"/>
                    </w:rPr>
                  </w:pPr>
                </w:p>
              </w:tc>
              <w:tc>
                <w:tcPr>
                  <w:tcW w:w="399" w:type="pct"/>
                  <w:vMerge w:val="continue"/>
                  <w:noWrap w:val="0"/>
                  <w:vAlign w:val="center"/>
                </w:tcPr>
                <w:p w14:paraId="52809AA4">
                  <w:pPr>
                    <w:adjustRightInd w:val="0"/>
                    <w:snapToGrid w:val="0"/>
                    <w:jc w:val="center"/>
                    <w:rPr>
                      <w:rFonts w:hint="default" w:ascii="Times New Roman" w:hAnsi="Times New Roman" w:cs="Times New Roman"/>
                      <w:color w:val="auto"/>
                      <w:szCs w:val="21"/>
                    </w:rPr>
                  </w:pPr>
                </w:p>
              </w:tc>
              <w:tc>
                <w:tcPr>
                  <w:tcW w:w="359" w:type="pct"/>
                  <w:vMerge w:val="continue"/>
                  <w:noWrap w:val="0"/>
                  <w:vAlign w:val="center"/>
                </w:tcPr>
                <w:p w14:paraId="134FB338">
                  <w:pPr>
                    <w:adjustRightInd w:val="0"/>
                    <w:snapToGrid w:val="0"/>
                    <w:jc w:val="center"/>
                    <w:rPr>
                      <w:rFonts w:hint="default" w:ascii="Times New Roman" w:hAnsi="Times New Roman" w:cs="Times New Roman"/>
                      <w:color w:val="auto"/>
                      <w:szCs w:val="21"/>
                    </w:rPr>
                  </w:pPr>
                </w:p>
              </w:tc>
              <w:tc>
                <w:tcPr>
                  <w:tcW w:w="362" w:type="pct"/>
                  <w:vMerge w:val="continue"/>
                  <w:noWrap w:val="0"/>
                  <w:vAlign w:val="center"/>
                </w:tcPr>
                <w:p w14:paraId="32347D9B">
                  <w:pPr>
                    <w:adjustRightInd w:val="0"/>
                    <w:snapToGrid w:val="0"/>
                    <w:jc w:val="center"/>
                    <w:rPr>
                      <w:rFonts w:hint="default" w:ascii="Times New Roman" w:hAnsi="Times New Roman" w:cs="Times New Roman"/>
                      <w:color w:val="auto"/>
                      <w:szCs w:val="21"/>
                    </w:rPr>
                  </w:pPr>
                </w:p>
              </w:tc>
              <w:tc>
                <w:tcPr>
                  <w:tcW w:w="370" w:type="pct"/>
                  <w:vMerge w:val="continue"/>
                  <w:noWrap w:val="0"/>
                  <w:vAlign w:val="center"/>
                </w:tcPr>
                <w:p w14:paraId="22580B2C">
                  <w:pPr>
                    <w:adjustRightInd w:val="0"/>
                    <w:snapToGrid w:val="0"/>
                    <w:jc w:val="center"/>
                    <w:rPr>
                      <w:rFonts w:hint="default" w:ascii="Times New Roman" w:hAnsi="Times New Roman" w:cs="Times New Roman"/>
                      <w:color w:val="auto"/>
                      <w:szCs w:val="21"/>
                    </w:rPr>
                  </w:pPr>
                </w:p>
              </w:tc>
              <w:tc>
                <w:tcPr>
                  <w:tcW w:w="457" w:type="pct"/>
                  <w:vMerge w:val="continue"/>
                  <w:noWrap w:val="0"/>
                  <w:vAlign w:val="center"/>
                </w:tcPr>
                <w:p w14:paraId="0ECEE5BE">
                  <w:pPr>
                    <w:adjustRightInd w:val="0"/>
                    <w:snapToGrid w:val="0"/>
                    <w:jc w:val="center"/>
                    <w:rPr>
                      <w:rFonts w:hint="default" w:ascii="Times New Roman" w:hAnsi="Times New Roman" w:cs="Times New Roman"/>
                      <w:color w:val="auto"/>
                      <w:szCs w:val="21"/>
                    </w:rPr>
                  </w:pPr>
                </w:p>
              </w:tc>
              <w:tc>
                <w:tcPr>
                  <w:tcW w:w="475" w:type="pct"/>
                  <w:noWrap w:val="0"/>
                  <w:vAlign w:val="center"/>
                </w:tcPr>
                <w:p w14:paraId="208AFC0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719" w:type="pct"/>
                  <w:noWrap w:val="0"/>
                  <w:vAlign w:val="center"/>
                </w:tcPr>
                <w:p w14:paraId="138632C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r>
            <w:tr w14:paraId="0D26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3" w:type="pct"/>
                  <w:vMerge w:val="continue"/>
                  <w:noWrap w:val="0"/>
                  <w:vAlign w:val="center"/>
                </w:tcPr>
                <w:p w14:paraId="794F675C">
                  <w:pPr>
                    <w:adjustRightInd w:val="0"/>
                    <w:snapToGrid w:val="0"/>
                    <w:jc w:val="center"/>
                    <w:rPr>
                      <w:rFonts w:hint="default" w:ascii="Times New Roman" w:hAnsi="Times New Roman" w:cs="Times New Roman"/>
                      <w:color w:val="auto"/>
                      <w:szCs w:val="21"/>
                    </w:rPr>
                  </w:pPr>
                </w:p>
              </w:tc>
              <w:tc>
                <w:tcPr>
                  <w:tcW w:w="450" w:type="pct"/>
                  <w:vMerge w:val="continue"/>
                  <w:noWrap w:val="0"/>
                  <w:vAlign w:val="center"/>
                </w:tcPr>
                <w:p w14:paraId="5B155337">
                  <w:pPr>
                    <w:adjustRightInd w:val="0"/>
                    <w:snapToGrid w:val="0"/>
                    <w:jc w:val="center"/>
                    <w:rPr>
                      <w:rFonts w:hint="default" w:ascii="Times New Roman" w:hAnsi="Times New Roman" w:cs="Times New Roman"/>
                      <w:color w:val="auto"/>
                      <w:szCs w:val="21"/>
                    </w:rPr>
                  </w:pPr>
                </w:p>
              </w:tc>
              <w:tc>
                <w:tcPr>
                  <w:tcW w:w="641" w:type="pct"/>
                  <w:vMerge w:val="continue"/>
                  <w:noWrap w:val="0"/>
                  <w:vAlign w:val="center"/>
                </w:tcPr>
                <w:p w14:paraId="2334CC9F">
                  <w:pPr>
                    <w:adjustRightInd w:val="0"/>
                    <w:snapToGrid w:val="0"/>
                    <w:jc w:val="center"/>
                    <w:rPr>
                      <w:rFonts w:hint="default" w:ascii="Times New Roman" w:hAnsi="Times New Roman" w:cs="Times New Roman"/>
                      <w:color w:val="auto"/>
                      <w:szCs w:val="21"/>
                    </w:rPr>
                  </w:pPr>
                </w:p>
              </w:tc>
              <w:tc>
                <w:tcPr>
                  <w:tcW w:w="584" w:type="pct"/>
                  <w:vMerge w:val="continue"/>
                  <w:noWrap w:val="0"/>
                  <w:vAlign w:val="center"/>
                </w:tcPr>
                <w:p w14:paraId="258A6860">
                  <w:pPr>
                    <w:adjustRightInd w:val="0"/>
                    <w:snapToGrid w:val="0"/>
                    <w:jc w:val="center"/>
                    <w:rPr>
                      <w:rFonts w:hint="default" w:ascii="Times New Roman" w:hAnsi="Times New Roman" w:cs="Times New Roman"/>
                      <w:color w:val="auto"/>
                      <w:szCs w:val="21"/>
                    </w:rPr>
                  </w:pPr>
                </w:p>
              </w:tc>
              <w:tc>
                <w:tcPr>
                  <w:tcW w:w="399" w:type="pct"/>
                  <w:vMerge w:val="continue"/>
                  <w:noWrap w:val="0"/>
                  <w:vAlign w:val="center"/>
                </w:tcPr>
                <w:p w14:paraId="52B9BC5D">
                  <w:pPr>
                    <w:adjustRightInd w:val="0"/>
                    <w:snapToGrid w:val="0"/>
                    <w:jc w:val="center"/>
                    <w:rPr>
                      <w:rFonts w:hint="default" w:ascii="Times New Roman" w:hAnsi="Times New Roman" w:cs="Times New Roman"/>
                      <w:color w:val="auto"/>
                      <w:szCs w:val="21"/>
                    </w:rPr>
                  </w:pPr>
                </w:p>
              </w:tc>
              <w:tc>
                <w:tcPr>
                  <w:tcW w:w="359" w:type="pct"/>
                  <w:vMerge w:val="continue"/>
                  <w:noWrap w:val="0"/>
                  <w:vAlign w:val="center"/>
                </w:tcPr>
                <w:p w14:paraId="0782BD6A">
                  <w:pPr>
                    <w:adjustRightInd w:val="0"/>
                    <w:snapToGrid w:val="0"/>
                    <w:jc w:val="center"/>
                    <w:rPr>
                      <w:rFonts w:hint="default" w:ascii="Times New Roman" w:hAnsi="Times New Roman" w:cs="Times New Roman"/>
                      <w:color w:val="auto"/>
                      <w:szCs w:val="21"/>
                    </w:rPr>
                  </w:pPr>
                </w:p>
              </w:tc>
              <w:tc>
                <w:tcPr>
                  <w:tcW w:w="362" w:type="pct"/>
                  <w:vMerge w:val="continue"/>
                  <w:noWrap w:val="0"/>
                  <w:vAlign w:val="center"/>
                </w:tcPr>
                <w:p w14:paraId="517F88DD">
                  <w:pPr>
                    <w:adjustRightInd w:val="0"/>
                    <w:snapToGrid w:val="0"/>
                    <w:jc w:val="center"/>
                    <w:rPr>
                      <w:rFonts w:hint="default" w:ascii="Times New Roman" w:hAnsi="Times New Roman" w:cs="Times New Roman"/>
                      <w:color w:val="auto"/>
                      <w:szCs w:val="21"/>
                    </w:rPr>
                  </w:pPr>
                </w:p>
              </w:tc>
              <w:tc>
                <w:tcPr>
                  <w:tcW w:w="370" w:type="pct"/>
                  <w:vMerge w:val="continue"/>
                  <w:noWrap w:val="0"/>
                  <w:vAlign w:val="center"/>
                </w:tcPr>
                <w:p w14:paraId="7760F4D2">
                  <w:pPr>
                    <w:adjustRightInd w:val="0"/>
                    <w:snapToGrid w:val="0"/>
                    <w:jc w:val="center"/>
                    <w:rPr>
                      <w:rFonts w:hint="default" w:ascii="Times New Roman" w:hAnsi="Times New Roman" w:cs="Times New Roman"/>
                      <w:color w:val="auto"/>
                      <w:szCs w:val="21"/>
                    </w:rPr>
                  </w:pPr>
                </w:p>
              </w:tc>
              <w:tc>
                <w:tcPr>
                  <w:tcW w:w="457" w:type="pct"/>
                  <w:vMerge w:val="continue"/>
                  <w:noWrap w:val="0"/>
                  <w:vAlign w:val="center"/>
                </w:tcPr>
                <w:p w14:paraId="6AE6941F">
                  <w:pPr>
                    <w:adjustRightInd w:val="0"/>
                    <w:snapToGrid w:val="0"/>
                    <w:jc w:val="center"/>
                    <w:rPr>
                      <w:rFonts w:hint="default" w:ascii="Times New Roman" w:hAnsi="Times New Roman" w:cs="Times New Roman"/>
                      <w:color w:val="auto"/>
                      <w:szCs w:val="21"/>
                    </w:rPr>
                  </w:pPr>
                </w:p>
              </w:tc>
              <w:tc>
                <w:tcPr>
                  <w:tcW w:w="475" w:type="pct"/>
                  <w:noWrap w:val="0"/>
                  <w:vAlign w:val="center"/>
                </w:tcPr>
                <w:p w14:paraId="32166CA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TN</w:t>
                  </w:r>
                </w:p>
              </w:tc>
              <w:tc>
                <w:tcPr>
                  <w:tcW w:w="719" w:type="pct"/>
                  <w:noWrap w:val="0"/>
                  <w:vAlign w:val="center"/>
                </w:tcPr>
                <w:p w14:paraId="6E7169F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r>
            <w:tr w14:paraId="0595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83" w:type="pct"/>
                  <w:vMerge w:val="continue"/>
                  <w:noWrap w:val="0"/>
                  <w:vAlign w:val="center"/>
                </w:tcPr>
                <w:p w14:paraId="67B22A04">
                  <w:pPr>
                    <w:adjustRightInd w:val="0"/>
                    <w:snapToGrid w:val="0"/>
                    <w:jc w:val="center"/>
                    <w:rPr>
                      <w:rFonts w:hint="default" w:ascii="Times New Roman" w:hAnsi="Times New Roman" w:cs="Times New Roman"/>
                      <w:color w:val="auto"/>
                      <w:szCs w:val="21"/>
                    </w:rPr>
                  </w:pPr>
                </w:p>
              </w:tc>
              <w:tc>
                <w:tcPr>
                  <w:tcW w:w="450" w:type="pct"/>
                  <w:vMerge w:val="continue"/>
                  <w:noWrap w:val="0"/>
                  <w:vAlign w:val="center"/>
                </w:tcPr>
                <w:p w14:paraId="01FF7818">
                  <w:pPr>
                    <w:adjustRightInd w:val="0"/>
                    <w:snapToGrid w:val="0"/>
                    <w:jc w:val="center"/>
                    <w:rPr>
                      <w:rFonts w:hint="default" w:ascii="Times New Roman" w:hAnsi="Times New Roman" w:cs="Times New Roman"/>
                      <w:color w:val="auto"/>
                      <w:szCs w:val="21"/>
                    </w:rPr>
                  </w:pPr>
                </w:p>
              </w:tc>
              <w:tc>
                <w:tcPr>
                  <w:tcW w:w="641" w:type="pct"/>
                  <w:vMerge w:val="continue"/>
                  <w:noWrap w:val="0"/>
                  <w:vAlign w:val="center"/>
                </w:tcPr>
                <w:p w14:paraId="3ED8E1A9">
                  <w:pPr>
                    <w:adjustRightInd w:val="0"/>
                    <w:snapToGrid w:val="0"/>
                    <w:jc w:val="center"/>
                    <w:rPr>
                      <w:rFonts w:hint="default" w:ascii="Times New Roman" w:hAnsi="Times New Roman" w:cs="Times New Roman"/>
                      <w:color w:val="auto"/>
                      <w:szCs w:val="21"/>
                    </w:rPr>
                  </w:pPr>
                </w:p>
              </w:tc>
              <w:tc>
                <w:tcPr>
                  <w:tcW w:w="584" w:type="pct"/>
                  <w:vMerge w:val="continue"/>
                  <w:noWrap w:val="0"/>
                  <w:vAlign w:val="center"/>
                </w:tcPr>
                <w:p w14:paraId="051F75EA">
                  <w:pPr>
                    <w:adjustRightInd w:val="0"/>
                    <w:snapToGrid w:val="0"/>
                    <w:jc w:val="center"/>
                    <w:rPr>
                      <w:rFonts w:hint="default" w:ascii="Times New Roman" w:hAnsi="Times New Roman" w:cs="Times New Roman"/>
                      <w:color w:val="auto"/>
                      <w:szCs w:val="21"/>
                    </w:rPr>
                  </w:pPr>
                </w:p>
              </w:tc>
              <w:tc>
                <w:tcPr>
                  <w:tcW w:w="399" w:type="pct"/>
                  <w:vMerge w:val="continue"/>
                  <w:noWrap w:val="0"/>
                  <w:vAlign w:val="center"/>
                </w:tcPr>
                <w:p w14:paraId="7BE9D4E4">
                  <w:pPr>
                    <w:adjustRightInd w:val="0"/>
                    <w:snapToGrid w:val="0"/>
                    <w:jc w:val="center"/>
                    <w:rPr>
                      <w:rFonts w:hint="default" w:ascii="Times New Roman" w:hAnsi="Times New Roman" w:cs="Times New Roman"/>
                      <w:color w:val="auto"/>
                      <w:szCs w:val="21"/>
                    </w:rPr>
                  </w:pPr>
                </w:p>
              </w:tc>
              <w:tc>
                <w:tcPr>
                  <w:tcW w:w="359" w:type="pct"/>
                  <w:vMerge w:val="continue"/>
                  <w:noWrap w:val="0"/>
                  <w:vAlign w:val="center"/>
                </w:tcPr>
                <w:p w14:paraId="276AA923">
                  <w:pPr>
                    <w:adjustRightInd w:val="0"/>
                    <w:snapToGrid w:val="0"/>
                    <w:jc w:val="center"/>
                    <w:rPr>
                      <w:rFonts w:hint="default" w:ascii="Times New Roman" w:hAnsi="Times New Roman" w:cs="Times New Roman"/>
                      <w:color w:val="auto"/>
                      <w:szCs w:val="21"/>
                    </w:rPr>
                  </w:pPr>
                </w:p>
              </w:tc>
              <w:tc>
                <w:tcPr>
                  <w:tcW w:w="362" w:type="pct"/>
                  <w:vMerge w:val="continue"/>
                  <w:noWrap w:val="0"/>
                  <w:vAlign w:val="center"/>
                </w:tcPr>
                <w:p w14:paraId="3CBA201F">
                  <w:pPr>
                    <w:adjustRightInd w:val="0"/>
                    <w:snapToGrid w:val="0"/>
                    <w:jc w:val="center"/>
                    <w:rPr>
                      <w:rFonts w:hint="default" w:ascii="Times New Roman" w:hAnsi="Times New Roman" w:cs="Times New Roman"/>
                      <w:color w:val="auto"/>
                      <w:szCs w:val="21"/>
                    </w:rPr>
                  </w:pPr>
                </w:p>
              </w:tc>
              <w:tc>
                <w:tcPr>
                  <w:tcW w:w="370" w:type="pct"/>
                  <w:vMerge w:val="continue"/>
                  <w:noWrap w:val="0"/>
                  <w:vAlign w:val="center"/>
                </w:tcPr>
                <w:p w14:paraId="5FBC56D5">
                  <w:pPr>
                    <w:adjustRightInd w:val="0"/>
                    <w:snapToGrid w:val="0"/>
                    <w:jc w:val="center"/>
                    <w:rPr>
                      <w:rFonts w:hint="default" w:ascii="Times New Roman" w:hAnsi="Times New Roman" w:cs="Times New Roman"/>
                      <w:color w:val="auto"/>
                      <w:szCs w:val="21"/>
                    </w:rPr>
                  </w:pPr>
                </w:p>
              </w:tc>
              <w:tc>
                <w:tcPr>
                  <w:tcW w:w="457" w:type="pct"/>
                  <w:vMerge w:val="continue"/>
                  <w:noWrap w:val="0"/>
                  <w:vAlign w:val="center"/>
                </w:tcPr>
                <w:p w14:paraId="1397674A">
                  <w:pPr>
                    <w:adjustRightInd w:val="0"/>
                    <w:snapToGrid w:val="0"/>
                    <w:jc w:val="center"/>
                    <w:rPr>
                      <w:rFonts w:hint="default" w:ascii="Times New Roman" w:hAnsi="Times New Roman" w:cs="Times New Roman"/>
                      <w:color w:val="auto"/>
                      <w:szCs w:val="21"/>
                    </w:rPr>
                  </w:pPr>
                </w:p>
              </w:tc>
              <w:tc>
                <w:tcPr>
                  <w:tcW w:w="475" w:type="pct"/>
                  <w:noWrap w:val="0"/>
                  <w:vAlign w:val="center"/>
                </w:tcPr>
                <w:p w14:paraId="6B1151F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719" w:type="pct"/>
                  <w:noWrap w:val="0"/>
                  <w:vAlign w:val="center"/>
                </w:tcPr>
                <w:p w14:paraId="146C1B1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r>
          </w:tbl>
          <w:p w14:paraId="5DDDF56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）废水污染物排放执行标准</w:t>
            </w:r>
          </w:p>
          <w:p w14:paraId="3E08E953">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本项目废水污染物排放执行标准见下表。</w:t>
            </w:r>
          </w:p>
          <w:p w14:paraId="53286A57">
            <w:pPr>
              <w:autoSpaceDE w:val="0"/>
              <w:autoSpaceDN w:val="0"/>
              <w:adjustRightInd w:val="0"/>
              <w:snapToGrid w:val="0"/>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表4-</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废水污染物排放执行标准表</w:t>
            </w:r>
          </w:p>
          <w:tbl>
            <w:tblPr>
              <w:tblStyle w:val="19"/>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634"/>
              <w:gridCol w:w="2614"/>
              <w:gridCol w:w="3870"/>
            </w:tblGrid>
            <w:tr w14:paraId="3950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6" w:type="pct"/>
                  <w:vMerge w:val="restart"/>
                  <w:noWrap w:val="0"/>
                  <w:tcMar>
                    <w:top w:w="57" w:type="dxa"/>
                    <w:left w:w="57" w:type="dxa"/>
                    <w:bottom w:w="57" w:type="dxa"/>
                    <w:right w:w="57" w:type="dxa"/>
                  </w:tcMar>
                  <w:vAlign w:val="center"/>
                </w:tcPr>
                <w:p w14:paraId="11C4DB1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w:t>
                  </w:r>
                </w:p>
              </w:tc>
              <w:tc>
                <w:tcPr>
                  <w:tcW w:w="862" w:type="pct"/>
                  <w:vMerge w:val="restart"/>
                  <w:noWrap w:val="0"/>
                  <w:tcMar>
                    <w:top w:w="57" w:type="dxa"/>
                    <w:left w:w="57" w:type="dxa"/>
                    <w:bottom w:w="57" w:type="dxa"/>
                    <w:right w:w="57" w:type="dxa"/>
                  </w:tcMar>
                  <w:vAlign w:val="center"/>
                </w:tcPr>
                <w:p w14:paraId="4F64C43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污染物种类</w:t>
                  </w:r>
                </w:p>
              </w:tc>
              <w:tc>
                <w:tcPr>
                  <w:tcW w:w="3421" w:type="pct"/>
                  <w:gridSpan w:val="2"/>
                  <w:noWrap w:val="0"/>
                  <w:tcMar>
                    <w:top w:w="57" w:type="dxa"/>
                    <w:left w:w="57" w:type="dxa"/>
                    <w:bottom w:w="57" w:type="dxa"/>
                    <w:right w:w="57" w:type="dxa"/>
                  </w:tcMar>
                  <w:vAlign w:val="center"/>
                </w:tcPr>
                <w:p w14:paraId="19AAFDC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国家或地方污染物排放标准及其他按规定商定的排放协议</w:t>
                  </w:r>
                </w:p>
              </w:tc>
            </w:tr>
            <w:tr w14:paraId="40A8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vMerge w:val="continue"/>
                  <w:noWrap w:val="0"/>
                  <w:tcMar>
                    <w:top w:w="57" w:type="dxa"/>
                    <w:left w:w="57" w:type="dxa"/>
                    <w:bottom w:w="57" w:type="dxa"/>
                    <w:right w:w="57" w:type="dxa"/>
                  </w:tcMar>
                  <w:vAlign w:val="center"/>
                </w:tcPr>
                <w:p w14:paraId="6FBBA475">
                  <w:pPr>
                    <w:adjustRightInd w:val="0"/>
                    <w:snapToGrid w:val="0"/>
                    <w:jc w:val="center"/>
                    <w:rPr>
                      <w:rFonts w:hint="default" w:ascii="Times New Roman" w:hAnsi="Times New Roman" w:cs="Times New Roman"/>
                      <w:color w:val="auto"/>
                      <w:szCs w:val="21"/>
                    </w:rPr>
                  </w:pPr>
                </w:p>
              </w:tc>
              <w:tc>
                <w:tcPr>
                  <w:tcW w:w="862" w:type="pct"/>
                  <w:vMerge w:val="continue"/>
                  <w:noWrap w:val="0"/>
                  <w:tcMar>
                    <w:top w:w="57" w:type="dxa"/>
                    <w:left w:w="57" w:type="dxa"/>
                    <w:bottom w:w="57" w:type="dxa"/>
                    <w:right w:w="57" w:type="dxa"/>
                  </w:tcMar>
                  <w:vAlign w:val="center"/>
                </w:tcPr>
                <w:p w14:paraId="02DCE0CD">
                  <w:pPr>
                    <w:adjustRightInd w:val="0"/>
                    <w:snapToGrid w:val="0"/>
                    <w:jc w:val="center"/>
                    <w:rPr>
                      <w:rFonts w:hint="default" w:ascii="Times New Roman" w:hAnsi="Times New Roman" w:cs="Times New Roman"/>
                      <w:color w:val="auto"/>
                      <w:szCs w:val="21"/>
                    </w:rPr>
                  </w:pPr>
                </w:p>
              </w:tc>
              <w:tc>
                <w:tcPr>
                  <w:tcW w:w="1379" w:type="pct"/>
                  <w:noWrap w:val="0"/>
                  <w:tcMar>
                    <w:top w:w="57" w:type="dxa"/>
                    <w:left w:w="57" w:type="dxa"/>
                    <w:bottom w:w="57" w:type="dxa"/>
                    <w:right w:w="57" w:type="dxa"/>
                  </w:tcMar>
                  <w:vAlign w:val="center"/>
                </w:tcPr>
                <w:p w14:paraId="7DAB085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042" w:type="pct"/>
                  <w:noWrap w:val="0"/>
                  <w:tcMar>
                    <w:top w:w="57" w:type="dxa"/>
                    <w:left w:w="57" w:type="dxa"/>
                    <w:bottom w:w="57" w:type="dxa"/>
                    <w:right w:w="57" w:type="dxa"/>
                  </w:tcMar>
                  <w:vAlign w:val="center"/>
                </w:tcPr>
                <w:p w14:paraId="1FE4044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排放限值</w:t>
                  </w:r>
                </w:p>
              </w:tc>
            </w:tr>
            <w:tr w14:paraId="2261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vMerge w:val="restart"/>
                  <w:noWrap w:val="0"/>
                  <w:tcMar>
                    <w:top w:w="57" w:type="dxa"/>
                    <w:left w:w="57" w:type="dxa"/>
                    <w:bottom w:w="57" w:type="dxa"/>
                    <w:right w:w="57" w:type="dxa"/>
                  </w:tcMar>
                  <w:vAlign w:val="center"/>
                </w:tcPr>
                <w:p w14:paraId="481F760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DW001</w:t>
                  </w:r>
                </w:p>
              </w:tc>
              <w:tc>
                <w:tcPr>
                  <w:tcW w:w="862" w:type="pct"/>
                  <w:noWrap w:val="0"/>
                  <w:tcMar>
                    <w:top w:w="57" w:type="dxa"/>
                    <w:left w:w="57" w:type="dxa"/>
                    <w:bottom w:w="57" w:type="dxa"/>
                    <w:right w:w="57" w:type="dxa"/>
                  </w:tcMar>
                  <w:vAlign w:val="center"/>
                </w:tcPr>
                <w:p w14:paraId="7406CF7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379" w:type="pct"/>
                  <w:vMerge w:val="restart"/>
                  <w:noWrap w:val="0"/>
                  <w:tcMar>
                    <w:top w:w="57" w:type="dxa"/>
                    <w:left w:w="57" w:type="dxa"/>
                    <w:bottom w:w="57" w:type="dxa"/>
                    <w:right w:w="57" w:type="dxa"/>
                  </w:tcMar>
                  <w:vAlign w:val="center"/>
                </w:tcPr>
                <w:p w14:paraId="1C5B793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《污水综合排放标准》（GB8978-1996）表4三级标准和滑县产业集聚区污水处理厂收水水质要求</w:t>
                  </w:r>
                </w:p>
              </w:tc>
              <w:tc>
                <w:tcPr>
                  <w:tcW w:w="2042" w:type="pct"/>
                  <w:noWrap w:val="0"/>
                  <w:tcMar>
                    <w:top w:w="57" w:type="dxa"/>
                    <w:left w:w="57" w:type="dxa"/>
                    <w:bottom w:w="57" w:type="dxa"/>
                    <w:right w:w="57" w:type="dxa"/>
                  </w:tcMar>
                  <w:vAlign w:val="center"/>
                </w:tcPr>
                <w:p w14:paraId="291F501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r>
            <w:tr w14:paraId="72E3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16" w:type="pct"/>
                  <w:vMerge w:val="continue"/>
                  <w:noWrap w:val="0"/>
                  <w:tcMar>
                    <w:top w:w="57" w:type="dxa"/>
                    <w:left w:w="57" w:type="dxa"/>
                    <w:bottom w:w="57" w:type="dxa"/>
                    <w:right w:w="57" w:type="dxa"/>
                  </w:tcMar>
                  <w:vAlign w:val="center"/>
                </w:tcPr>
                <w:p w14:paraId="1F91A948">
                  <w:pPr>
                    <w:adjustRightInd w:val="0"/>
                    <w:snapToGrid w:val="0"/>
                    <w:jc w:val="center"/>
                    <w:rPr>
                      <w:rFonts w:hint="default" w:ascii="Times New Roman" w:hAnsi="Times New Roman" w:cs="Times New Roman"/>
                      <w:color w:val="auto"/>
                      <w:szCs w:val="21"/>
                    </w:rPr>
                  </w:pPr>
                </w:p>
              </w:tc>
              <w:tc>
                <w:tcPr>
                  <w:tcW w:w="862" w:type="pct"/>
                  <w:noWrap w:val="0"/>
                  <w:tcMar>
                    <w:top w:w="57" w:type="dxa"/>
                    <w:left w:w="57" w:type="dxa"/>
                    <w:bottom w:w="57" w:type="dxa"/>
                    <w:right w:w="57" w:type="dxa"/>
                  </w:tcMar>
                  <w:vAlign w:val="center"/>
                </w:tcPr>
                <w:p w14:paraId="643C01A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379" w:type="pct"/>
                  <w:vMerge w:val="continue"/>
                  <w:noWrap w:val="0"/>
                  <w:tcMar>
                    <w:top w:w="57" w:type="dxa"/>
                    <w:left w:w="57" w:type="dxa"/>
                    <w:bottom w:w="57" w:type="dxa"/>
                    <w:right w:w="57" w:type="dxa"/>
                  </w:tcMar>
                  <w:vAlign w:val="center"/>
                </w:tcPr>
                <w:p w14:paraId="1E7AF484">
                  <w:pPr>
                    <w:adjustRightInd w:val="0"/>
                    <w:snapToGrid w:val="0"/>
                    <w:jc w:val="center"/>
                    <w:rPr>
                      <w:rFonts w:hint="default" w:ascii="Times New Roman" w:hAnsi="Times New Roman" w:cs="Times New Roman"/>
                      <w:color w:val="auto"/>
                      <w:szCs w:val="21"/>
                    </w:rPr>
                  </w:pPr>
                </w:p>
              </w:tc>
              <w:tc>
                <w:tcPr>
                  <w:tcW w:w="2042" w:type="pct"/>
                  <w:noWrap w:val="0"/>
                  <w:tcMar>
                    <w:top w:w="57" w:type="dxa"/>
                    <w:left w:w="57" w:type="dxa"/>
                    <w:bottom w:w="57" w:type="dxa"/>
                    <w:right w:w="57" w:type="dxa"/>
                  </w:tcMar>
                  <w:vAlign w:val="center"/>
                </w:tcPr>
                <w:p w14:paraId="6F6E75C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r>
            <w:tr w14:paraId="077A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16" w:type="pct"/>
                  <w:vMerge w:val="continue"/>
                  <w:noWrap w:val="0"/>
                  <w:tcMar>
                    <w:top w:w="57" w:type="dxa"/>
                    <w:left w:w="57" w:type="dxa"/>
                    <w:bottom w:w="57" w:type="dxa"/>
                    <w:right w:w="57" w:type="dxa"/>
                  </w:tcMar>
                  <w:vAlign w:val="center"/>
                </w:tcPr>
                <w:p w14:paraId="27089512">
                  <w:pPr>
                    <w:adjustRightInd w:val="0"/>
                    <w:snapToGrid w:val="0"/>
                    <w:jc w:val="center"/>
                    <w:rPr>
                      <w:rFonts w:hint="default" w:ascii="Times New Roman" w:hAnsi="Times New Roman" w:cs="Times New Roman"/>
                      <w:color w:val="auto"/>
                      <w:szCs w:val="21"/>
                    </w:rPr>
                  </w:pPr>
                </w:p>
              </w:tc>
              <w:tc>
                <w:tcPr>
                  <w:tcW w:w="862" w:type="pct"/>
                  <w:noWrap w:val="0"/>
                  <w:tcMar>
                    <w:top w:w="57" w:type="dxa"/>
                    <w:left w:w="57" w:type="dxa"/>
                    <w:bottom w:w="57" w:type="dxa"/>
                    <w:right w:w="57" w:type="dxa"/>
                  </w:tcMar>
                  <w:vAlign w:val="center"/>
                </w:tcPr>
                <w:p w14:paraId="4F68FB8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379" w:type="pct"/>
                  <w:vMerge w:val="continue"/>
                  <w:noWrap w:val="0"/>
                  <w:tcMar>
                    <w:top w:w="57" w:type="dxa"/>
                    <w:left w:w="57" w:type="dxa"/>
                    <w:bottom w:w="57" w:type="dxa"/>
                    <w:right w:w="57" w:type="dxa"/>
                  </w:tcMar>
                  <w:vAlign w:val="center"/>
                </w:tcPr>
                <w:p w14:paraId="2732C6E1">
                  <w:pPr>
                    <w:adjustRightInd w:val="0"/>
                    <w:snapToGrid w:val="0"/>
                    <w:jc w:val="center"/>
                    <w:rPr>
                      <w:rFonts w:hint="default" w:ascii="Times New Roman" w:hAnsi="Times New Roman" w:cs="Times New Roman"/>
                      <w:color w:val="auto"/>
                      <w:szCs w:val="21"/>
                    </w:rPr>
                  </w:pPr>
                </w:p>
              </w:tc>
              <w:tc>
                <w:tcPr>
                  <w:tcW w:w="2042" w:type="pct"/>
                  <w:noWrap w:val="0"/>
                  <w:tcMar>
                    <w:top w:w="57" w:type="dxa"/>
                    <w:left w:w="57" w:type="dxa"/>
                    <w:bottom w:w="57" w:type="dxa"/>
                    <w:right w:w="57" w:type="dxa"/>
                  </w:tcMar>
                  <w:vAlign w:val="center"/>
                </w:tcPr>
                <w:p w14:paraId="7FAD6A0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r>
            <w:tr w14:paraId="3516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vMerge w:val="continue"/>
                  <w:noWrap w:val="0"/>
                  <w:tcMar>
                    <w:top w:w="57" w:type="dxa"/>
                    <w:left w:w="57" w:type="dxa"/>
                    <w:bottom w:w="57" w:type="dxa"/>
                    <w:right w:w="57" w:type="dxa"/>
                  </w:tcMar>
                  <w:vAlign w:val="center"/>
                </w:tcPr>
                <w:p w14:paraId="1D167B19">
                  <w:pPr>
                    <w:adjustRightInd w:val="0"/>
                    <w:snapToGrid w:val="0"/>
                    <w:jc w:val="center"/>
                    <w:rPr>
                      <w:rFonts w:hint="default" w:ascii="Times New Roman" w:hAnsi="Times New Roman" w:cs="Times New Roman"/>
                      <w:color w:val="auto"/>
                      <w:szCs w:val="21"/>
                    </w:rPr>
                  </w:pPr>
                </w:p>
              </w:tc>
              <w:tc>
                <w:tcPr>
                  <w:tcW w:w="862" w:type="pct"/>
                  <w:noWrap w:val="0"/>
                  <w:tcMar>
                    <w:top w:w="57" w:type="dxa"/>
                    <w:left w:w="57" w:type="dxa"/>
                    <w:bottom w:w="57" w:type="dxa"/>
                    <w:right w:w="57" w:type="dxa"/>
                  </w:tcMar>
                  <w:vAlign w:val="center"/>
                </w:tcPr>
                <w:p w14:paraId="5D076BB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379" w:type="pct"/>
                  <w:vMerge w:val="continue"/>
                  <w:noWrap w:val="0"/>
                  <w:tcMar>
                    <w:top w:w="57" w:type="dxa"/>
                    <w:left w:w="57" w:type="dxa"/>
                    <w:bottom w:w="57" w:type="dxa"/>
                    <w:right w:w="57" w:type="dxa"/>
                  </w:tcMar>
                  <w:vAlign w:val="center"/>
                </w:tcPr>
                <w:p w14:paraId="072A2226">
                  <w:pPr>
                    <w:adjustRightInd w:val="0"/>
                    <w:snapToGrid w:val="0"/>
                    <w:jc w:val="center"/>
                    <w:rPr>
                      <w:rFonts w:hint="default" w:ascii="Times New Roman" w:hAnsi="Times New Roman" w:cs="Times New Roman"/>
                      <w:color w:val="auto"/>
                      <w:szCs w:val="21"/>
                    </w:rPr>
                  </w:pPr>
                </w:p>
              </w:tc>
              <w:tc>
                <w:tcPr>
                  <w:tcW w:w="2042" w:type="pct"/>
                  <w:noWrap w:val="0"/>
                  <w:tcMar>
                    <w:top w:w="57" w:type="dxa"/>
                    <w:left w:w="57" w:type="dxa"/>
                    <w:bottom w:w="57" w:type="dxa"/>
                    <w:right w:w="57" w:type="dxa"/>
                  </w:tcMar>
                  <w:vAlign w:val="center"/>
                </w:tcPr>
                <w:p w14:paraId="3090A76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r>
            <w:tr w14:paraId="11F7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vMerge w:val="continue"/>
                  <w:noWrap w:val="0"/>
                  <w:tcMar>
                    <w:top w:w="57" w:type="dxa"/>
                    <w:left w:w="57" w:type="dxa"/>
                    <w:bottom w:w="57" w:type="dxa"/>
                    <w:right w:w="57" w:type="dxa"/>
                  </w:tcMar>
                  <w:vAlign w:val="center"/>
                </w:tcPr>
                <w:p w14:paraId="11DACEBB">
                  <w:pPr>
                    <w:adjustRightInd w:val="0"/>
                    <w:snapToGrid w:val="0"/>
                    <w:jc w:val="center"/>
                    <w:rPr>
                      <w:rFonts w:hint="default" w:ascii="Times New Roman" w:hAnsi="Times New Roman" w:cs="Times New Roman"/>
                      <w:color w:val="auto"/>
                      <w:szCs w:val="21"/>
                    </w:rPr>
                  </w:pPr>
                </w:p>
              </w:tc>
              <w:tc>
                <w:tcPr>
                  <w:tcW w:w="862" w:type="pct"/>
                  <w:noWrap w:val="0"/>
                  <w:tcMar>
                    <w:top w:w="57" w:type="dxa"/>
                    <w:left w:w="57" w:type="dxa"/>
                    <w:bottom w:w="57" w:type="dxa"/>
                    <w:right w:w="57" w:type="dxa"/>
                  </w:tcMar>
                  <w:vAlign w:val="center"/>
                </w:tcPr>
                <w:p w14:paraId="22EB23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379" w:type="pct"/>
                  <w:vMerge w:val="continue"/>
                  <w:noWrap w:val="0"/>
                  <w:tcMar>
                    <w:top w:w="57" w:type="dxa"/>
                    <w:left w:w="57" w:type="dxa"/>
                    <w:bottom w:w="57" w:type="dxa"/>
                    <w:right w:w="57" w:type="dxa"/>
                  </w:tcMar>
                  <w:vAlign w:val="center"/>
                </w:tcPr>
                <w:p w14:paraId="0BA44C8C">
                  <w:pPr>
                    <w:adjustRightInd w:val="0"/>
                    <w:snapToGrid w:val="0"/>
                    <w:jc w:val="center"/>
                    <w:rPr>
                      <w:rFonts w:hint="default" w:ascii="Times New Roman" w:hAnsi="Times New Roman" w:cs="Times New Roman"/>
                      <w:color w:val="auto"/>
                      <w:szCs w:val="21"/>
                    </w:rPr>
                  </w:pPr>
                </w:p>
              </w:tc>
              <w:tc>
                <w:tcPr>
                  <w:tcW w:w="2042" w:type="pct"/>
                  <w:noWrap w:val="0"/>
                  <w:tcMar>
                    <w:top w:w="57" w:type="dxa"/>
                    <w:left w:w="57" w:type="dxa"/>
                    <w:bottom w:w="57" w:type="dxa"/>
                    <w:right w:w="57" w:type="dxa"/>
                  </w:tcMar>
                  <w:vAlign w:val="center"/>
                </w:tcPr>
                <w:p w14:paraId="5F52F1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r>
            <w:tr w14:paraId="4C22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vMerge w:val="continue"/>
                  <w:noWrap w:val="0"/>
                  <w:tcMar>
                    <w:top w:w="57" w:type="dxa"/>
                    <w:left w:w="57" w:type="dxa"/>
                    <w:bottom w:w="57" w:type="dxa"/>
                    <w:right w:w="57" w:type="dxa"/>
                  </w:tcMar>
                  <w:vAlign w:val="center"/>
                </w:tcPr>
                <w:p w14:paraId="203EC19E">
                  <w:pPr>
                    <w:adjustRightInd w:val="0"/>
                    <w:snapToGrid w:val="0"/>
                    <w:jc w:val="center"/>
                    <w:rPr>
                      <w:rFonts w:hint="default" w:ascii="Times New Roman" w:hAnsi="Times New Roman" w:cs="Times New Roman"/>
                      <w:color w:val="auto"/>
                      <w:szCs w:val="21"/>
                    </w:rPr>
                  </w:pPr>
                </w:p>
              </w:tc>
              <w:tc>
                <w:tcPr>
                  <w:tcW w:w="862" w:type="pct"/>
                  <w:noWrap w:val="0"/>
                  <w:tcMar>
                    <w:top w:w="57" w:type="dxa"/>
                    <w:left w:w="57" w:type="dxa"/>
                    <w:bottom w:w="57" w:type="dxa"/>
                    <w:right w:w="57" w:type="dxa"/>
                  </w:tcMar>
                  <w:vAlign w:val="center"/>
                </w:tcPr>
                <w:p w14:paraId="46F6F5E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TN</w:t>
                  </w:r>
                </w:p>
              </w:tc>
              <w:tc>
                <w:tcPr>
                  <w:tcW w:w="1379" w:type="pct"/>
                  <w:vMerge w:val="continue"/>
                  <w:noWrap w:val="0"/>
                  <w:tcMar>
                    <w:top w:w="57" w:type="dxa"/>
                    <w:left w:w="57" w:type="dxa"/>
                    <w:bottom w:w="57" w:type="dxa"/>
                    <w:right w:w="57" w:type="dxa"/>
                  </w:tcMar>
                  <w:vAlign w:val="center"/>
                </w:tcPr>
                <w:p w14:paraId="2FACF721">
                  <w:pPr>
                    <w:adjustRightInd w:val="0"/>
                    <w:snapToGrid w:val="0"/>
                    <w:jc w:val="center"/>
                    <w:rPr>
                      <w:rFonts w:hint="default" w:ascii="Times New Roman" w:hAnsi="Times New Roman" w:cs="Times New Roman"/>
                      <w:color w:val="auto"/>
                      <w:szCs w:val="21"/>
                    </w:rPr>
                  </w:pPr>
                </w:p>
              </w:tc>
              <w:tc>
                <w:tcPr>
                  <w:tcW w:w="2042" w:type="pct"/>
                  <w:noWrap w:val="0"/>
                  <w:tcMar>
                    <w:top w:w="57" w:type="dxa"/>
                    <w:left w:w="57" w:type="dxa"/>
                    <w:bottom w:w="57" w:type="dxa"/>
                    <w:right w:w="57" w:type="dxa"/>
                  </w:tcMar>
                  <w:vAlign w:val="center"/>
                </w:tcPr>
                <w:p w14:paraId="2B5F110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r>
            <w:tr w14:paraId="7053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vMerge w:val="continue"/>
                  <w:noWrap w:val="0"/>
                  <w:tcMar>
                    <w:top w:w="57" w:type="dxa"/>
                    <w:left w:w="57" w:type="dxa"/>
                    <w:bottom w:w="57" w:type="dxa"/>
                    <w:right w:w="57" w:type="dxa"/>
                  </w:tcMar>
                  <w:vAlign w:val="center"/>
                </w:tcPr>
                <w:p w14:paraId="796510F0">
                  <w:pPr>
                    <w:adjustRightInd w:val="0"/>
                    <w:snapToGrid w:val="0"/>
                    <w:jc w:val="center"/>
                    <w:rPr>
                      <w:rFonts w:hint="default" w:ascii="Times New Roman" w:hAnsi="Times New Roman" w:cs="Times New Roman"/>
                      <w:color w:val="auto"/>
                      <w:szCs w:val="21"/>
                    </w:rPr>
                  </w:pPr>
                </w:p>
              </w:tc>
              <w:tc>
                <w:tcPr>
                  <w:tcW w:w="862" w:type="pct"/>
                  <w:noWrap w:val="0"/>
                  <w:tcMar>
                    <w:top w:w="57" w:type="dxa"/>
                    <w:left w:w="57" w:type="dxa"/>
                    <w:bottom w:w="57" w:type="dxa"/>
                    <w:right w:w="57" w:type="dxa"/>
                  </w:tcMar>
                  <w:vAlign w:val="center"/>
                </w:tcPr>
                <w:p w14:paraId="286563D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1379" w:type="pct"/>
                  <w:vMerge w:val="continue"/>
                  <w:noWrap w:val="0"/>
                  <w:tcMar>
                    <w:top w:w="57" w:type="dxa"/>
                    <w:left w:w="57" w:type="dxa"/>
                    <w:bottom w:w="57" w:type="dxa"/>
                    <w:right w:w="57" w:type="dxa"/>
                  </w:tcMar>
                  <w:vAlign w:val="center"/>
                </w:tcPr>
                <w:p w14:paraId="2D5A5883">
                  <w:pPr>
                    <w:adjustRightInd w:val="0"/>
                    <w:snapToGrid w:val="0"/>
                    <w:jc w:val="center"/>
                    <w:rPr>
                      <w:rFonts w:hint="default" w:ascii="Times New Roman" w:hAnsi="Times New Roman" w:cs="Times New Roman"/>
                      <w:color w:val="auto"/>
                      <w:szCs w:val="21"/>
                    </w:rPr>
                  </w:pPr>
                </w:p>
              </w:tc>
              <w:tc>
                <w:tcPr>
                  <w:tcW w:w="2042" w:type="pct"/>
                  <w:noWrap w:val="0"/>
                  <w:tcMar>
                    <w:top w:w="57" w:type="dxa"/>
                    <w:left w:w="57" w:type="dxa"/>
                    <w:bottom w:w="57" w:type="dxa"/>
                    <w:right w:w="57" w:type="dxa"/>
                  </w:tcMar>
                  <w:vAlign w:val="center"/>
                </w:tcPr>
                <w:p w14:paraId="54BC78E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r>
          </w:tbl>
          <w:p w14:paraId="7315984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rPr>
              <w:t>）废水污染物排放信息</w:t>
            </w:r>
          </w:p>
          <w:p w14:paraId="7918E4C5">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sz w:val="24"/>
              </w:rPr>
              <w:t>本项目废水污染物排放信息见下表。</w:t>
            </w:r>
          </w:p>
          <w:p w14:paraId="5E4EDDEF">
            <w:pPr>
              <w:autoSpaceDE w:val="0"/>
              <w:autoSpaceDN w:val="0"/>
              <w:adjustRightInd w:val="0"/>
              <w:snapToGrid w:val="0"/>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表4-</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项目废水污染物排放信息表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71"/>
              <w:gridCol w:w="1906"/>
              <w:gridCol w:w="2558"/>
              <w:gridCol w:w="2442"/>
            </w:tblGrid>
            <w:tr w14:paraId="2B7D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6" w:type="pct"/>
                  <w:noWrap w:val="0"/>
                  <w:tcMar>
                    <w:top w:w="57" w:type="dxa"/>
                    <w:left w:w="57" w:type="dxa"/>
                    <w:bottom w:w="57" w:type="dxa"/>
                    <w:right w:w="57" w:type="dxa"/>
                  </w:tcMar>
                  <w:vAlign w:val="center"/>
                </w:tcPr>
                <w:p w14:paraId="618A503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881" w:type="pct"/>
                  <w:noWrap w:val="0"/>
                  <w:tcMar>
                    <w:top w:w="57" w:type="dxa"/>
                    <w:left w:w="57" w:type="dxa"/>
                    <w:bottom w:w="57" w:type="dxa"/>
                    <w:right w:w="57" w:type="dxa"/>
                  </w:tcMar>
                  <w:vAlign w:val="center"/>
                </w:tcPr>
                <w:p w14:paraId="07C221C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w:t>
                  </w:r>
                </w:p>
              </w:tc>
              <w:tc>
                <w:tcPr>
                  <w:tcW w:w="1005" w:type="pct"/>
                  <w:noWrap w:val="0"/>
                  <w:tcMar>
                    <w:top w:w="57" w:type="dxa"/>
                    <w:left w:w="57" w:type="dxa"/>
                    <w:bottom w:w="57" w:type="dxa"/>
                    <w:right w:w="57" w:type="dxa"/>
                  </w:tcMar>
                  <w:vAlign w:val="center"/>
                </w:tcPr>
                <w:p w14:paraId="319C444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污染物种类</w:t>
                  </w:r>
                </w:p>
              </w:tc>
              <w:tc>
                <w:tcPr>
                  <w:tcW w:w="1349" w:type="pct"/>
                  <w:noWrap w:val="0"/>
                  <w:tcMar>
                    <w:top w:w="57" w:type="dxa"/>
                    <w:left w:w="57" w:type="dxa"/>
                    <w:bottom w:w="57" w:type="dxa"/>
                    <w:right w:w="57" w:type="dxa"/>
                  </w:tcMar>
                  <w:vAlign w:val="center"/>
                </w:tcPr>
                <w:p w14:paraId="6C245B5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排放浓度/（mg/L）</w:t>
                  </w:r>
                </w:p>
              </w:tc>
              <w:tc>
                <w:tcPr>
                  <w:tcW w:w="1287" w:type="pct"/>
                  <w:noWrap w:val="0"/>
                  <w:tcMar>
                    <w:top w:w="57" w:type="dxa"/>
                    <w:left w:w="57" w:type="dxa"/>
                    <w:bottom w:w="57" w:type="dxa"/>
                    <w:right w:w="57" w:type="dxa"/>
                  </w:tcMar>
                  <w:vAlign w:val="center"/>
                </w:tcPr>
                <w:p w14:paraId="3C92F99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年排放量/（t/a）</w:t>
                  </w:r>
                </w:p>
              </w:tc>
            </w:tr>
            <w:tr w14:paraId="6492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restart"/>
                  <w:noWrap w:val="0"/>
                  <w:tcMar>
                    <w:top w:w="57" w:type="dxa"/>
                    <w:left w:w="57" w:type="dxa"/>
                    <w:bottom w:w="57" w:type="dxa"/>
                    <w:right w:w="57" w:type="dxa"/>
                  </w:tcMar>
                  <w:vAlign w:val="center"/>
                </w:tcPr>
                <w:p w14:paraId="4FE7BA2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81" w:type="pct"/>
                  <w:vMerge w:val="restart"/>
                  <w:noWrap w:val="0"/>
                  <w:tcMar>
                    <w:top w:w="57" w:type="dxa"/>
                    <w:left w:w="57" w:type="dxa"/>
                    <w:bottom w:w="57" w:type="dxa"/>
                    <w:right w:w="57" w:type="dxa"/>
                  </w:tcMar>
                  <w:vAlign w:val="center"/>
                </w:tcPr>
                <w:p w14:paraId="6C831E4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DW001</w:t>
                  </w:r>
                </w:p>
              </w:tc>
              <w:tc>
                <w:tcPr>
                  <w:tcW w:w="1005" w:type="pct"/>
                  <w:noWrap w:val="0"/>
                  <w:tcMar>
                    <w:top w:w="57" w:type="dxa"/>
                    <w:left w:w="57" w:type="dxa"/>
                    <w:bottom w:w="57" w:type="dxa"/>
                    <w:right w:w="57" w:type="dxa"/>
                  </w:tcMar>
                  <w:vAlign w:val="center"/>
                </w:tcPr>
                <w:p w14:paraId="1D8B383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349" w:type="pct"/>
                  <w:noWrap w:val="0"/>
                  <w:tcMar>
                    <w:top w:w="57" w:type="dxa"/>
                    <w:left w:w="57" w:type="dxa"/>
                    <w:bottom w:w="57" w:type="dxa"/>
                    <w:right w:w="57" w:type="dxa"/>
                  </w:tcMar>
                  <w:vAlign w:val="center"/>
                </w:tcPr>
                <w:p w14:paraId="187925BB">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287" w:type="pct"/>
                  <w:noWrap w:val="0"/>
                  <w:tcMar>
                    <w:top w:w="57" w:type="dxa"/>
                    <w:left w:w="57" w:type="dxa"/>
                    <w:bottom w:w="57" w:type="dxa"/>
                    <w:right w:w="57" w:type="dxa"/>
                  </w:tcMar>
                  <w:vAlign w:val="center"/>
                </w:tcPr>
                <w:p w14:paraId="065C7A1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07FD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noWrap w:val="0"/>
                  <w:tcMar>
                    <w:top w:w="57" w:type="dxa"/>
                    <w:left w:w="57" w:type="dxa"/>
                    <w:bottom w:w="57" w:type="dxa"/>
                    <w:right w:w="57" w:type="dxa"/>
                  </w:tcMar>
                  <w:vAlign w:val="center"/>
                </w:tcPr>
                <w:p w14:paraId="36094237">
                  <w:pPr>
                    <w:adjustRightInd w:val="0"/>
                    <w:snapToGrid w:val="0"/>
                    <w:jc w:val="center"/>
                    <w:rPr>
                      <w:rFonts w:hint="default" w:ascii="Times New Roman" w:hAnsi="Times New Roman" w:cs="Times New Roman"/>
                      <w:color w:val="auto"/>
                      <w:szCs w:val="21"/>
                    </w:rPr>
                  </w:pPr>
                </w:p>
              </w:tc>
              <w:tc>
                <w:tcPr>
                  <w:tcW w:w="881" w:type="pct"/>
                  <w:vMerge w:val="continue"/>
                  <w:noWrap w:val="0"/>
                  <w:tcMar>
                    <w:top w:w="57" w:type="dxa"/>
                    <w:left w:w="57" w:type="dxa"/>
                    <w:bottom w:w="57" w:type="dxa"/>
                    <w:right w:w="57" w:type="dxa"/>
                  </w:tcMar>
                  <w:vAlign w:val="center"/>
                </w:tcPr>
                <w:p w14:paraId="535F5550">
                  <w:pPr>
                    <w:adjustRightInd w:val="0"/>
                    <w:snapToGrid w:val="0"/>
                    <w:jc w:val="center"/>
                    <w:rPr>
                      <w:rFonts w:hint="default" w:ascii="Times New Roman" w:hAnsi="Times New Roman" w:cs="Times New Roman"/>
                      <w:color w:val="auto"/>
                      <w:szCs w:val="21"/>
                    </w:rPr>
                  </w:pPr>
                </w:p>
              </w:tc>
              <w:tc>
                <w:tcPr>
                  <w:tcW w:w="1005" w:type="pct"/>
                  <w:noWrap w:val="0"/>
                  <w:tcMar>
                    <w:top w:w="57" w:type="dxa"/>
                    <w:left w:w="57" w:type="dxa"/>
                    <w:bottom w:w="57" w:type="dxa"/>
                    <w:right w:w="57" w:type="dxa"/>
                  </w:tcMar>
                  <w:vAlign w:val="center"/>
                </w:tcPr>
                <w:p w14:paraId="4BD785B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349" w:type="pct"/>
                  <w:noWrap w:val="0"/>
                  <w:tcMar>
                    <w:top w:w="57" w:type="dxa"/>
                    <w:left w:w="57" w:type="dxa"/>
                    <w:bottom w:w="57" w:type="dxa"/>
                    <w:right w:w="57" w:type="dxa"/>
                  </w:tcMar>
                  <w:vAlign w:val="center"/>
                </w:tcPr>
                <w:p w14:paraId="41371022">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40</w:t>
                  </w:r>
                </w:p>
              </w:tc>
              <w:tc>
                <w:tcPr>
                  <w:tcW w:w="1287" w:type="pct"/>
                  <w:noWrap w:val="0"/>
                  <w:tcMar>
                    <w:top w:w="57" w:type="dxa"/>
                    <w:left w:w="57" w:type="dxa"/>
                    <w:bottom w:w="57" w:type="dxa"/>
                    <w:right w:w="57" w:type="dxa"/>
                  </w:tcMar>
                  <w:vAlign w:val="center"/>
                </w:tcPr>
                <w:p w14:paraId="3B9C5C5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0185</w:t>
                  </w:r>
                </w:p>
              </w:tc>
            </w:tr>
            <w:tr w14:paraId="181E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noWrap w:val="0"/>
                  <w:tcMar>
                    <w:top w:w="57" w:type="dxa"/>
                    <w:left w:w="57" w:type="dxa"/>
                    <w:bottom w:w="57" w:type="dxa"/>
                    <w:right w:w="57" w:type="dxa"/>
                  </w:tcMar>
                  <w:vAlign w:val="center"/>
                </w:tcPr>
                <w:p w14:paraId="4713EED2">
                  <w:pPr>
                    <w:adjustRightInd w:val="0"/>
                    <w:snapToGrid w:val="0"/>
                    <w:jc w:val="center"/>
                    <w:rPr>
                      <w:rFonts w:hint="default" w:ascii="Times New Roman" w:hAnsi="Times New Roman" w:cs="Times New Roman"/>
                      <w:color w:val="auto"/>
                      <w:szCs w:val="21"/>
                    </w:rPr>
                  </w:pPr>
                </w:p>
              </w:tc>
              <w:tc>
                <w:tcPr>
                  <w:tcW w:w="881" w:type="pct"/>
                  <w:vMerge w:val="continue"/>
                  <w:noWrap w:val="0"/>
                  <w:tcMar>
                    <w:top w:w="57" w:type="dxa"/>
                    <w:left w:w="57" w:type="dxa"/>
                    <w:bottom w:w="57" w:type="dxa"/>
                    <w:right w:w="57" w:type="dxa"/>
                  </w:tcMar>
                  <w:vAlign w:val="center"/>
                </w:tcPr>
                <w:p w14:paraId="35BB473D">
                  <w:pPr>
                    <w:adjustRightInd w:val="0"/>
                    <w:snapToGrid w:val="0"/>
                    <w:jc w:val="center"/>
                    <w:rPr>
                      <w:rFonts w:hint="default" w:ascii="Times New Roman" w:hAnsi="Times New Roman" w:cs="Times New Roman"/>
                      <w:color w:val="auto"/>
                      <w:szCs w:val="21"/>
                    </w:rPr>
                  </w:pPr>
                </w:p>
              </w:tc>
              <w:tc>
                <w:tcPr>
                  <w:tcW w:w="1005" w:type="pct"/>
                  <w:noWrap w:val="0"/>
                  <w:tcMar>
                    <w:top w:w="57" w:type="dxa"/>
                    <w:left w:w="57" w:type="dxa"/>
                    <w:bottom w:w="57" w:type="dxa"/>
                    <w:right w:w="57" w:type="dxa"/>
                  </w:tcMar>
                  <w:vAlign w:val="center"/>
                </w:tcPr>
                <w:p w14:paraId="1DC2BB3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349" w:type="pct"/>
                  <w:noWrap w:val="0"/>
                  <w:tcMar>
                    <w:top w:w="57" w:type="dxa"/>
                    <w:left w:w="57" w:type="dxa"/>
                    <w:bottom w:w="57" w:type="dxa"/>
                    <w:right w:w="57" w:type="dxa"/>
                  </w:tcMar>
                  <w:vAlign w:val="center"/>
                </w:tcPr>
                <w:p w14:paraId="45D888C8">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p>
              </w:tc>
              <w:tc>
                <w:tcPr>
                  <w:tcW w:w="1287" w:type="pct"/>
                  <w:noWrap w:val="0"/>
                  <w:tcMar>
                    <w:top w:w="57" w:type="dxa"/>
                    <w:left w:w="57" w:type="dxa"/>
                    <w:bottom w:w="57" w:type="dxa"/>
                    <w:right w:w="57" w:type="dxa"/>
                  </w:tcMar>
                  <w:vAlign w:val="center"/>
                </w:tcPr>
                <w:p w14:paraId="3C4D5BE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023</w:t>
                  </w:r>
                </w:p>
              </w:tc>
            </w:tr>
            <w:tr w14:paraId="3E54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noWrap w:val="0"/>
                  <w:tcMar>
                    <w:top w:w="57" w:type="dxa"/>
                    <w:left w:w="57" w:type="dxa"/>
                    <w:bottom w:w="57" w:type="dxa"/>
                    <w:right w:w="57" w:type="dxa"/>
                  </w:tcMar>
                  <w:vAlign w:val="center"/>
                </w:tcPr>
                <w:p w14:paraId="7D97D54C">
                  <w:pPr>
                    <w:adjustRightInd w:val="0"/>
                    <w:snapToGrid w:val="0"/>
                    <w:jc w:val="center"/>
                    <w:rPr>
                      <w:rFonts w:hint="default" w:ascii="Times New Roman" w:hAnsi="Times New Roman" w:cs="Times New Roman"/>
                      <w:color w:val="auto"/>
                      <w:szCs w:val="21"/>
                    </w:rPr>
                  </w:pPr>
                </w:p>
              </w:tc>
              <w:tc>
                <w:tcPr>
                  <w:tcW w:w="881" w:type="pct"/>
                  <w:vMerge w:val="continue"/>
                  <w:noWrap w:val="0"/>
                  <w:tcMar>
                    <w:top w:w="57" w:type="dxa"/>
                    <w:left w:w="57" w:type="dxa"/>
                    <w:bottom w:w="57" w:type="dxa"/>
                    <w:right w:w="57" w:type="dxa"/>
                  </w:tcMar>
                  <w:vAlign w:val="center"/>
                </w:tcPr>
                <w:p w14:paraId="6F6DCECB">
                  <w:pPr>
                    <w:adjustRightInd w:val="0"/>
                    <w:snapToGrid w:val="0"/>
                    <w:jc w:val="center"/>
                    <w:rPr>
                      <w:rFonts w:hint="default" w:ascii="Times New Roman" w:hAnsi="Times New Roman" w:cs="Times New Roman"/>
                      <w:color w:val="auto"/>
                      <w:szCs w:val="21"/>
                    </w:rPr>
                  </w:pPr>
                </w:p>
              </w:tc>
              <w:tc>
                <w:tcPr>
                  <w:tcW w:w="1005" w:type="pct"/>
                  <w:noWrap w:val="0"/>
                  <w:tcMar>
                    <w:top w:w="57" w:type="dxa"/>
                    <w:left w:w="57" w:type="dxa"/>
                    <w:bottom w:w="57" w:type="dxa"/>
                    <w:right w:w="57" w:type="dxa"/>
                  </w:tcMar>
                  <w:vAlign w:val="center"/>
                </w:tcPr>
                <w:p w14:paraId="70367E0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349" w:type="pct"/>
                  <w:noWrap w:val="0"/>
                  <w:tcMar>
                    <w:top w:w="57" w:type="dxa"/>
                    <w:left w:w="57" w:type="dxa"/>
                    <w:bottom w:w="57" w:type="dxa"/>
                    <w:right w:w="57" w:type="dxa"/>
                  </w:tcMar>
                  <w:vAlign w:val="center"/>
                </w:tcPr>
                <w:p w14:paraId="1D9DF3C8">
                  <w:pPr>
                    <w:widowControl/>
                    <w:adjustRightInd w:val="0"/>
                    <w:snapToGrid w:val="0"/>
                    <w:jc w:val="center"/>
                    <w:textAlignment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6</w:t>
                  </w:r>
                </w:p>
              </w:tc>
              <w:tc>
                <w:tcPr>
                  <w:tcW w:w="1287" w:type="pct"/>
                  <w:noWrap w:val="0"/>
                  <w:tcMar>
                    <w:top w:w="57" w:type="dxa"/>
                    <w:left w:w="57" w:type="dxa"/>
                    <w:bottom w:w="57" w:type="dxa"/>
                    <w:right w:w="57" w:type="dxa"/>
                  </w:tcMar>
                  <w:vAlign w:val="center"/>
                </w:tcPr>
                <w:p w14:paraId="4378545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028</w:t>
                  </w:r>
                </w:p>
              </w:tc>
            </w:tr>
            <w:tr w14:paraId="6CD4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noWrap w:val="0"/>
                  <w:tcMar>
                    <w:top w:w="57" w:type="dxa"/>
                    <w:left w:w="57" w:type="dxa"/>
                    <w:bottom w:w="57" w:type="dxa"/>
                    <w:right w:w="57" w:type="dxa"/>
                  </w:tcMar>
                  <w:vAlign w:val="center"/>
                </w:tcPr>
                <w:p w14:paraId="75A04DF5">
                  <w:pPr>
                    <w:adjustRightInd w:val="0"/>
                    <w:snapToGrid w:val="0"/>
                    <w:jc w:val="center"/>
                    <w:rPr>
                      <w:rFonts w:hint="default" w:ascii="Times New Roman" w:hAnsi="Times New Roman" w:cs="Times New Roman"/>
                      <w:color w:val="auto"/>
                      <w:szCs w:val="21"/>
                    </w:rPr>
                  </w:pPr>
                </w:p>
              </w:tc>
              <w:tc>
                <w:tcPr>
                  <w:tcW w:w="881" w:type="pct"/>
                  <w:vMerge w:val="continue"/>
                  <w:noWrap w:val="0"/>
                  <w:tcMar>
                    <w:top w:w="57" w:type="dxa"/>
                    <w:left w:w="57" w:type="dxa"/>
                    <w:bottom w:w="57" w:type="dxa"/>
                    <w:right w:w="57" w:type="dxa"/>
                  </w:tcMar>
                  <w:vAlign w:val="center"/>
                </w:tcPr>
                <w:p w14:paraId="0DDBD4CD">
                  <w:pPr>
                    <w:adjustRightInd w:val="0"/>
                    <w:snapToGrid w:val="0"/>
                    <w:jc w:val="center"/>
                    <w:rPr>
                      <w:rFonts w:hint="default" w:ascii="Times New Roman" w:hAnsi="Times New Roman" w:cs="Times New Roman"/>
                      <w:color w:val="auto"/>
                      <w:szCs w:val="21"/>
                    </w:rPr>
                  </w:pPr>
                </w:p>
              </w:tc>
              <w:tc>
                <w:tcPr>
                  <w:tcW w:w="1005" w:type="pct"/>
                  <w:noWrap w:val="0"/>
                  <w:tcMar>
                    <w:top w:w="57" w:type="dxa"/>
                    <w:left w:w="57" w:type="dxa"/>
                    <w:bottom w:w="57" w:type="dxa"/>
                    <w:right w:w="57" w:type="dxa"/>
                  </w:tcMar>
                  <w:vAlign w:val="center"/>
                </w:tcPr>
                <w:p w14:paraId="4F16CB5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349" w:type="pct"/>
                  <w:noWrap w:val="0"/>
                  <w:tcMar>
                    <w:top w:w="57" w:type="dxa"/>
                    <w:left w:w="57" w:type="dxa"/>
                    <w:bottom w:w="57" w:type="dxa"/>
                    <w:right w:w="57" w:type="dxa"/>
                  </w:tcMar>
                  <w:vAlign w:val="center"/>
                </w:tcPr>
                <w:p w14:paraId="134D32DB">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w:t>
                  </w:r>
                </w:p>
              </w:tc>
              <w:tc>
                <w:tcPr>
                  <w:tcW w:w="1287" w:type="pct"/>
                  <w:noWrap w:val="0"/>
                  <w:tcMar>
                    <w:top w:w="57" w:type="dxa"/>
                    <w:left w:w="57" w:type="dxa"/>
                    <w:bottom w:w="57" w:type="dxa"/>
                    <w:right w:w="57" w:type="dxa"/>
                  </w:tcMar>
                  <w:vAlign w:val="center"/>
                </w:tcPr>
                <w:p w14:paraId="095255E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0.0046</w:t>
                  </w:r>
                </w:p>
              </w:tc>
            </w:tr>
            <w:tr w14:paraId="1ECA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noWrap w:val="0"/>
                  <w:tcMar>
                    <w:top w:w="57" w:type="dxa"/>
                    <w:left w:w="57" w:type="dxa"/>
                    <w:bottom w:w="57" w:type="dxa"/>
                    <w:right w:w="57" w:type="dxa"/>
                  </w:tcMar>
                  <w:vAlign w:val="center"/>
                </w:tcPr>
                <w:p w14:paraId="32A9C32D">
                  <w:pPr>
                    <w:adjustRightInd w:val="0"/>
                    <w:snapToGrid w:val="0"/>
                    <w:jc w:val="center"/>
                    <w:rPr>
                      <w:rFonts w:hint="default" w:ascii="Times New Roman" w:hAnsi="Times New Roman" w:cs="Times New Roman"/>
                      <w:color w:val="auto"/>
                      <w:szCs w:val="21"/>
                    </w:rPr>
                  </w:pPr>
                </w:p>
              </w:tc>
              <w:tc>
                <w:tcPr>
                  <w:tcW w:w="881" w:type="pct"/>
                  <w:vMerge w:val="continue"/>
                  <w:noWrap w:val="0"/>
                  <w:tcMar>
                    <w:top w:w="57" w:type="dxa"/>
                    <w:left w:w="57" w:type="dxa"/>
                    <w:bottom w:w="57" w:type="dxa"/>
                    <w:right w:w="57" w:type="dxa"/>
                  </w:tcMar>
                  <w:vAlign w:val="center"/>
                </w:tcPr>
                <w:p w14:paraId="4E42A35D">
                  <w:pPr>
                    <w:adjustRightInd w:val="0"/>
                    <w:snapToGrid w:val="0"/>
                    <w:jc w:val="center"/>
                    <w:rPr>
                      <w:rFonts w:hint="default" w:ascii="Times New Roman" w:hAnsi="Times New Roman" w:cs="Times New Roman"/>
                      <w:color w:val="auto"/>
                      <w:szCs w:val="21"/>
                    </w:rPr>
                  </w:pPr>
                </w:p>
              </w:tc>
              <w:tc>
                <w:tcPr>
                  <w:tcW w:w="1005" w:type="pct"/>
                  <w:noWrap w:val="0"/>
                  <w:tcMar>
                    <w:top w:w="57" w:type="dxa"/>
                    <w:left w:w="57" w:type="dxa"/>
                    <w:bottom w:w="57" w:type="dxa"/>
                    <w:right w:w="57" w:type="dxa"/>
                  </w:tcMar>
                  <w:vAlign w:val="center"/>
                </w:tcPr>
                <w:p w14:paraId="2FDC7E5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TN</w:t>
                  </w:r>
                </w:p>
              </w:tc>
              <w:tc>
                <w:tcPr>
                  <w:tcW w:w="1349" w:type="pct"/>
                  <w:noWrap w:val="0"/>
                  <w:tcMar>
                    <w:top w:w="57" w:type="dxa"/>
                    <w:left w:w="57" w:type="dxa"/>
                    <w:bottom w:w="57" w:type="dxa"/>
                    <w:right w:w="57" w:type="dxa"/>
                  </w:tcMar>
                  <w:vAlign w:val="center"/>
                </w:tcPr>
                <w:p w14:paraId="368A40D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w:t>
                  </w:r>
                </w:p>
              </w:tc>
              <w:tc>
                <w:tcPr>
                  <w:tcW w:w="1287" w:type="pct"/>
                  <w:noWrap w:val="0"/>
                  <w:tcMar>
                    <w:top w:w="57" w:type="dxa"/>
                    <w:left w:w="57" w:type="dxa"/>
                    <w:bottom w:w="57" w:type="dxa"/>
                    <w:right w:w="57" w:type="dxa"/>
                  </w:tcMar>
                  <w:vAlign w:val="center"/>
                </w:tcPr>
                <w:p w14:paraId="182061BF">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055</w:t>
                  </w:r>
                </w:p>
              </w:tc>
            </w:tr>
            <w:tr w14:paraId="551D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76" w:type="pct"/>
                  <w:vMerge w:val="continue"/>
                  <w:noWrap w:val="0"/>
                  <w:tcMar>
                    <w:top w:w="57" w:type="dxa"/>
                    <w:left w:w="57" w:type="dxa"/>
                    <w:bottom w:w="57" w:type="dxa"/>
                    <w:right w:w="57" w:type="dxa"/>
                  </w:tcMar>
                  <w:vAlign w:val="center"/>
                </w:tcPr>
                <w:p w14:paraId="60CF92DA">
                  <w:pPr>
                    <w:adjustRightInd w:val="0"/>
                    <w:snapToGrid w:val="0"/>
                    <w:jc w:val="center"/>
                    <w:rPr>
                      <w:rFonts w:hint="default" w:ascii="Times New Roman" w:hAnsi="Times New Roman" w:cs="Times New Roman"/>
                      <w:color w:val="auto"/>
                      <w:szCs w:val="21"/>
                    </w:rPr>
                  </w:pPr>
                </w:p>
              </w:tc>
              <w:tc>
                <w:tcPr>
                  <w:tcW w:w="881" w:type="pct"/>
                  <w:vMerge w:val="continue"/>
                  <w:noWrap w:val="0"/>
                  <w:tcMar>
                    <w:top w:w="57" w:type="dxa"/>
                    <w:left w:w="57" w:type="dxa"/>
                    <w:bottom w:w="57" w:type="dxa"/>
                    <w:right w:w="57" w:type="dxa"/>
                  </w:tcMar>
                  <w:vAlign w:val="center"/>
                </w:tcPr>
                <w:p w14:paraId="7470D985">
                  <w:pPr>
                    <w:adjustRightInd w:val="0"/>
                    <w:snapToGrid w:val="0"/>
                    <w:jc w:val="center"/>
                    <w:rPr>
                      <w:rFonts w:hint="default" w:ascii="Times New Roman" w:hAnsi="Times New Roman" w:cs="Times New Roman"/>
                      <w:color w:val="auto"/>
                      <w:szCs w:val="21"/>
                    </w:rPr>
                  </w:pPr>
                </w:p>
              </w:tc>
              <w:tc>
                <w:tcPr>
                  <w:tcW w:w="1005" w:type="pct"/>
                  <w:noWrap w:val="0"/>
                  <w:tcMar>
                    <w:top w:w="57" w:type="dxa"/>
                    <w:left w:w="57" w:type="dxa"/>
                    <w:bottom w:w="57" w:type="dxa"/>
                    <w:right w:w="57" w:type="dxa"/>
                  </w:tcMar>
                  <w:vAlign w:val="center"/>
                </w:tcPr>
                <w:p w14:paraId="10649B6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1349" w:type="pct"/>
                  <w:noWrap w:val="0"/>
                  <w:tcMar>
                    <w:top w:w="57" w:type="dxa"/>
                    <w:left w:w="57" w:type="dxa"/>
                    <w:bottom w:w="57" w:type="dxa"/>
                    <w:right w:w="57" w:type="dxa"/>
                  </w:tcMar>
                  <w:vAlign w:val="center"/>
                </w:tcPr>
                <w:p w14:paraId="51F9668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0.4</w:t>
                  </w:r>
                </w:p>
              </w:tc>
              <w:tc>
                <w:tcPr>
                  <w:tcW w:w="1287" w:type="pct"/>
                  <w:noWrap w:val="0"/>
                  <w:tcMar>
                    <w:top w:w="57" w:type="dxa"/>
                    <w:left w:w="57" w:type="dxa"/>
                    <w:bottom w:w="57" w:type="dxa"/>
                    <w:right w:w="57" w:type="dxa"/>
                  </w:tcMar>
                  <w:vAlign w:val="center"/>
                </w:tcPr>
                <w:p w14:paraId="4F8F0F61">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0.00</w:t>
                  </w:r>
                  <w:r>
                    <w:rPr>
                      <w:rFonts w:hint="default" w:ascii="Times New Roman" w:hAnsi="Times New Roman" w:cs="Times New Roman"/>
                      <w:color w:val="auto"/>
                      <w:szCs w:val="21"/>
                      <w:lang w:val="en-US" w:eastAsia="zh-CN"/>
                    </w:rPr>
                    <w:t>02</w:t>
                  </w:r>
                </w:p>
              </w:tc>
            </w:tr>
          </w:tbl>
          <w:p w14:paraId="717C4485">
            <w:pPr>
              <w:pStyle w:val="2"/>
              <w:numPr>
                <w:ilvl w:val="0"/>
                <w:numId w:val="0"/>
              </w:numPr>
              <w:ind w:right="6" w:rightChars="0"/>
              <w:rPr>
                <w:rFonts w:hint="default" w:ascii="Times New Roman" w:hAnsi="Times New Roman" w:eastAsia="宋体" w:cs="Times New Roman"/>
                <w:color w:val="auto"/>
                <w:kern w:val="2"/>
                <w:sz w:val="24"/>
                <w:szCs w:val="24"/>
                <w:lang w:val="en-US" w:eastAsia="zh-CN" w:bidi="ar-SA"/>
              </w:rPr>
            </w:pPr>
          </w:p>
          <w:p w14:paraId="60495861">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5</w:t>
            </w:r>
            <w:r>
              <w:rPr>
                <w:rFonts w:hint="default" w:ascii="Times New Roman" w:hAnsi="Times New Roman" w:cs="Times New Roman"/>
                <w:bCs/>
                <w:color w:val="auto"/>
                <w:sz w:val="24"/>
              </w:rPr>
              <w:t>、依托集中污水处理厂的可行性</w:t>
            </w:r>
          </w:p>
          <w:p w14:paraId="3E674F19">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w:t>
            </w:r>
            <w:r>
              <w:rPr>
                <w:rFonts w:hint="default" w:ascii="Times New Roman" w:hAnsi="Times New Roman" w:eastAsia="宋体" w:cs="Times New Roman"/>
                <w:bCs/>
                <w:color w:val="auto"/>
                <w:sz w:val="24"/>
                <w:lang w:eastAsia="zh-CN"/>
              </w:rPr>
              <w:t>废水经</w:t>
            </w:r>
            <w:r>
              <w:rPr>
                <w:rFonts w:hint="default" w:ascii="Times New Roman" w:hAnsi="Times New Roman" w:eastAsia="宋体" w:cs="Times New Roman"/>
                <w:bCs/>
                <w:color w:val="auto"/>
                <w:sz w:val="24"/>
                <w:lang w:val="en-US" w:eastAsia="zh-CN"/>
              </w:rPr>
              <w:t>化粪池+一体化污水处理设施</w:t>
            </w:r>
            <w:r>
              <w:rPr>
                <w:rFonts w:hint="eastAsia" w:ascii="Times New Roman" w:hAnsi="Times New Roman" w:eastAsia="宋体" w:cs="Times New Roman"/>
                <w:bCs/>
                <w:color w:val="auto"/>
                <w:sz w:val="24"/>
                <w:lang w:val="en-US" w:eastAsia="zh-CN"/>
              </w:rPr>
              <w:t>处理后</w:t>
            </w:r>
            <w:r>
              <w:rPr>
                <w:rFonts w:hint="eastAsia" w:cs="Times New Roman"/>
                <w:bCs/>
                <w:color w:val="auto"/>
                <w:sz w:val="24"/>
                <w:lang w:eastAsia="zh-CN"/>
              </w:rPr>
              <w:t>，</w:t>
            </w:r>
            <w:r>
              <w:rPr>
                <w:rFonts w:hint="default" w:ascii="Times New Roman" w:hAnsi="Times New Roman" w:cs="Times New Roman"/>
                <w:bCs/>
                <w:color w:val="auto"/>
                <w:sz w:val="24"/>
              </w:rPr>
              <w:t>排入滑县产业集聚区污水处理厂进行处理，经处理后排放至文革河，最终流入金堤河。</w:t>
            </w:r>
          </w:p>
          <w:p w14:paraId="1B6E043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滑县产业集聚区污水处理厂位于滑县产业集聚区东南部，南五环以南，南六环以北，未来大道以东。其环境影响评价报告已于2014年9月以豫环审（2014）360号文通过河南省环境保护厅的审批。目前已经建设完成，已进行了验收监测。近期设计处理规模3.0万t/d，采用“预处理+合建式倒置A</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O氧化沟＋高效澄清池+滤布滤池+紫外消毒”的污水处理工艺，以及“高脱水电子破壁”的污泥深度脱水工艺。服务范围为：东至东环路、西至大宫河、南至南六环（大广高速快速通道）、北至南一环，范围包括产业集聚区的大部分和锦和新城小区，总面积为22.89平方公里。设计进水水质为PH6-9、COD450mg/L、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200mg/L、SS250mg/L、NH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-N30mg/L、TN40mg/L、TP5mg/L。设计出水水质为《河南省黄河流域水污染物排放标准》（DB41/2087-2021）表1公共污水处理系统水污染物基本控制项目排放限值一级标准，即PH6-9、COD≤40mg/L、BOD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≤6mg/L、SS≤10mg/L、NH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-N≤3（5）mg/L、TN≤12mg/L、TP≤0.4mg/L。</w:t>
            </w:r>
          </w:p>
          <w:p w14:paraId="1EE51CBA">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本项目位于</w:t>
            </w:r>
            <w:r>
              <w:rPr>
                <w:rFonts w:hint="default" w:ascii="Times New Roman" w:hAnsi="Times New Roman" w:cs="Times New Roman"/>
                <w:color w:val="auto"/>
                <w:sz w:val="24"/>
              </w:rPr>
              <w:t>河南省安阳市滑县先进制造业开发区珠江路与古城路交叉口向东50米路南</w:t>
            </w:r>
            <w:r>
              <w:rPr>
                <w:rFonts w:hint="default" w:ascii="Times New Roman" w:hAnsi="Times New Roman" w:cs="Times New Roman"/>
                <w:bCs/>
                <w:color w:val="auto"/>
                <w:sz w:val="24"/>
              </w:rPr>
              <w:t>，位于在滑县产业集聚区污水处理厂的收水范围之内。根据调查，项目所在区域污水管网已铺设，项目废水通过产业集聚区污水管网可排入滑县产业集聚区污水处理厂。</w:t>
            </w:r>
          </w:p>
          <w:p w14:paraId="61C4CA45">
            <w:pPr>
              <w:tabs>
                <w:tab w:val="left" w:pos="3225"/>
              </w:tabs>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宋体" w:cs="Times New Roman"/>
                <w:color w:val="auto"/>
                <w:kern w:val="2"/>
                <w:sz w:val="24"/>
                <w:szCs w:val="24"/>
                <w:lang w:val="en-US" w:eastAsia="zh-CN" w:bidi="ar-SA"/>
              </w:rPr>
              <w:t>本项目废水产生量为1.54m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/d（462m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/a），混合污水水质为：</w:t>
            </w:r>
            <w:r>
              <w:rPr>
                <w:rFonts w:hint="default" w:ascii="Times New Roman" w:hAnsi="Times New Roman" w:eastAsia="宋体" w:cs="Times New Roman"/>
                <w:sz w:val="24"/>
                <w:szCs w:val="24"/>
                <w:lang w:eastAsia="zh-CN"/>
              </w:rPr>
              <w:t>COD92mg/L、BOD</w:t>
            </w:r>
            <w:r>
              <w:rPr>
                <w:rFonts w:hint="default" w:ascii="Times New Roman" w:hAnsi="Times New Roman" w:eastAsia="宋体" w:cs="Times New Roman"/>
                <w:sz w:val="24"/>
                <w:szCs w:val="24"/>
                <w:vertAlign w:val="subscript"/>
                <w:lang w:eastAsia="zh-CN"/>
              </w:rPr>
              <w:t>5</w:t>
            </w:r>
            <w:r>
              <w:rPr>
                <w:rFonts w:hint="default" w:ascii="Times New Roman" w:hAnsi="Times New Roman" w:eastAsia="宋体" w:cs="Times New Roman"/>
                <w:sz w:val="24"/>
                <w:szCs w:val="24"/>
                <w:lang w:eastAsia="zh-CN"/>
              </w:rPr>
              <w:t xml:space="preserve"> 21.5mg/L、SS 34.3mg/L、NH</w:t>
            </w:r>
            <w:r>
              <w:rPr>
                <w:rFonts w:hint="default" w:ascii="Times New Roman" w:hAnsi="Times New Roman" w:eastAsia="宋体" w:cs="Times New Roman"/>
                <w:sz w:val="24"/>
                <w:szCs w:val="24"/>
                <w:vertAlign w:val="subscript"/>
                <w:lang w:eastAsia="zh-CN"/>
              </w:rPr>
              <w:t>3</w:t>
            </w:r>
            <w:r>
              <w:rPr>
                <w:rFonts w:hint="default" w:ascii="Times New Roman" w:hAnsi="Times New Roman" w:eastAsia="宋体" w:cs="Times New Roman"/>
                <w:sz w:val="24"/>
                <w:szCs w:val="24"/>
                <w:lang w:eastAsia="zh-CN"/>
              </w:rPr>
              <w:t>-N 15mg/L、动植物油8.1mg/L</w:t>
            </w:r>
            <w:r>
              <w:rPr>
                <w:rFonts w:hint="default" w:ascii="Times New Roman" w:hAnsi="Times New Roman" w:eastAsia="宋体" w:cs="Times New Roman"/>
                <w:color w:val="auto"/>
                <w:kern w:val="2"/>
                <w:sz w:val="24"/>
                <w:szCs w:val="24"/>
                <w:lang w:val="en-US" w:eastAsia="zh-CN" w:bidi="ar-SA"/>
              </w:rPr>
              <w:t>。可以满</w:t>
            </w:r>
            <w:r>
              <w:rPr>
                <w:rFonts w:hint="default" w:ascii="Times New Roman" w:hAnsi="Times New Roman" w:cs="Times New Roman"/>
                <w:bCs/>
                <w:color w:val="auto"/>
                <w:sz w:val="24"/>
              </w:rPr>
              <w:t>足滑县产业集聚区污水处理厂进水水质要求。根据河南省企业事业单位环境信息公开平台中信息，滑县产业聚集区污水处理厂目前尚未满负荷运行，仍有一定余量</w:t>
            </w:r>
            <w:r>
              <w:rPr>
                <w:rFonts w:hint="default" w:ascii="Times New Roman" w:hAnsi="Times New Roman" w:cs="Times New Roman"/>
                <w:color w:val="auto"/>
                <w:sz w:val="24"/>
              </w:rPr>
              <w:t>（0.7万m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bCs/>
                <w:color w:val="auto"/>
                <w:sz w:val="24"/>
              </w:rPr>
              <w:t>，本项目废水排放量为1.44m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/d，废水排放量少，滑县产业聚集区污水处理厂剩余处理量可以满足项目废水处理需要。</w:t>
            </w:r>
          </w:p>
          <w:p w14:paraId="4A73A3E3">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Cs/>
                <w:color w:val="auto"/>
                <w:sz w:val="24"/>
              </w:rPr>
              <w:t>根据上述分析，本项目位于滑县产业集聚区污水处理厂收水范围内，废水排放浓度满足污水处理厂收水水质要求，废水排放量占污水处理厂剩余处理水量的比例较小，项目废水排入滑县产业集聚区污水处理厂处理可行。</w:t>
            </w:r>
          </w:p>
          <w:p w14:paraId="68D1D3EE">
            <w:pPr>
              <w:pStyle w:val="25"/>
              <w:spacing w:line="520" w:lineRule="exact"/>
              <w:ind w:left="0" w:leftChars="0" w:firstLine="56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3、</w:t>
            </w:r>
            <w:r>
              <w:rPr>
                <w:rFonts w:hint="default" w:ascii="Times New Roman" w:hAnsi="Times New Roman" w:eastAsia="宋体" w:cs="Times New Roman"/>
                <w:color w:val="auto"/>
                <w:lang w:eastAsia="zh-CN"/>
              </w:rPr>
              <w:t>声环境影响分析</w:t>
            </w:r>
          </w:p>
          <w:p w14:paraId="75F14286">
            <w:pPr>
              <w:spacing w:line="560" w:lineRule="exact"/>
              <w:ind w:left="54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3.1噪声源强</w:t>
            </w:r>
            <w:r>
              <w:rPr>
                <w:rFonts w:hint="default" w:ascii="Times New Roman" w:hAnsi="Times New Roman" w:eastAsia="宋体" w:cs="Times New Roman"/>
                <w:color w:val="auto"/>
                <w:sz w:val="24"/>
                <w:lang w:eastAsia="zh-CN"/>
              </w:rPr>
              <w:t>及降噪措施</w:t>
            </w:r>
          </w:p>
          <w:p w14:paraId="3221A632">
            <w:pPr>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主要为</w:t>
            </w:r>
            <w:r>
              <w:rPr>
                <w:rFonts w:hint="default" w:ascii="Times New Roman" w:hAnsi="Times New Roman" w:eastAsia="宋体" w:cs="Times New Roman"/>
                <w:color w:val="auto"/>
                <w:sz w:val="24"/>
                <w:lang w:eastAsia="zh-CN"/>
              </w:rPr>
              <w:t>搅拌机</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多功能制糖机</w:t>
            </w:r>
            <w:r>
              <w:rPr>
                <w:rFonts w:hint="default" w:ascii="Times New Roman" w:hAnsi="Times New Roman" w:eastAsia="宋体" w:cs="Times New Roman"/>
                <w:color w:val="auto"/>
                <w:sz w:val="24"/>
              </w:rPr>
              <w:t>等设备在运行过程中产生的噪声，噪声源强在75dB(A)～9</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dB(A)之间。建议在噪声较大的机械设备上安装减震垫，经治理后主要高噪声设备源强见表</w:t>
            </w:r>
            <w:r>
              <w:rPr>
                <w:rFonts w:hint="default" w:ascii="Times New Roman" w:hAnsi="Times New Roman" w:eastAsia="宋体" w:cs="Times New Roman"/>
                <w:color w:val="auto"/>
                <w:sz w:val="24"/>
                <w:lang w:val="en-US" w:eastAsia="zh-CN"/>
              </w:rPr>
              <w:t>4-1</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rPr>
              <w:t>。</w:t>
            </w:r>
          </w:p>
          <w:p w14:paraId="44EAEEB4">
            <w:pPr>
              <w:spacing w:line="460" w:lineRule="exact"/>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val="en-US" w:eastAsia="zh-CN"/>
              </w:rPr>
              <w:t>4-1</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rPr>
              <w:t xml:space="preserve"> 主要高噪声设备源强</w:t>
            </w:r>
          </w:p>
          <w:tbl>
            <w:tblPr>
              <w:tblStyle w:val="19"/>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160"/>
              <w:gridCol w:w="2445"/>
              <w:gridCol w:w="1868"/>
            </w:tblGrid>
            <w:tr w14:paraId="6869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85" w:type="dxa"/>
                  <w:noWrap w:val="0"/>
                  <w:vAlign w:val="center"/>
                </w:tcPr>
                <w:p w14:paraId="1F46FB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tc>
              <w:tc>
                <w:tcPr>
                  <w:tcW w:w="2160" w:type="dxa"/>
                  <w:noWrap w:val="0"/>
                  <w:vAlign w:val="center"/>
                </w:tcPr>
                <w:p w14:paraId="1DE0E2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治理前设备声源dB(A)</w:t>
                  </w:r>
                </w:p>
              </w:tc>
              <w:tc>
                <w:tcPr>
                  <w:tcW w:w="2445" w:type="dxa"/>
                  <w:noWrap w:val="0"/>
                  <w:vAlign w:val="center"/>
                </w:tcPr>
                <w:p w14:paraId="4FB260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治理后设备声源值dB(A)</w:t>
                  </w:r>
                </w:p>
              </w:tc>
              <w:tc>
                <w:tcPr>
                  <w:tcW w:w="1868" w:type="dxa"/>
                  <w:noWrap w:val="0"/>
                  <w:vAlign w:val="center"/>
                </w:tcPr>
                <w:p w14:paraId="05E2C8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r>
            <w:tr w14:paraId="4317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985" w:type="dxa"/>
                  <w:noWrap w:val="0"/>
                  <w:vAlign w:val="center"/>
                </w:tcPr>
                <w:p w14:paraId="5566D9D9">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搅拌机</w:t>
                  </w:r>
                </w:p>
              </w:tc>
              <w:tc>
                <w:tcPr>
                  <w:tcW w:w="2160" w:type="dxa"/>
                  <w:noWrap w:val="0"/>
                  <w:vAlign w:val="center"/>
                </w:tcPr>
                <w:p w14:paraId="42475726">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75～9</w:t>
                  </w:r>
                  <w:r>
                    <w:rPr>
                      <w:rFonts w:hint="default" w:ascii="Times New Roman" w:hAnsi="Times New Roman" w:eastAsia="宋体" w:cs="Times New Roman"/>
                      <w:color w:val="auto"/>
                      <w:sz w:val="21"/>
                      <w:szCs w:val="21"/>
                      <w:lang w:val="en-US" w:eastAsia="zh-CN"/>
                    </w:rPr>
                    <w:t>0</w:t>
                  </w:r>
                </w:p>
              </w:tc>
              <w:tc>
                <w:tcPr>
                  <w:tcW w:w="2445" w:type="dxa"/>
                  <w:noWrap w:val="0"/>
                  <w:vAlign w:val="center"/>
                </w:tcPr>
                <w:p w14:paraId="50105E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w:t>
                  </w:r>
                  <w:r>
                    <w:rPr>
                      <w:rFonts w:hint="default" w:ascii="Times New Roman" w:hAnsi="Times New Roman" w:eastAsia="宋体" w:cs="Times New Roman"/>
                      <w:color w:val="auto"/>
                      <w:sz w:val="21"/>
                      <w:szCs w:val="21"/>
                      <w:lang w:val="en-US" w:eastAsia="zh-CN"/>
                    </w:rPr>
                    <w:t>75</w:t>
                  </w:r>
                </w:p>
              </w:tc>
              <w:tc>
                <w:tcPr>
                  <w:tcW w:w="1868" w:type="dxa"/>
                  <w:vMerge w:val="restart"/>
                  <w:noWrap w:val="0"/>
                  <w:vAlign w:val="center"/>
                </w:tcPr>
                <w:p w14:paraId="4B6245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减振垫减振</w:t>
                  </w:r>
                </w:p>
              </w:tc>
            </w:tr>
            <w:tr w14:paraId="3BC1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985" w:type="dxa"/>
                  <w:noWrap w:val="0"/>
                  <w:vAlign w:val="center"/>
                </w:tcPr>
                <w:p w14:paraId="55AEF39A">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多功能制糖机</w:t>
                  </w:r>
                </w:p>
              </w:tc>
              <w:tc>
                <w:tcPr>
                  <w:tcW w:w="2160" w:type="dxa"/>
                  <w:noWrap w:val="0"/>
                  <w:vAlign w:val="center"/>
                </w:tcPr>
                <w:p w14:paraId="48E5A5A6">
                  <w:pPr>
                    <w:jc w:val="center"/>
                    <w:rPr>
                      <w:rFonts w:hint="default" w:ascii="Times New Roman" w:hAnsi="Times New Roman" w:eastAsia="宋体" w:cs="Times New Roman"/>
                      <w:color w:val="auto"/>
                      <w:sz w:val="21"/>
                      <w:szCs w:val="21"/>
                    </w:rPr>
                  </w:pPr>
                  <w:bookmarkStart w:id="3" w:name="OLE_LINK2"/>
                  <w:bookmarkStart w:id="4" w:name="OLE_LINK1"/>
                  <w:r>
                    <w:rPr>
                      <w:rFonts w:hint="default" w:ascii="Times New Roman" w:hAnsi="Times New Roman" w:eastAsia="宋体" w:cs="Times New Roman"/>
                      <w:color w:val="auto"/>
                      <w:sz w:val="21"/>
                      <w:szCs w:val="21"/>
                    </w:rPr>
                    <w:t>75～</w:t>
                  </w:r>
                  <w:bookmarkEnd w:id="3"/>
                  <w:bookmarkEnd w:id="4"/>
                  <w:r>
                    <w:rPr>
                      <w:rFonts w:hint="default" w:ascii="Times New Roman" w:hAnsi="Times New Roman" w:eastAsia="宋体" w:cs="Times New Roman"/>
                      <w:color w:val="auto"/>
                      <w:sz w:val="21"/>
                      <w:szCs w:val="21"/>
                    </w:rPr>
                    <w:t>90</w:t>
                  </w:r>
                </w:p>
              </w:tc>
              <w:tc>
                <w:tcPr>
                  <w:tcW w:w="2445" w:type="dxa"/>
                  <w:noWrap w:val="0"/>
                  <w:vAlign w:val="center"/>
                </w:tcPr>
                <w:p w14:paraId="2A3A2E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55～60</w:t>
                  </w:r>
                </w:p>
              </w:tc>
              <w:tc>
                <w:tcPr>
                  <w:tcW w:w="1868" w:type="dxa"/>
                  <w:vMerge w:val="continue"/>
                  <w:noWrap w:val="0"/>
                  <w:vAlign w:val="center"/>
                </w:tcPr>
                <w:p w14:paraId="36F7A126">
                  <w:pPr>
                    <w:jc w:val="center"/>
                    <w:rPr>
                      <w:rFonts w:hint="default" w:ascii="Times New Roman" w:hAnsi="Times New Roman" w:eastAsia="宋体" w:cs="Times New Roman"/>
                      <w:color w:val="auto"/>
                      <w:sz w:val="24"/>
                    </w:rPr>
                  </w:pPr>
                </w:p>
              </w:tc>
            </w:tr>
          </w:tbl>
          <w:p w14:paraId="0639844C">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3.2预测内容</w:t>
            </w:r>
          </w:p>
          <w:p w14:paraId="3D13F91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声环境》（HJ2.4-2021）要求，本次评价声环境质量预测范围为拟建厂区四周厂界。据本工程厂区平面布置图，本次评价在厂址四周厂界各设1个预测点，根据HJ2.4-2021中声级预测模式进行预测。</w:t>
            </w:r>
          </w:p>
          <w:p w14:paraId="574BA95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建设项目声源在预测点产生的等效声级贡献值（Leqg）计算公式：</w:t>
            </w:r>
          </w:p>
          <w:p w14:paraId="04241F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1555750" cy="266065"/>
                  <wp:effectExtent l="0" t="0" r="6350" b="635"/>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0"/>
                          <a:stretch>
                            <a:fillRect/>
                          </a:stretch>
                        </pic:blipFill>
                        <pic:spPr>
                          <a:xfrm>
                            <a:off x="0" y="0"/>
                            <a:ext cx="1555750" cy="266065"/>
                          </a:xfrm>
                          <a:prstGeom prst="rect">
                            <a:avLst/>
                          </a:prstGeom>
                          <a:noFill/>
                          <a:ln>
                            <a:noFill/>
                          </a:ln>
                        </pic:spPr>
                      </pic:pic>
                    </a:graphicData>
                  </a:graphic>
                </wp:inline>
              </w:drawing>
            </w:r>
          </w:p>
          <w:p w14:paraId="2FF058F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式中：Leqg—建设项目声源在预测点的等效声级贡献值，dB(A)；</w:t>
            </w:r>
          </w:p>
          <w:p w14:paraId="220D00B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LAi—声源在预测点产生的A声级，dB(A)；T—预测计算的时间段，s；</w:t>
            </w:r>
          </w:p>
          <w:p w14:paraId="4541AFC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ti-i声源在T时段内的运行时间，s。</w:t>
            </w:r>
          </w:p>
          <w:p w14:paraId="5CEFA79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（1）高噪声源衰减分析方法噪声衰减计算公式为：</w:t>
            </w:r>
          </w:p>
          <w:p w14:paraId="59802DE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Lr=L0-20logr/r0</w:t>
            </w:r>
          </w:p>
          <w:p w14:paraId="4298380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式中：Lr——距噪声源距离为r处声级值，[dB(A)]；L0——距噪声源距离为r0处声级值，[dB(A)]；</w:t>
            </w:r>
          </w:p>
          <w:p w14:paraId="46A4AB6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r——关心点距噪声源距离，m；r0——距噪声源距离，r0取1m。</w:t>
            </w:r>
          </w:p>
          <w:p w14:paraId="61BC574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（2）噪声源叠加影响分析方法</w:t>
            </w:r>
          </w:p>
          <w:p w14:paraId="55DB9CF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当预测点受多声源叠加影响时，采用噪声叠加公式：</w:t>
            </w:r>
          </w:p>
          <w:p w14:paraId="7A652FC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1280160" cy="437515"/>
                  <wp:effectExtent l="0" t="0" r="15240" b="635"/>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1"/>
                          <a:stretch>
                            <a:fillRect/>
                          </a:stretch>
                        </pic:blipFill>
                        <pic:spPr>
                          <a:xfrm>
                            <a:off x="0" y="0"/>
                            <a:ext cx="1280160" cy="437515"/>
                          </a:xfrm>
                          <a:prstGeom prst="rect">
                            <a:avLst/>
                          </a:prstGeom>
                          <a:noFill/>
                          <a:ln>
                            <a:noFill/>
                          </a:ln>
                        </pic:spPr>
                      </pic:pic>
                    </a:graphicData>
                  </a:graphic>
                </wp:inline>
              </w:drawing>
            </w:r>
          </w:p>
          <w:p w14:paraId="01ABCCA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式中：L——总声压级，[dB(A)]；</w:t>
            </w:r>
          </w:p>
          <w:p w14:paraId="0ACC27F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Li——第i个声源的声压级，[dB(A)]；</w:t>
            </w:r>
          </w:p>
          <w:p w14:paraId="4EF245F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n——声源数量。</w:t>
            </w:r>
          </w:p>
          <w:p w14:paraId="646F7382">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3.3预测结果及评价</w:t>
            </w:r>
          </w:p>
          <w:p w14:paraId="31603CA2">
            <w:pPr>
              <w:spacing w:line="56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本项目实行每天8小时工作制度，夜间不生产，选用点源衰减模式和噪声合成模式进行预测，厂界噪声值预测结果见表</w:t>
            </w:r>
            <w:r>
              <w:rPr>
                <w:rFonts w:hint="default" w:ascii="Times New Roman" w:hAnsi="Times New Roman" w:eastAsia="宋体" w:cs="Times New Roman"/>
                <w:color w:val="auto"/>
                <w:sz w:val="24"/>
                <w:lang w:val="en-US" w:eastAsia="zh-CN"/>
              </w:rPr>
              <w:t>4-1</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w:t>
            </w:r>
          </w:p>
          <w:p w14:paraId="534831A0">
            <w:pPr>
              <w:spacing w:line="560" w:lineRule="exact"/>
              <w:ind w:firstLine="470" w:firstLineChars="196"/>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val="en-US" w:eastAsia="zh-CN"/>
              </w:rPr>
              <w:t>4-1</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 xml:space="preserve">  厂界噪声预测结果一览表                                </w:t>
            </w:r>
          </w:p>
          <w:tbl>
            <w:tblPr>
              <w:tblStyle w:val="19"/>
              <w:tblW w:w="8280" w:type="dxa"/>
              <w:tblInd w:w="5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325"/>
              <w:gridCol w:w="1513"/>
              <w:gridCol w:w="1706"/>
            </w:tblGrid>
            <w:tr w14:paraId="7EAF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736" w:type="dxa"/>
                  <w:tcBorders>
                    <w:top w:val="single" w:color="auto" w:sz="4" w:space="0"/>
                    <w:left w:val="single" w:color="auto" w:sz="4" w:space="0"/>
                    <w:bottom w:val="single" w:color="auto" w:sz="4" w:space="0"/>
                    <w:tl2br w:val="single" w:color="auto" w:sz="4" w:space="0"/>
                  </w:tcBorders>
                  <w:noWrap w:val="0"/>
                  <w:vAlign w:val="bottom"/>
                </w:tcPr>
                <w:p w14:paraId="5B45EF51">
                  <w:pPr>
                    <w:ind w:right="56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项目</w:t>
                  </w:r>
                </w:p>
                <w:p w14:paraId="142F560C">
                  <w:pPr>
                    <w:ind w:right="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2325" w:type="dxa"/>
                  <w:tcBorders>
                    <w:top w:val="single" w:color="auto" w:sz="4" w:space="0"/>
                    <w:bottom w:val="single" w:color="auto" w:sz="4" w:space="0"/>
                    <w:right w:val="single" w:color="auto" w:sz="4" w:space="0"/>
                  </w:tcBorders>
                  <w:noWrap w:val="0"/>
                  <w:vAlign w:val="center"/>
                </w:tcPr>
                <w:p w14:paraId="6C3161ED">
                  <w:pPr>
                    <w:spacing w:line="4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预测值dB(A)</w:t>
                  </w:r>
                </w:p>
              </w:tc>
              <w:tc>
                <w:tcPr>
                  <w:tcW w:w="1513" w:type="dxa"/>
                  <w:tcBorders>
                    <w:top w:val="single" w:color="auto" w:sz="4" w:space="0"/>
                    <w:left w:val="single" w:color="auto" w:sz="4" w:space="0"/>
                    <w:bottom w:val="single" w:color="auto" w:sz="4" w:space="0"/>
                    <w:right w:val="single" w:color="auto" w:sz="4" w:space="0"/>
                  </w:tcBorders>
                  <w:noWrap w:val="0"/>
                  <w:vAlign w:val="center"/>
                </w:tcPr>
                <w:p w14:paraId="2EB118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标准dB(A)</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7B67C2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达标分析</w:t>
                  </w:r>
                </w:p>
              </w:tc>
            </w:tr>
            <w:tr w14:paraId="726B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736" w:type="dxa"/>
                  <w:tcBorders>
                    <w:left w:val="single" w:color="auto" w:sz="4" w:space="0"/>
                  </w:tcBorders>
                  <w:noWrap w:val="0"/>
                  <w:vAlign w:val="center"/>
                </w:tcPr>
                <w:p w14:paraId="4B3E39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东厂界</w:t>
                  </w:r>
                </w:p>
              </w:tc>
              <w:tc>
                <w:tcPr>
                  <w:tcW w:w="2325" w:type="dxa"/>
                  <w:tcBorders>
                    <w:right w:val="single" w:color="auto" w:sz="4" w:space="0"/>
                  </w:tcBorders>
                  <w:noWrap w:val="0"/>
                  <w:vAlign w:val="center"/>
                </w:tcPr>
                <w:p w14:paraId="5BBFC91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45～55</w:t>
                  </w:r>
                </w:p>
              </w:tc>
              <w:tc>
                <w:tcPr>
                  <w:tcW w:w="1513" w:type="dxa"/>
                  <w:vMerge w:val="restart"/>
                  <w:tcBorders>
                    <w:left w:val="single" w:color="auto" w:sz="4" w:space="0"/>
                    <w:right w:val="single" w:color="auto" w:sz="4" w:space="0"/>
                  </w:tcBorders>
                  <w:noWrap w:val="0"/>
                  <w:vAlign w:val="center"/>
                </w:tcPr>
                <w:p w14:paraId="058654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昼间65</w:t>
                  </w:r>
                </w:p>
                <w:p w14:paraId="72B6BED0">
                  <w:pPr>
                    <w:ind w:firstLine="210" w:firstLineChars="100"/>
                    <w:rPr>
                      <w:rFonts w:hint="default" w:ascii="Times New Roman" w:hAnsi="Times New Roman" w:eastAsia="宋体" w:cs="Times New Roman"/>
                      <w:color w:val="auto"/>
                      <w:sz w:val="21"/>
                      <w:szCs w:val="21"/>
                    </w:rPr>
                  </w:pPr>
                </w:p>
              </w:tc>
              <w:tc>
                <w:tcPr>
                  <w:tcW w:w="1706" w:type="dxa"/>
                  <w:tcBorders>
                    <w:left w:val="single" w:color="auto" w:sz="4" w:space="0"/>
                    <w:right w:val="single" w:color="auto" w:sz="4" w:space="0"/>
                  </w:tcBorders>
                  <w:noWrap w:val="0"/>
                  <w:vAlign w:val="center"/>
                </w:tcPr>
                <w:p w14:paraId="2A2598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D59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736" w:type="dxa"/>
                  <w:tcBorders>
                    <w:left w:val="single" w:color="auto" w:sz="4" w:space="0"/>
                  </w:tcBorders>
                  <w:noWrap w:val="0"/>
                  <w:vAlign w:val="center"/>
                </w:tcPr>
                <w:p w14:paraId="181CAC0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南厂界</w:t>
                  </w:r>
                </w:p>
              </w:tc>
              <w:tc>
                <w:tcPr>
                  <w:tcW w:w="2325" w:type="dxa"/>
                  <w:tcBorders>
                    <w:right w:val="single" w:color="auto" w:sz="4" w:space="0"/>
                  </w:tcBorders>
                  <w:noWrap w:val="0"/>
                  <w:vAlign w:val="center"/>
                </w:tcPr>
                <w:p w14:paraId="5B912E3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46～57</w:t>
                  </w:r>
                </w:p>
              </w:tc>
              <w:tc>
                <w:tcPr>
                  <w:tcW w:w="1513" w:type="dxa"/>
                  <w:vMerge w:val="continue"/>
                  <w:tcBorders>
                    <w:left w:val="single" w:color="auto" w:sz="4" w:space="0"/>
                    <w:right w:val="single" w:color="auto" w:sz="4" w:space="0"/>
                  </w:tcBorders>
                  <w:noWrap w:val="0"/>
                  <w:vAlign w:val="center"/>
                </w:tcPr>
                <w:p w14:paraId="6737DDD9">
                  <w:pPr>
                    <w:jc w:val="center"/>
                    <w:rPr>
                      <w:rFonts w:hint="default" w:ascii="Times New Roman" w:hAnsi="Times New Roman" w:eastAsia="宋体" w:cs="Times New Roman"/>
                      <w:color w:val="auto"/>
                      <w:sz w:val="21"/>
                      <w:szCs w:val="21"/>
                    </w:rPr>
                  </w:pPr>
                </w:p>
              </w:tc>
              <w:tc>
                <w:tcPr>
                  <w:tcW w:w="1706" w:type="dxa"/>
                  <w:tcBorders>
                    <w:left w:val="single" w:color="auto" w:sz="4" w:space="0"/>
                    <w:right w:val="single" w:color="auto" w:sz="4" w:space="0"/>
                  </w:tcBorders>
                  <w:noWrap w:val="0"/>
                  <w:vAlign w:val="center"/>
                </w:tcPr>
                <w:p w14:paraId="5F0342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67B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736" w:type="dxa"/>
                  <w:tcBorders>
                    <w:left w:val="single" w:color="auto" w:sz="4" w:space="0"/>
                  </w:tcBorders>
                  <w:noWrap w:val="0"/>
                  <w:vAlign w:val="center"/>
                </w:tcPr>
                <w:p w14:paraId="42F671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西厂界</w:t>
                  </w:r>
                </w:p>
              </w:tc>
              <w:tc>
                <w:tcPr>
                  <w:tcW w:w="2325" w:type="dxa"/>
                  <w:tcBorders>
                    <w:right w:val="single" w:color="auto" w:sz="4" w:space="0"/>
                  </w:tcBorders>
                  <w:noWrap w:val="0"/>
                  <w:vAlign w:val="center"/>
                </w:tcPr>
                <w:p w14:paraId="0323CB1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47～</w:t>
                  </w:r>
                  <w:r>
                    <w:rPr>
                      <w:rFonts w:hint="eastAsia" w:cs="Times New Roman"/>
                      <w:color w:val="auto"/>
                      <w:sz w:val="21"/>
                      <w:szCs w:val="21"/>
                      <w:lang w:val="en-US" w:eastAsia="zh-CN"/>
                    </w:rPr>
                    <w:t>59</w:t>
                  </w:r>
                </w:p>
              </w:tc>
              <w:tc>
                <w:tcPr>
                  <w:tcW w:w="1513" w:type="dxa"/>
                  <w:vMerge w:val="continue"/>
                  <w:tcBorders>
                    <w:left w:val="single" w:color="auto" w:sz="4" w:space="0"/>
                    <w:right w:val="single" w:color="auto" w:sz="4" w:space="0"/>
                  </w:tcBorders>
                  <w:noWrap w:val="0"/>
                  <w:vAlign w:val="center"/>
                </w:tcPr>
                <w:p w14:paraId="4716DAAA">
                  <w:pPr>
                    <w:jc w:val="center"/>
                    <w:rPr>
                      <w:rFonts w:hint="default" w:ascii="Times New Roman" w:hAnsi="Times New Roman" w:eastAsia="宋体" w:cs="Times New Roman"/>
                      <w:color w:val="auto"/>
                      <w:sz w:val="21"/>
                      <w:szCs w:val="21"/>
                    </w:rPr>
                  </w:pPr>
                </w:p>
              </w:tc>
              <w:tc>
                <w:tcPr>
                  <w:tcW w:w="1706" w:type="dxa"/>
                  <w:tcBorders>
                    <w:left w:val="single" w:color="auto" w:sz="4" w:space="0"/>
                    <w:right w:val="single" w:color="auto" w:sz="4" w:space="0"/>
                  </w:tcBorders>
                  <w:noWrap w:val="0"/>
                  <w:vAlign w:val="center"/>
                </w:tcPr>
                <w:p w14:paraId="697544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F62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736" w:type="dxa"/>
                  <w:tcBorders>
                    <w:left w:val="single" w:color="auto" w:sz="4" w:space="0"/>
                  </w:tcBorders>
                  <w:noWrap w:val="0"/>
                  <w:vAlign w:val="center"/>
                </w:tcPr>
                <w:p w14:paraId="629F98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北厂界</w:t>
                  </w:r>
                </w:p>
              </w:tc>
              <w:tc>
                <w:tcPr>
                  <w:tcW w:w="2325" w:type="dxa"/>
                  <w:tcBorders>
                    <w:right w:val="single" w:color="auto" w:sz="4" w:space="0"/>
                  </w:tcBorders>
                  <w:noWrap w:val="0"/>
                  <w:vAlign w:val="center"/>
                </w:tcPr>
                <w:p w14:paraId="02AE85CA">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48～6</w:t>
                  </w:r>
                  <w:r>
                    <w:rPr>
                      <w:rFonts w:hint="eastAsia" w:cs="Times New Roman"/>
                      <w:color w:val="auto"/>
                      <w:sz w:val="21"/>
                      <w:szCs w:val="21"/>
                      <w:lang w:val="en-US" w:eastAsia="zh-CN"/>
                    </w:rPr>
                    <w:t>2</w:t>
                  </w:r>
                </w:p>
              </w:tc>
              <w:tc>
                <w:tcPr>
                  <w:tcW w:w="1513" w:type="dxa"/>
                  <w:vMerge w:val="continue"/>
                  <w:tcBorders>
                    <w:left w:val="single" w:color="auto" w:sz="4" w:space="0"/>
                    <w:right w:val="single" w:color="auto" w:sz="4" w:space="0"/>
                  </w:tcBorders>
                  <w:noWrap w:val="0"/>
                  <w:vAlign w:val="center"/>
                </w:tcPr>
                <w:p w14:paraId="7C72A3CF">
                  <w:pPr>
                    <w:jc w:val="center"/>
                    <w:rPr>
                      <w:rFonts w:hint="default" w:ascii="Times New Roman" w:hAnsi="Times New Roman" w:eastAsia="宋体" w:cs="Times New Roman"/>
                      <w:color w:val="auto"/>
                      <w:sz w:val="21"/>
                      <w:szCs w:val="21"/>
                    </w:rPr>
                  </w:pPr>
                </w:p>
              </w:tc>
              <w:tc>
                <w:tcPr>
                  <w:tcW w:w="1706" w:type="dxa"/>
                  <w:tcBorders>
                    <w:left w:val="single" w:color="auto" w:sz="4" w:space="0"/>
                    <w:right w:val="single" w:color="auto" w:sz="4" w:space="0"/>
                  </w:tcBorders>
                  <w:noWrap w:val="0"/>
                  <w:vAlign w:val="center"/>
                </w:tcPr>
                <w:p w14:paraId="12B690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03A32CA1">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由上表可知，项目运营后厂界噪声值可达到《工业企业厂界环境噪声排放标准》（GB12348-2008）3类标准，对周围环境影响很小。</w:t>
            </w:r>
          </w:p>
          <w:p w14:paraId="41A3211D">
            <w:pPr>
              <w:pStyle w:val="17"/>
              <w:keepNext w:val="0"/>
              <w:keepLines w:val="0"/>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3.4 自行监测要求</w:t>
            </w:r>
          </w:p>
          <w:p w14:paraId="1C9EE522">
            <w:pPr>
              <w:pStyle w:val="17"/>
              <w:keepNext w:val="0"/>
              <w:keepLines w:val="0"/>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根据《排污单位自行监测技术指南 总则》（HJ819-2017）可知，本项目噪声检测频次统计见表</w:t>
            </w:r>
            <w:r>
              <w:rPr>
                <w:rFonts w:hint="default" w:ascii="Times New Roman" w:hAnsi="Times New Roman" w:eastAsia="宋体" w:cs="Times New Roman"/>
                <w:color w:val="auto"/>
                <w:sz w:val="24"/>
                <w:szCs w:val="24"/>
                <w:lang w:val="en-US" w:eastAsia="zh-CN"/>
              </w:rPr>
              <w:t>4-1</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p w14:paraId="289AB953">
            <w:pPr>
              <w:pStyle w:val="17"/>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4-1</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本项目噪声监测要求一览表</w:t>
            </w:r>
          </w:p>
          <w:tbl>
            <w:tblPr>
              <w:tblStyle w:val="20"/>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511"/>
              <w:gridCol w:w="1425"/>
              <w:gridCol w:w="1515"/>
              <w:gridCol w:w="3546"/>
            </w:tblGrid>
            <w:tr w14:paraId="0FF4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14:paraId="0F773F04">
                  <w:pPr>
                    <w:pStyle w:val="17"/>
                    <w:keepNext w:val="0"/>
                    <w:keepLines w:val="0"/>
                    <w:pageBreakBefore w:val="0"/>
                    <w:widowControl/>
                    <w:kinsoku/>
                    <w:wordWrap/>
                    <w:overflowPunct/>
                    <w:topLinePunct w:val="0"/>
                    <w:autoSpaceDE/>
                    <w:autoSpaceDN/>
                    <w:bidi w:val="0"/>
                    <w:adjustRightInd/>
                    <w:snapToGrid w:val="0"/>
                    <w:spacing w:line="260" w:lineRule="auto"/>
                    <w:ind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1511" w:type="dxa"/>
                  <w:vAlign w:val="center"/>
                </w:tcPr>
                <w:p w14:paraId="1BF2A04E">
                  <w:pPr>
                    <w:pStyle w:val="17"/>
                    <w:keepNext w:val="0"/>
                    <w:keepLines w:val="0"/>
                    <w:pageBreakBefore w:val="0"/>
                    <w:widowControl/>
                    <w:kinsoku/>
                    <w:wordWrap/>
                    <w:overflowPunct/>
                    <w:topLinePunct w:val="0"/>
                    <w:autoSpaceDE/>
                    <w:autoSpaceDN/>
                    <w:bidi w:val="0"/>
                    <w:adjustRightInd/>
                    <w:snapToGrid w:val="0"/>
                    <w:spacing w:line="260" w:lineRule="auto"/>
                    <w:ind w:right="0"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监测点位</w:t>
                  </w:r>
                </w:p>
              </w:tc>
              <w:tc>
                <w:tcPr>
                  <w:tcW w:w="1425" w:type="dxa"/>
                  <w:vAlign w:val="center"/>
                </w:tcPr>
                <w:p w14:paraId="0161C1D1">
                  <w:pPr>
                    <w:pStyle w:val="17"/>
                    <w:keepNext w:val="0"/>
                    <w:keepLines w:val="0"/>
                    <w:pageBreakBefore w:val="0"/>
                    <w:widowControl/>
                    <w:kinsoku/>
                    <w:wordWrap/>
                    <w:overflowPunct/>
                    <w:topLinePunct w:val="0"/>
                    <w:autoSpaceDE/>
                    <w:autoSpaceDN/>
                    <w:bidi w:val="0"/>
                    <w:adjustRightInd/>
                    <w:snapToGrid w:val="0"/>
                    <w:spacing w:line="260" w:lineRule="auto"/>
                    <w:ind w:right="0"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监测因子</w:t>
                  </w:r>
                </w:p>
              </w:tc>
              <w:tc>
                <w:tcPr>
                  <w:tcW w:w="1515" w:type="dxa"/>
                  <w:vAlign w:val="center"/>
                </w:tcPr>
                <w:p w14:paraId="31805A46">
                  <w:pPr>
                    <w:pStyle w:val="17"/>
                    <w:keepNext w:val="0"/>
                    <w:keepLines w:val="0"/>
                    <w:pageBreakBefore w:val="0"/>
                    <w:widowControl/>
                    <w:kinsoku/>
                    <w:wordWrap/>
                    <w:overflowPunct/>
                    <w:topLinePunct w:val="0"/>
                    <w:autoSpaceDE/>
                    <w:autoSpaceDN/>
                    <w:bidi w:val="0"/>
                    <w:adjustRightInd/>
                    <w:snapToGrid w:val="0"/>
                    <w:spacing w:line="260" w:lineRule="auto"/>
                    <w:ind w:right="0"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监测频次</w:t>
                  </w:r>
                </w:p>
              </w:tc>
              <w:tc>
                <w:tcPr>
                  <w:tcW w:w="3546" w:type="dxa"/>
                  <w:vAlign w:val="center"/>
                </w:tcPr>
                <w:p w14:paraId="02662D7C">
                  <w:pPr>
                    <w:pStyle w:val="17"/>
                    <w:keepNext w:val="0"/>
                    <w:keepLines w:val="0"/>
                    <w:pageBreakBefore w:val="0"/>
                    <w:widowControl/>
                    <w:kinsoku/>
                    <w:wordWrap/>
                    <w:overflowPunct/>
                    <w:topLinePunct w:val="0"/>
                    <w:autoSpaceDE/>
                    <w:autoSpaceDN/>
                    <w:bidi w:val="0"/>
                    <w:adjustRightInd/>
                    <w:snapToGrid w:val="0"/>
                    <w:spacing w:line="260" w:lineRule="auto"/>
                    <w:ind w:right="0"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排放标准</w:t>
                  </w:r>
                </w:p>
              </w:tc>
            </w:tr>
            <w:tr w14:paraId="21BE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14:paraId="012FA0C2">
                  <w:pPr>
                    <w:pStyle w:val="17"/>
                    <w:keepNext w:val="0"/>
                    <w:keepLines w:val="0"/>
                    <w:pageBreakBefore w:val="0"/>
                    <w:widowControl/>
                    <w:kinsoku/>
                    <w:wordWrap/>
                    <w:overflowPunct/>
                    <w:topLinePunct w:val="0"/>
                    <w:autoSpaceDE/>
                    <w:autoSpaceDN/>
                    <w:bidi w:val="0"/>
                    <w:adjustRightInd/>
                    <w:snapToGrid w:val="0"/>
                    <w:spacing w:line="260" w:lineRule="auto"/>
                    <w:ind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511" w:type="dxa"/>
                  <w:vAlign w:val="center"/>
                </w:tcPr>
                <w:p w14:paraId="314D4712">
                  <w:pPr>
                    <w:pStyle w:val="17"/>
                    <w:keepNext w:val="0"/>
                    <w:keepLines w:val="0"/>
                    <w:pageBreakBefore w:val="0"/>
                    <w:widowControl/>
                    <w:kinsoku/>
                    <w:wordWrap/>
                    <w:overflowPunct/>
                    <w:topLinePunct w:val="0"/>
                    <w:autoSpaceDE/>
                    <w:autoSpaceDN/>
                    <w:bidi w:val="0"/>
                    <w:adjustRightInd/>
                    <w:snapToGrid w:val="0"/>
                    <w:spacing w:line="260" w:lineRule="auto"/>
                    <w:ind w:right="0"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厂界四周</w:t>
                  </w:r>
                </w:p>
              </w:tc>
              <w:tc>
                <w:tcPr>
                  <w:tcW w:w="1425" w:type="dxa"/>
                  <w:vAlign w:val="center"/>
                </w:tcPr>
                <w:p w14:paraId="160FF518">
                  <w:pPr>
                    <w:pStyle w:val="17"/>
                    <w:keepNext w:val="0"/>
                    <w:keepLines w:val="0"/>
                    <w:pageBreakBefore w:val="0"/>
                    <w:widowControl/>
                    <w:kinsoku/>
                    <w:wordWrap/>
                    <w:overflowPunct/>
                    <w:topLinePunct w:val="0"/>
                    <w:autoSpaceDE/>
                    <w:autoSpaceDN/>
                    <w:bidi w:val="0"/>
                    <w:adjustRightInd/>
                    <w:snapToGrid w:val="0"/>
                    <w:spacing w:line="260" w:lineRule="auto"/>
                    <w:ind w:right="0"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噪声</w:t>
                  </w:r>
                </w:p>
              </w:tc>
              <w:tc>
                <w:tcPr>
                  <w:tcW w:w="1515" w:type="dxa"/>
                  <w:vAlign w:val="center"/>
                </w:tcPr>
                <w:p w14:paraId="39030D0A">
                  <w:pPr>
                    <w:pStyle w:val="17"/>
                    <w:keepNext w:val="0"/>
                    <w:keepLines w:val="0"/>
                    <w:pageBreakBefore w:val="0"/>
                    <w:widowControl/>
                    <w:kinsoku/>
                    <w:wordWrap/>
                    <w:overflowPunct/>
                    <w:topLinePunct w:val="0"/>
                    <w:autoSpaceDE/>
                    <w:autoSpaceDN/>
                    <w:bidi w:val="0"/>
                    <w:adjustRightInd/>
                    <w:snapToGrid w:val="0"/>
                    <w:spacing w:line="260" w:lineRule="auto"/>
                    <w:ind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1次/季度</w:t>
                  </w:r>
                </w:p>
              </w:tc>
              <w:tc>
                <w:tcPr>
                  <w:tcW w:w="3546" w:type="dxa"/>
                  <w:vAlign w:val="center"/>
                </w:tcPr>
                <w:p w14:paraId="70D5DA87">
                  <w:pPr>
                    <w:pStyle w:val="17"/>
                    <w:keepNext w:val="0"/>
                    <w:keepLines w:val="0"/>
                    <w:pageBreakBefore w:val="0"/>
                    <w:widowControl/>
                    <w:kinsoku/>
                    <w:wordWrap/>
                    <w:overflowPunct/>
                    <w:topLinePunct w:val="0"/>
                    <w:autoSpaceDE/>
                    <w:autoSpaceDN/>
                    <w:bidi w:val="0"/>
                    <w:adjustRightInd/>
                    <w:snapToGrid w:val="0"/>
                    <w:spacing w:line="2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《工业企业厂界环境噪声排放标准》（GB12348-2008）3 类标准</w:t>
                  </w:r>
                </w:p>
              </w:tc>
            </w:tr>
          </w:tbl>
          <w:p w14:paraId="51356B7C">
            <w:pPr>
              <w:keepNext w:val="0"/>
              <w:keepLines w:val="0"/>
              <w:pageBreakBefore w:val="0"/>
              <w:kinsoku/>
              <w:wordWrap/>
              <w:overflowPunct/>
              <w:topLinePunct w:val="0"/>
              <w:autoSpaceDE/>
              <w:autoSpaceDN/>
              <w:bidi w:val="0"/>
              <w:adjustRightInd/>
              <w:spacing w:line="360" w:lineRule="auto"/>
              <w:ind w:firstLine="480" w:firstLineChars="200"/>
              <w:textAlignment w:val="auto"/>
              <w:outlineLvl w:val="2"/>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4、</w:t>
            </w:r>
            <w:r>
              <w:rPr>
                <w:rFonts w:hint="default" w:ascii="Times New Roman" w:hAnsi="Times New Roman" w:eastAsia="宋体" w:cs="Times New Roman"/>
                <w:color w:val="auto"/>
                <w:sz w:val="24"/>
                <w:lang w:eastAsia="zh-CN"/>
              </w:rPr>
              <w:t>固体废物环境影响分析</w:t>
            </w:r>
          </w:p>
          <w:p w14:paraId="0ED342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4.1一般工业固废</w:t>
            </w:r>
          </w:p>
          <w:p w14:paraId="0A57FF65">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（1）废包装材料</w:t>
            </w:r>
          </w:p>
          <w:p w14:paraId="1AE7D6EE">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本项目原辅材料包装一般为袋装或塑料桶装，因此会产生一定量的包装材料，产品采用塑料袋和纸箱进行包装，包装过程中也会产生一定量的废包装材料，一般产生量约为 0.</w:t>
            </w:r>
            <w:r>
              <w:rPr>
                <w:rFonts w:hint="default" w:ascii="Times New Roman" w:hAnsi="Times New Roman" w:eastAsia="宋体" w:cs="Times New Roman"/>
                <w:color w:val="auto"/>
                <w:sz w:val="24"/>
                <w:lang w:val="en-US" w:eastAsia="zh-CN"/>
              </w:rPr>
              <w:t>05</w:t>
            </w:r>
            <w:r>
              <w:rPr>
                <w:rFonts w:hint="default" w:ascii="Times New Roman" w:hAnsi="Times New Roman" w:eastAsia="宋体" w:cs="Times New Roman"/>
                <w:color w:val="auto"/>
                <w:sz w:val="24"/>
                <w:lang w:eastAsia="zh-CN"/>
              </w:rPr>
              <w:t>t/a收集后外售。</w:t>
            </w:r>
          </w:p>
          <w:p w14:paraId="0573ADE4">
            <w:pPr>
              <w:keepNext w:val="0"/>
              <w:keepLines w:val="0"/>
              <w:pageBreakBefore w:val="0"/>
              <w:numPr>
                <w:ilvl w:val="0"/>
                <w:numId w:val="0"/>
              </w:numPr>
              <w:kinsoku/>
              <w:wordWrap/>
              <w:overflowPunct/>
              <w:topLinePunct w:val="0"/>
              <w:autoSpaceDE/>
              <w:autoSpaceDN/>
              <w:bidi w:val="0"/>
              <w:adjustRightInd/>
              <w:spacing w:line="360" w:lineRule="auto"/>
              <w:ind w:leftChars="200"/>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除尘器收集粉尘</w:t>
            </w:r>
          </w:p>
          <w:p w14:paraId="1F286ADC">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eastAsia="zh-CN"/>
              </w:rPr>
              <w:t>搅拌</w:t>
            </w:r>
            <w:r>
              <w:rPr>
                <w:rFonts w:hint="default" w:ascii="Times New Roman" w:hAnsi="Times New Roman" w:eastAsia="宋体" w:cs="Times New Roman"/>
                <w:color w:val="auto"/>
                <w:sz w:val="24"/>
                <w:szCs w:val="24"/>
              </w:rPr>
              <w:t>工序产生废气经袋式除尘器处理后，袋式除尘器收集粉尘量为</w:t>
            </w:r>
            <w:r>
              <w:rPr>
                <w:rFonts w:hint="default" w:ascii="Times New Roman" w:hAnsi="Times New Roman" w:eastAsia="宋体" w:cs="Times New Roman"/>
                <w:color w:val="auto"/>
                <w:sz w:val="24"/>
                <w:szCs w:val="24"/>
                <w:lang w:val="en-US" w:eastAsia="zh-CN"/>
              </w:rPr>
              <w:t>0.25</w:t>
            </w:r>
            <w:r>
              <w:rPr>
                <w:rFonts w:hint="default" w:ascii="Times New Roman" w:hAnsi="Times New Roman" w:eastAsia="宋体" w:cs="Times New Roman"/>
                <w:color w:val="auto"/>
                <w:sz w:val="24"/>
                <w:szCs w:val="24"/>
              </w:rPr>
              <w:t>kg/a，收集后定期，交环卫部门处理。</w:t>
            </w:r>
          </w:p>
          <w:p w14:paraId="48E4E7B1">
            <w:pPr>
              <w:pStyle w:val="17"/>
              <w:keepNext w:val="0"/>
              <w:keepLines w:val="0"/>
              <w:pageBreakBefore w:val="0"/>
              <w:widowControl/>
              <w:numPr>
                <w:ilvl w:val="0"/>
                <w:numId w:val="0"/>
              </w:numPr>
              <w:kinsoku/>
              <w:wordWrap/>
              <w:overflowPunct/>
              <w:topLinePunct w:val="0"/>
              <w:autoSpaceDE/>
              <w:autoSpaceDN/>
              <w:bidi w:val="0"/>
              <w:adjustRightInd/>
              <w:snapToGrid w:val="0"/>
              <w:spacing w:line="360" w:lineRule="auto"/>
              <w:ind w:right="113"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4.3生活垃圾</w:t>
            </w:r>
          </w:p>
          <w:p w14:paraId="4D7744E6">
            <w:pPr>
              <w:pStyle w:val="17"/>
              <w:keepNext w:val="0"/>
              <w:keepLines w:val="0"/>
              <w:pageBreakBefore w:val="0"/>
              <w:widowControl/>
              <w:numPr>
                <w:ilvl w:val="0"/>
                <w:numId w:val="0"/>
              </w:numPr>
              <w:kinsoku/>
              <w:wordWrap/>
              <w:overflowPunct/>
              <w:topLinePunct w:val="0"/>
              <w:autoSpaceDE/>
              <w:autoSpaceDN/>
              <w:bidi w:val="0"/>
              <w:adjustRightInd/>
              <w:snapToGrid w:val="0"/>
              <w:spacing w:line="360" w:lineRule="auto"/>
              <w:ind w:right="113"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本项目劳动定员</w:t>
            </w:r>
            <w:r>
              <w:rPr>
                <w:rFonts w:hint="default"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人，</w:t>
            </w:r>
            <w:r>
              <w:rPr>
                <w:rFonts w:hint="default" w:ascii="Times New Roman" w:hAnsi="Times New Roman" w:eastAsia="宋体" w:cs="Times New Roman"/>
                <w:color w:val="auto"/>
                <w:sz w:val="24"/>
                <w:szCs w:val="24"/>
              </w:rPr>
              <w:t>年工作日 300 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生活垃圾按0.</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kg/（人·d）计算，则生活垃圾产生量为</w:t>
            </w:r>
            <w:r>
              <w:rPr>
                <w:rFonts w:hint="default"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收集后交当地环卫部门统一处理。</w:t>
            </w:r>
          </w:p>
          <w:p w14:paraId="01DA47D7">
            <w:pPr>
              <w:pStyle w:val="17"/>
              <w:keepNext w:val="0"/>
              <w:keepLines w:val="0"/>
              <w:pageBreakBefore w:val="0"/>
              <w:widowControl/>
              <w:numPr>
                <w:ilvl w:val="0"/>
                <w:numId w:val="0"/>
              </w:numPr>
              <w:kinsoku/>
              <w:wordWrap/>
              <w:overflowPunct/>
              <w:topLinePunct w:val="0"/>
              <w:autoSpaceDE/>
              <w:autoSpaceDN/>
              <w:bidi w:val="0"/>
              <w:adjustRightInd/>
              <w:snapToGrid w:val="0"/>
              <w:spacing w:line="360" w:lineRule="auto"/>
              <w:ind w:right="113"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拟建项目产生的固体废物详见表</w:t>
            </w:r>
            <w:r>
              <w:rPr>
                <w:rFonts w:hint="default" w:ascii="Times New Roman" w:hAnsi="Times New Roman" w:eastAsia="宋体" w:cs="Times New Roman"/>
                <w:color w:val="auto"/>
                <w:sz w:val="24"/>
                <w:lang w:val="en-US" w:eastAsia="zh-CN"/>
              </w:rPr>
              <w:t>4-1</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rPr>
              <w:t>。</w:t>
            </w:r>
          </w:p>
          <w:p w14:paraId="4CCB4D78">
            <w:pPr>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val="en-US" w:eastAsia="zh-CN"/>
              </w:rPr>
              <w:t>4-1</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rPr>
              <w:t xml:space="preserve">  固体废物一览表</w:t>
            </w:r>
          </w:p>
          <w:tbl>
            <w:tblPr>
              <w:tblStyle w:val="19"/>
              <w:tblW w:w="8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992"/>
              <w:gridCol w:w="1740"/>
              <w:gridCol w:w="1134"/>
              <w:gridCol w:w="3022"/>
            </w:tblGrid>
            <w:tr w14:paraId="15D0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13" w:type="dxa"/>
                  <w:noWrap w:val="0"/>
                  <w:vAlign w:val="center"/>
                </w:tcPr>
                <w:p w14:paraId="743DDB4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992" w:type="dxa"/>
                  <w:noWrap w:val="0"/>
                  <w:vAlign w:val="center"/>
                </w:tcPr>
                <w:p w14:paraId="796155F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740" w:type="dxa"/>
                  <w:noWrap w:val="0"/>
                  <w:vAlign w:val="center"/>
                </w:tcPr>
                <w:p w14:paraId="15FF688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性质</w:t>
                  </w:r>
                </w:p>
              </w:tc>
              <w:tc>
                <w:tcPr>
                  <w:tcW w:w="1134" w:type="dxa"/>
                  <w:noWrap w:val="0"/>
                  <w:vAlign w:val="center"/>
                </w:tcPr>
                <w:p w14:paraId="4F6001F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p>
              </w:tc>
              <w:tc>
                <w:tcPr>
                  <w:tcW w:w="3022" w:type="dxa"/>
                  <w:noWrap w:val="0"/>
                  <w:vAlign w:val="center"/>
                </w:tcPr>
                <w:p w14:paraId="0152113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处置方式</w:t>
                  </w:r>
                </w:p>
              </w:tc>
            </w:tr>
            <w:tr w14:paraId="1135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13" w:type="dxa"/>
                  <w:noWrap w:val="0"/>
                  <w:vAlign w:val="center"/>
                </w:tcPr>
                <w:p w14:paraId="360B2CBD">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992" w:type="dxa"/>
                  <w:noWrap w:val="0"/>
                  <w:vAlign w:val="center"/>
                </w:tcPr>
                <w:p w14:paraId="11B42177">
                  <w:pPr>
                    <w:keepNext w:val="0"/>
                    <w:keepLines w:val="0"/>
                    <w:pageBreakBefore w:val="0"/>
                    <w:widowControl w:val="0"/>
                    <w:kinsoku/>
                    <w:wordWrap/>
                    <w:overflowPunct/>
                    <w:topLinePunct w:val="0"/>
                    <w:autoSpaceDE/>
                    <w:autoSpaceDN/>
                    <w:bidi w:val="0"/>
                    <w:spacing w:line="360" w:lineRule="auto"/>
                    <w:ind w:left="-105" w:leftChars="-5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废包装材料</w:t>
                  </w:r>
                </w:p>
              </w:tc>
              <w:tc>
                <w:tcPr>
                  <w:tcW w:w="1740" w:type="dxa"/>
                  <w:vMerge w:val="restart"/>
                  <w:noWrap w:val="0"/>
                  <w:vAlign w:val="center"/>
                </w:tcPr>
                <w:p w14:paraId="2C37FD2C">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一般工业固废</w:t>
                  </w:r>
                </w:p>
              </w:tc>
              <w:tc>
                <w:tcPr>
                  <w:tcW w:w="1134" w:type="dxa"/>
                  <w:noWrap w:val="0"/>
                  <w:vAlign w:val="center"/>
                </w:tcPr>
                <w:p w14:paraId="19DF5E55">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0.05</w:t>
                  </w:r>
                  <w:r>
                    <w:rPr>
                      <w:rFonts w:hint="default" w:ascii="Times New Roman" w:hAnsi="Times New Roman" w:eastAsia="宋体" w:cs="Times New Roman"/>
                      <w:color w:val="auto"/>
                      <w:sz w:val="21"/>
                      <w:szCs w:val="21"/>
                    </w:rPr>
                    <w:t>t/a</w:t>
                  </w:r>
                </w:p>
              </w:tc>
              <w:tc>
                <w:tcPr>
                  <w:tcW w:w="3022" w:type="dxa"/>
                  <w:noWrap w:val="0"/>
                  <w:vAlign w:val="center"/>
                </w:tcPr>
                <w:p w14:paraId="6676B332">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定期外售</w:t>
                  </w:r>
                </w:p>
              </w:tc>
            </w:tr>
            <w:tr w14:paraId="35BE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13" w:type="dxa"/>
                  <w:noWrap w:val="0"/>
                  <w:vAlign w:val="center"/>
                </w:tcPr>
                <w:p w14:paraId="22B45FAE">
                  <w:pPr>
                    <w:keepNext w:val="0"/>
                    <w:keepLines w:val="0"/>
                    <w:pageBreakBefore w:val="0"/>
                    <w:widowControl w:val="0"/>
                    <w:kinsoku/>
                    <w:wordWrap/>
                    <w:overflowPunct/>
                    <w:topLinePunct w:val="0"/>
                    <w:autoSpaceDE/>
                    <w:autoSpaceDN/>
                    <w:bidi w:val="0"/>
                    <w:spacing w:line="360" w:lineRule="auto"/>
                    <w:ind w:left="-105" w:leftChars="-5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1992" w:type="dxa"/>
                  <w:noWrap w:val="0"/>
                  <w:vAlign w:val="center"/>
                </w:tcPr>
                <w:p w14:paraId="4593080A">
                  <w:pPr>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除尘器收集粉尘</w:t>
                  </w:r>
                </w:p>
              </w:tc>
              <w:tc>
                <w:tcPr>
                  <w:tcW w:w="1740" w:type="dxa"/>
                  <w:vMerge w:val="continue"/>
                  <w:noWrap w:val="0"/>
                  <w:vAlign w:val="center"/>
                </w:tcPr>
                <w:p w14:paraId="5BE3522B">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rPr>
                  </w:pPr>
                </w:p>
              </w:tc>
              <w:tc>
                <w:tcPr>
                  <w:tcW w:w="1134" w:type="dxa"/>
                  <w:noWrap w:val="0"/>
                  <w:vAlign w:val="center"/>
                </w:tcPr>
                <w:p w14:paraId="3D0F8E5F">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0.25</w:t>
                  </w:r>
                  <w:r>
                    <w:rPr>
                      <w:rFonts w:hint="default" w:ascii="Times New Roman" w:hAnsi="Times New Roman" w:eastAsia="宋体" w:cs="Times New Roman"/>
                      <w:color w:val="auto"/>
                      <w:sz w:val="21"/>
                      <w:szCs w:val="21"/>
                    </w:rPr>
                    <w:t>t/a</w:t>
                  </w:r>
                </w:p>
              </w:tc>
              <w:tc>
                <w:tcPr>
                  <w:tcW w:w="3022" w:type="dxa"/>
                  <w:noWrap w:val="0"/>
                  <w:vAlign w:val="center"/>
                </w:tcPr>
                <w:p w14:paraId="5AD58775">
                  <w:pPr>
                    <w:keepNext w:val="0"/>
                    <w:keepLines w:val="0"/>
                    <w:pageBreakBefore w:val="0"/>
                    <w:widowControl w:val="0"/>
                    <w:kinsoku/>
                    <w:wordWrap/>
                    <w:overflowPunct/>
                    <w:topLinePunct w:val="0"/>
                    <w:autoSpaceDE/>
                    <w:autoSpaceDN/>
                    <w:bidi w:val="0"/>
                    <w:spacing w:line="360" w:lineRule="auto"/>
                    <w:ind w:left="-105" w:leftChars="-5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收集后</w:t>
                  </w:r>
                  <w:r>
                    <w:rPr>
                      <w:rFonts w:hint="default" w:ascii="Times New Roman" w:hAnsi="Times New Roman" w:eastAsia="宋体" w:cs="Times New Roman"/>
                      <w:color w:val="auto"/>
                      <w:spacing w:val="-8"/>
                      <w:sz w:val="21"/>
                      <w:szCs w:val="21"/>
                      <w:lang w:eastAsia="zh-CN"/>
                    </w:rPr>
                    <w:t>，定期外售</w:t>
                  </w:r>
                </w:p>
              </w:tc>
            </w:tr>
            <w:tr w14:paraId="406E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13" w:type="dxa"/>
                  <w:noWrap w:val="0"/>
                  <w:vAlign w:val="center"/>
                </w:tcPr>
                <w:p w14:paraId="7B74F7D6">
                  <w:pPr>
                    <w:keepNext w:val="0"/>
                    <w:keepLines w:val="0"/>
                    <w:pageBreakBefore w:val="0"/>
                    <w:widowControl w:val="0"/>
                    <w:kinsoku/>
                    <w:wordWrap/>
                    <w:overflowPunct/>
                    <w:topLinePunct w:val="0"/>
                    <w:autoSpaceDE/>
                    <w:autoSpaceDN/>
                    <w:bidi w:val="0"/>
                    <w:spacing w:line="360" w:lineRule="auto"/>
                    <w:ind w:left="-105" w:lef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992" w:type="dxa"/>
                  <w:noWrap w:val="0"/>
                  <w:vAlign w:val="center"/>
                </w:tcPr>
                <w:p w14:paraId="142A97D3">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w:t>
                  </w:r>
                </w:p>
              </w:tc>
              <w:tc>
                <w:tcPr>
                  <w:tcW w:w="1740" w:type="dxa"/>
                  <w:noWrap w:val="0"/>
                  <w:vAlign w:val="center"/>
                </w:tcPr>
                <w:p w14:paraId="4F2FBA2F">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34" w:type="dxa"/>
                  <w:noWrap w:val="0"/>
                  <w:vAlign w:val="center"/>
                </w:tcPr>
                <w:p w14:paraId="43717EF5">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rPr>
                    <w:t>t/a</w:t>
                  </w:r>
                </w:p>
              </w:tc>
              <w:tc>
                <w:tcPr>
                  <w:tcW w:w="3022" w:type="dxa"/>
                  <w:noWrap w:val="0"/>
                  <w:vAlign w:val="center"/>
                </w:tcPr>
                <w:p w14:paraId="5CCE59BA">
                  <w:pPr>
                    <w:keepNext w:val="0"/>
                    <w:keepLines w:val="0"/>
                    <w:pageBreakBefore w:val="0"/>
                    <w:widowControl w:val="0"/>
                    <w:kinsoku/>
                    <w:wordWrap/>
                    <w:overflowPunct/>
                    <w:topLinePunct w:val="0"/>
                    <w:autoSpaceDE/>
                    <w:autoSpaceDN/>
                    <w:bidi w:val="0"/>
                    <w:spacing w:line="360" w:lineRule="auto"/>
                    <w:ind w:left="-105" w:leftChars="-5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集中收集后委托环卫部门定期清运</w:t>
                  </w:r>
                </w:p>
              </w:tc>
            </w:tr>
          </w:tbl>
          <w:p w14:paraId="39F6D3A5">
            <w:pPr>
              <w:tabs>
                <w:tab w:val="left" w:pos="540"/>
              </w:tabs>
              <w:spacing w:line="52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4.3 一般固废环境影响分析</w:t>
            </w:r>
          </w:p>
          <w:p w14:paraId="5FC8597A">
            <w:pPr>
              <w:tabs>
                <w:tab w:val="left" w:pos="540"/>
              </w:tabs>
              <w:spacing w:line="52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 xml:space="preserve">本项目在厂区北侧设有 </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eastAsia="zh-CN"/>
              </w:rPr>
              <w:t>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的一般固废暂存间，用于存放一般固废。严格按照《一般工业固体废物贮存和填埋污染控制标准》(GB18599-2020)的相关要求建设并做好“三防”措施。各类一般固废分类收集后暂存在一般固废暂存间，及时清运，缩短在厂区堆存时间。根据《一般工业固体废物贮存和填埋污染控制标准》(GB18599-2020)相关要求，</w:t>
            </w:r>
          </w:p>
          <w:p w14:paraId="1E9061AF">
            <w:pPr>
              <w:tabs>
                <w:tab w:val="left" w:pos="540"/>
              </w:tabs>
              <w:spacing w:line="52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结合项目情况，本评价对一般固废暂存间提出以下要求：</w:t>
            </w:r>
          </w:p>
          <w:p w14:paraId="3CC82C6B">
            <w:pPr>
              <w:tabs>
                <w:tab w:val="left" w:pos="540"/>
              </w:tabs>
              <w:spacing w:line="52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①应采取全密闭设计，确保防风、防雨、防晒。</w:t>
            </w:r>
          </w:p>
          <w:p w14:paraId="4FB6E8D5">
            <w:pPr>
              <w:tabs>
                <w:tab w:val="left" w:pos="540"/>
              </w:tabs>
              <w:spacing w:line="52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②禁止其他固废废物或生活垃圾混入。</w:t>
            </w:r>
          </w:p>
          <w:p w14:paraId="4150C3D0">
            <w:pPr>
              <w:tabs>
                <w:tab w:val="left" w:pos="540"/>
              </w:tabs>
              <w:spacing w:line="52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③做好基础防渗，采用钢筋混凝土防渗，确保渗透系数≤1×10</w:t>
            </w:r>
            <w:r>
              <w:rPr>
                <w:rFonts w:hint="default" w:ascii="Times New Roman" w:hAnsi="Times New Roman" w:eastAsia="宋体" w:cs="Times New Roman"/>
                <w:color w:val="auto"/>
                <w:sz w:val="24"/>
                <w:vertAlign w:val="superscript"/>
                <w:lang w:eastAsia="zh-CN"/>
              </w:rPr>
              <w:t>-7</w:t>
            </w:r>
            <w:r>
              <w:rPr>
                <w:rFonts w:hint="default" w:ascii="Times New Roman" w:hAnsi="Times New Roman" w:eastAsia="宋体" w:cs="Times New Roman"/>
                <w:color w:val="auto"/>
                <w:sz w:val="24"/>
                <w:lang w:eastAsia="zh-CN"/>
              </w:rPr>
              <w:t>cm/s。</w:t>
            </w:r>
          </w:p>
          <w:p w14:paraId="5929D716">
            <w:pPr>
              <w:keepNext w:val="0"/>
              <w:keepLines w:val="0"/>
              <w:pageBreakBefore w:val="0"/>
              <w:tabs>
                <w:tab w:val="left" w:pos="540"/>
              </w:tabs>
              <w:wordWrap/>
              <w:overflowPunct/>
              <w:topLinePunct w:val="0"/>
              <w:bidi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④加强管理，按《环境保护图形标志－固体废物贮存（处置）场》（GB15562.2-1995）规定设置环境保护图形标志。</w:t>
            </w:r>
          </w:p>
          <w:p w14:paraId="0E249E3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5、土壤环境影响分析</w:t>
            </w:r>
          </w:p>
          <w:p w14:paraId="1CD21E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szCs w:val="24"/>
              </w:rPr>
              <w:t>本项目属于</w:t>
            </w:r>
            <w:r>
              <w:rPr>
                <w:rFonts w:hint="default" w:ascii="Times New Roman" w:hAnsi="Times New Roman" w:eastAsia="宋体" w:cs="Times New Roman"/>
                <w:color w:val="auto"/>
                <w:sz w:val="24"/>
                <w:szCs w:val="24"/>
                <w:lang w:val="en-US" w:eastAsia="zh-CN"/>
              </w:rPr>
              <w:t>其他农副食品加工139*</w:t>
            </w:r>
            <w:r>
              <w:rPr>
                <w:rFonts w:hint="default" w:ascii="Times New Roman" w:hAnsi="Times New Roman" w:eastAsia="宋体" w:cs="Times New Roman"/>
                <w:color w:val="auto"/>
                <w:sz w:val="24"/>
                <w:szCs w:val="24"/>
              </w:rPr>
              <w:t>，根据生产工艺分析，为土壤污染影响类。根据《环境影响评价导则-土壤环境(试行)》(HJ946-2018)附录A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rPr>
              <w:t>本项目属于IV类项目。本项目位于</w:t>
            </w:r>
            <w:r>
              <w:rPr>
                <w:rFonts w:hint="default" w:ascii="Times New Roman" w:hAnsi="Times New Roman" w:cs="Times New Roman"/>
                <w:bCs/>
                <w:color w:val="auto"/>
                <w:sz w:val="24"/>
                <w:lang w:eastAsia="zh-CN"/>
              </w:rPr>
              <w:t>滑县新区漓江路与古城路北2号</w:t>
            </w:r>
            <w:r>
              <w:rPr>
                <w:rFonts w:hint="default" w:ascii="Times New Roman" w:hAnsi="Times New Roman" w:eastAsia="宋体" w:cs="Times New Roman"/>
                <w:bCs/>
                <w:color w:val="auto"/>
                <w:sz w:val="24"/>
              </w:rPr>
              <w:t>，周边50m范围内，无敏感点，判别为不敏感。本项目占地面为</w:t>
            </w:r>
            <w:r>
              <w:rPr>
                <w:rFonts w:hint="default" w:ascii="Times New Roman" w:hAnsi="Times New Roman" w:eastAsia="宋体" w:cs="Times New Roman"/>
                <w:bCs/>
                <w:color w:val="auto"/>
                <w:sz w:val="24"/>
                <w:lang w:val="en-US" w:eastAsia="zh-CN"/>
              </w:rPr>
              <w:t>20000</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，小于5hm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，占地规模为小型。根据《环境影响评价导则-土壤环境(试行)》(HJ946-2018)6.2.2.3表4污染影响评价工作等级划分表，本项目可不开展土壤环境影响评价工作。因此不再对土壤</w:t>
            </w:r>
            <w:r>
              <w:rPr>
                <w:rFonts w:hint="default" w:ascii="Times New Roman" w:hAnsi="Times New Roman" w:eastAsia="宋体" w:cs="Times New Roman"/>
                <w:color w:val="auto"/>
                <w:sz w:val="24"/>
                <w:szCs w:val="24"/>
              </w:rPr>
              <w:t>环境</w:t>
            </w:r>
            <w:r>
              <w:rPr>
                <w:rFonts w:hint="default" w:ascii="Times New Roman" w:hAnsi="Times New Roman" w:eastAsia="宋体" w:cs="Times New Roman"/>
                <w:bCs/>
                <w:color w:val="auto"/>
                <w:sz w:val="24"/>
              </w:rPr>
              <w:t>影响进行分析。</w:t>
            </w:r>
          </w:p>
          <w:p w14:paraId="2DE43EDC">
            <w:pPr>
              <w:pStyle w:val="26"/>
              <w:keepNext w:val="0"/>
              <w:keepLines w:val="0"/>
              <w:pageBreakBefore w:val="0"/>
              <w:widowControl w:val="0"/>
              <w:kinsoku/>
              <w:wordWrap/>
              <w:overflowPunct/>
              <w:topLinePunct w:val="0"/>
              <w:autoSpaceDE/>
              <w:autoSpaceDN/>
              <w:bidi w:val="0"/>
              <w:adjustRightInd/>
              <w:snapToGrid/>
              <w:spacing w:before="193" w:line="360" w:lineRule="auto"/>
              <w:ind w:left="104" w:firstLine="464" w:firstLineChars="200"/>
              <w:textAlignment w:val="auto"/>
              <w:rPr>
                <w:rFonts w:hint="default" w:ascii="Times New Roman" w:hAnsi="Times New Roman" w:eastAsia="宋体" w:cs="Times New Roman"/>
                <w:b w:val="0"/>
                <w:bCs w:val="0"/>
                <w:color w:val="auto"/>
                <w:spacing w:val="-4"/>
                <w:lang w:val="en-US" w:eastAsia="zh-CN"/>
              </w:rPr>
            </w:pPr>
            <w:r>
              <w:rPr>
                <w:rFonts w:hint="default" w:ascii="Times New Roman" w:hAnsi="Times New Roman" w:eastAsia="宋体" w:cs="Times New Roman"/>
                <w:b w:val="0"/>
                <w:bCs w:val="0"/>
                <w:color w:val="auto"/>
                <w:spacing w:val="-4"/>
                <w:lang w:val="en-US" w:eastAsia="zh-CN"/>
              </w:rPr>
              <w:t>6、地下水影响分析</w:t>
            </w:r>
          </w:p>
          <w:p w14:paraId="7C29D4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HJ610-2016《环境影响评价技术导则-地下水环境》，地下水环境评价等级由项目所属的地下水环境影响评价项目类别和地下水环境敏感程度确定，对照《环境影响评价技术导则地下水环境》(HJ610-2016)附录A，本项目属“</w:t>
            </w:r>
            <w:r>
              <w:rPr>
                <w:rFonts w:hint="default" w:ascii="Times New Roman" w:hAnsi="Times New Roman" w:eastAsia="宋体" w:cs="Times New Roman"/>
                <w:color w:val="auto"/>
                <w:sz w:val="24"/>
                <w:szCs w:val="24"/>
                <w:lang w:val="en-US" w:eastAsia="zh-CN"/>
              </w:rPr>
              <w:t>其他农副食品加工139*</w:t>
            </w:r>
            <w:r>
              <w:rPr>
                <w:rFonts w:hint="default" w:ascii="Times New Roman" w:hAnsi="Times New Roman" w:eastAsia="宋体" w:cs="Times New Roman"/>
                <w:color w:val="auto"/>
                <w:sz w:val="24"/>
                <w:lang w:val="en-US" w:eastAsia="zh-CN"/>
              </w:rPr>
              <w:t>”，属于IV类建设项目，根据导则要求IV类建设项目不开展地下水环境影响评价。</w:t>
            </w:r>
          </w:p>
          <w:p w14:paraId="50186029">
            <w:pPr>
              <w:pStyle w:val="26"/>
              <w:keepNext w:val="0"/>
              <w:keepLines w:val="0"/>
              <w:pageBreakBefore w:val="0"/>
              <w:widowControl w:val="0"/>
              <w:kinsoku/>
              <w:wordWrap/>
              <w:overflowPunct/>
              <w:topLinePunct w:val="0"/>
              <w:autoSpaceDE/>
              <w:autoSpaceDN/>
              <w:bidi w:val="0"/>
              <w:adjustRightInd/>
              <w:snapToGrid/>
              <w:spacing w:before="193" w:line="360" w:lineRule="auto"/>
              <w:ind w:firstLine="464" w:firstLineChars="200"/>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val="0"/>
                <w:bCs w:val="0"/>
                <w:color w:val="auto"/>
                <w:spacing w:val="-4"/>
                <w:lang w:val="en-US" w:eastAsia="zh-CN"/>
              </w:rPr>
              <w:t>7</w:t>
            </w:r>
            <w:r>
              <w:rPr>
                <w:rFonts w:hint="default" w:ascii="Times New Roman" w:hAnsi="Times New Roman" w:eastAsia="宋体" w:cs="Times New Roman"/>
                <w:b w:val="0"/>
                <w:bCs w:val="0"/>
                <w:color w:val="auto"/>
                <w:spacing w:val="-4"/>
              </w:rPr>
              <w:t>、环境风险</w:t>
            </w:r>
            <w:r>
              <w:rPr>
                <w:rFonts w:hint="default" w:ascii="Times New Roman" w:hAnsi="Times New Roman" w:eastAsia="宋体" w:cs="Times New Roman"/>
                <w:color w:val="auto"/>
                <w:spacing w:val="-2"/>
              </w:rPr>
              <w:t>影响分析</w:t>
            </w:r>
          </w:p>
          <w:p w14:paraId="542225E7">
            <w:pPr>
              <w:pStyle w:val="26"/>
              <w:keepNext w:val="0"/>
              <w:keepLines w:val="0"/>
              <w:pageBreakBefore w:val="0"/>
              <w:widowControl w:val="0"/>
              <w:kinsoku/>
              <w:wordWrap/>
              <w:overflowPunct/>
              <w:topLinePunct w:val="0"/>
              <w:autoSpaceDE/>
              <w:autoSpaceDN/>
              <w:bidi w:val="0"/>
              <w:adjustRightInd/>
              <w:snapToGrid/>
              <w:spacing w:before="57"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7.1环境风险分析</w:t>
            </w:r>
          </w:p>
          <w:p w14:paraId="44DC1712">
            <w:pPr>
              <w:pStyle w:val="26"/>
              <w:keepNext w:val="0"/>
              <w:keepLines w:val="0"/>
              <w:pageBreakBefore w:val="0"/>
              <w:widowControl w:val="0"/>
              <w:kinsoku/>
              <w:wordWrap/>
              <w:overflowPunct/>
              <w:topLinePunct w:val="0"/>
              <w:autoSpaceDE/>
              <w:autoSpaceDN/>
              <w:bidi w:val="0"/>
              <w:adjustRightInd/>
              <w:snapToGrid/>
              <w:spacing w:before="57"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建设项目环境风险评价技术导则》（HJ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218C7555">
            <w:pPr>
              <w:pStyle w:val="26"/>
              <w:keepNext w:val="0"/>
              <w:keepLines w:val="0"/>
              <w:pageBreakBefore w:val="0"/>
              <w:widowControl w:val="0"/>
              <w:kinsoku/>
              <w:wordWrap/>
              <w:overflowPunct/>
              <w:topLinePunct w:val="0"/>
              <w:autoSpaceDE/>
              <w:autoSpaceDN/>
              <w:bidi w:val="0"/>
              <w:adjustRightInd/>
              <w:snapToGrid/>
              <w:spacing w:before="57"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7.2环境风险识别</w:t>
            </w:r>
          </w:p>
          <w:p w14:paraId="34D24ED7">
            <w:pPr>
              <w:pStyle w:val="26"/>
              <w:keepNext w:val="0"/>
              <w:keepLines w:val="0"/>
              <w:pageBreakBefore w:val="0"/>
              <w:widowControl w:val="0"/>
              <w:kinsoku/>
              <w:wordWrap/>
              <w:overflowPunct/>
              <w:topLinePunct w:val="0"/>
              <w:autoSpaceDE/>
              <w:autoSpaceDN/>
              <w:bidi w:val="0"/>
              <w:adjustRightInd/>
              <w:snapToGrid/>
              <w:spacing w:before="57"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根据项目生产工艺流程、主要工艺设备及辅助设施、主要原辅材料的特点，依照《建</w:t>
            </w:r>
          </w:p>
          <w:p w14:paraId="06F49EC9">
            <w:pPr>
              <w:pStyle w:val="26"/>
              <w:keepNext w:val="0"/>
              <w:keepLines w:val="0"/>
              <w:pageBreakBefore w:val="0"/>
              <w:widowControl w:val="0"/>
              <w:kinsoku/>
              <w:wordWrap/>
              <w:overflowPunct/>
              <w:topLinePunct w:val="0"/>
              <w:autoSpaceDE/>
              <w:autoSpaceDN/>
              <w:bidi w:val="0"/>
              <w:adjustRightInd/>
              <w:snapToGrid/>
              <w:spacing w:before="57"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设项目环境风险评价技术导则》（HJ/169-2018）和《重大危险源辨识》（GB18218-2018），本项目涉及物质未列入重大风险源风险物质名单，项目不存在风险物质。</w:t>
            </w:r>
          </w:p>
          <w:p w14:paraId="29A4C2F9">
            <w:pPr>
              <w:pStyle w:val="26"/>
              <w:keepNext w:val="0"/>
              <w:keepLines w:val="0"/>
              <w:pageBreakBefore w:val="0"/>
              <w:widowControl w:val="0"/>
              <w:kinsoku/>
              <w:wordWrap/>
              <w:overflowPunct/>
              <w:topLinePunct w:val="0"/>
              <w:autoSpaceDE/>
              <w:autoSpaceDN/>
              <w:bidi w:val="0"/>
              <w:adjustRightInd/>
              <w:snapToGrid/>
              <w:spacing w:before="57" w:line="360" w:lineRule="auto"/>
              <w:ind w:firstLine="464" w:firstLineChars="200"/>
              <w:textAlignment w:val="auto"/>
              <w:rPr>
                <w:rFonts w:hint="default" w:ascii="Times New Roman" w:hAnsi="Times New Roman" w:eastAsia="宋体" w:cs="Times New Roman"/>
                <w:b w:val="0"/>
                <w:bCs w:val="0"/>
                <w:color w:val="auto"/>
                <w:spacing w:val="-4"/>
                <w:lang w:val="en-US" w:eastAsia="zh-CN"/>
              </w:rPr>
            </w:pPr>
            <w:r>
              <w:rPr>
                <w:rFonts w:hint="default" w:ascii="Times New Roman" w:hAnsi="Times New Roman" w:eastAsia="宋体" w:cs="Times New Roman"/>
                <w:b w:val="0"/>
                <w:bCs w:val="0"/>
                <w:color w:val="auto"/>
                <w:spacing w:val="-4"/>
                <w:lang w:val="en-US" w:eastAsia="zh-CN"/>
              </w:rPr>
              <w:t>8、环保投资及“三同时”验收</w:t>
            </w:r>
          </w:p>
          <w:p w14:paraId="1A9AF357">
            <w:pPr>
              <w:pStyle w:val="26"/>
              <w:spacing w:before="147" w:line="360" w:lineRule="auto"/>
              <w:ind w:firstLine="468"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spacing w:val="-3"/>
                <w:lang w:eastAsia="zh-CN"/>
              </w:rPr>
              <w:t xml:space="preserve">本项目总投资 </w:t>
            </w:r>
            <w:r>
              <w:rPr>
                <w:rFonts w:hint="default" w:ascii="Times New Roman" w:hAnsi="Times New Roman" w:cs="Times New Roman"/>
                <w:color w:val="auto"/>
                <w:spacing w:val="-3"/>
                <w:lang w:val="en-US" w:eastAsia="zh-CN"/>
              </w:rPr>
              <w:t>5</w:t>
            </w:r>
            <w:r>
              <w:rPr>
                <w:rFonts w:hint="default" w:ascii="Times New Roman" w:hAnsi="Times New Roman" w:eastAsia="宋体" w:cs="Times New Roman"/>
                <w:color w:val="auto"/>
                <w:spacing w:val="-3"/>
                <w:lang w:val="en-US" w:eastAsia="zh-CN"/>
              </w:rPr>
              <w:t>000</w:t>
            </w:r>
            <w:r>
              <w:rPr>
                <w:rFonts w:hint="default" w:ascii="Times New Roman" w:hAnsi="Times New Roman" w:eastAsia="宋体" w:cs="Times New Roman"/>
                <w:color w:val="auto"/>
                <w:spacing w:val="-3"/>
                <w:lang w:eastAsia="zh-CN"/>
              </w:rPr>
              <w:t xml:space="preserve"> 万元，环保投资约</w:t>
            </w:r>
            <w:r>
              <w:rPr>
                <w:rFonts w:hint="default" w:ascii="Times New Roman" w:hAnsi="Times New Roman" w:eastAsia="宋体" w:cs="Times New Roman"/>
                <w:color w:val="auto"/>
                <w:spacing w:val="-3"/>
                <w:lang w:val="en-US" w:eastAsia="zh-CN"/>
              </w:rPr>
              <w:t>30</w:t>
            </w:r>
            <w:r>
              <w:rPr>
                <w:rFonts w:hint="default" w:ascii="Times New Roman" w:hAnsi="Times New Roman" w:eastAsia="宋体" w:cs="Times New Roman"/>
                <w:color w:val="auto"/>
                <w:spacing w:val="-3"/>
                <w:lang w:eastAsia="zh-CN"/>
              </w:rPr>
              <w:t xml:space="preserve"> 万元，主要用于运营期废气处理、废水处理、隔声降噪等，占总投资万元的 </w:t>
            </w:r>
            <w:r>
              <w:rPr>
                <w:rFonts w:hint="default" w:ascii="Times New Roman" w:hAnsi="Times New Roman" w:eastAsia="宋体" w:cs="Times New Roman"/>
                <w:color w:val="auto"/>
                <w:spacing w:val="-3"/>
                <w:lang w:val="en-US" w:eastAsia="zh-CN"/>
              </w:rPr>
              <w:t>0.</w:t>
            </w:r>
            <w:r>
              <w:rPr>
                <w:rFonts w:hint="default" w:ascii="Times New Roman" w:hAnsi="Times New Roman" w:cs="Times New Roman"/>
                <w:color w:val="auto"/>
                <w:spacing w:val="-3"/>
                <w:lang w:val="en-US" w:eastAsia="zh-CN"/>
              </w:rPr>
              <w:t>6</w:t>
            </w:r>
            <w:r>
              <w:rPr>
                <w:rFonts w:hint="default" w:ascii="Times New Roman" w:hAnsi="Times New Roman" w:eastAsia="宋体" w:cs="Times New Roman"/>
                <w:color w:val="auto"/>
                <w:spacing w:val="-3"/>
                <w:lang w:eastAsia="zh-CN"/>
              </w:rPr>
              <w:t>%。环保投资估算详见表</w:t>
            </w:r>
            <w:r>
              <w:rPr>
                <w:rFonts w:hint="default" w:ascii="Times New Roman" w:hAnsi="Times New Roman" w:eastAsia="宋体" w:cs="Times New Roman"/>
                <w:color w:val="auto"/>
                <w:spacing w:val="-3"/>
                <w:lang w:val="en-US" w:eastAsia="zh-CN"/>
              </w:rPr>
              <w:t>4-15</w:t>
            </w:r>
            <w:r>
              <w:rPr>
                <w:rFonts w:hint="default" w:ascii="Times New Roman" w:hAnsi="Times New Roman" w:eastAsia="宋体" w:cs="Times New Roman"/>
                <w:color w:val="auto"/>
                <w:spacing w:val="-3"/>
                <w:lang w:eastAsia="zh-CN"/>
              </w:rPr>
              <w:t>。建设项目竣工后，建设单位应组织建设项目竣工环境保护验收工作。</w:t>
            </w:r>
            <w:r>
              <w:rPr>
                <w:rFonts w:hint="default" w:ascii="Times New Roman" w:hAnsi="Times New Roman" w:eastAsia="宋体" w:cs="Times New Roman"/>
                <w:color w:val="auto"/>
                <w:spacing w:val="-3"/>
              </w:rPr>
              <w:t>项目</w:t>
            </w:r>
            <w:r>
              <w:rPr>
                <w:rFonts w:hint="default" w:ascii="Times New Roman" w:hAnsi="Times New Roman" w:eastAsia="宋体" w:cs="Times New Roman"/>
                <w:color w:val="auto"/>
                <w:spacing w:val="-3"/>
                <w:lang w:eastAsia="zh-CN"/>
              </w:rPr>
              <w:t>“</w:t>
            </w:r>
            <w:r>
              <w:rPr>
                <w:rFonts w:hint="default" w:ascii="Times New Roman" w:hAnsi="Times New Roman" w:eastAsia="宋体" w:cs="Times New Roman"/>
                <w:color w:val="auto"/>
                <w:spacing w:val="-3"/>
              </w:rPr>
              <w:t>三同时</w:t>
            </w:r>
            <w:r>
              <w:rPr>
                <w:rFonts w:hint="default" w:ascii="Times New Roman" w:hAnsi="Times New Roman" w:eastAsia="宋体" w:cs="Times New Roman"/>
                <w:color w:val="auto"/>
                <w:spacing w:val="-3"/>
                <w:lang w:eastAsia="zh-CN"/>
              </w:rPr>
              <w:t>”</w:t>
            </w:r>
            <w:r>
              <w:rPr>
                <w:rFonts w:hint="default" w:ascii="Times New Roman" w:hAnsi="Times New Roman" w:eastAsia="宋体" w:cs="Times New Roman"/>
                <w:color w:val="auto"/>
                <w:spacing w:val="-3"/>
              </w:rPr>
              <w:t>验收内容</w:t>
            </w:r>
            <w:r>
              <w:rPr>
                <w:rFonts w:hint="default" w:ascii="Times New Roman" w:hAnsi="Times New Roman" w:eastAsia="宋体" w:cs="Times New Roman"/>
                <w:color w:val="auto"/>
                <w:spacing w:val="-3"/>
                <w:lang w:eastAsia="zh-CN"/>
              </w:rPr>
              <w:t>见</w:t>
            </w:r>
            <w:r>
              <w:rPr>
                <w:rFonts w:hint="default" w:ascii="Times New Roman" w:hAnsi="Times New Roman" w:eastAsia="宋体" w:cs="Times New Roman"/>
                <w:color w:val="auto"/>
                <w:spacing w:val="-3"/>
              </w:rPr>
              <w:t>下表</w:t>
            </w:r>
            <w:r>
              <w:rPr>
                <w:rFonts w:hint="default" w:ascii="Times New Roman" w:hAnsi="Times New Roman" w:eastAsia="宋体" w:cs="Times New Roman"/>
                <w:color w:val="auto"/>
                <w:spacing w:val="-3"/>
                <w:lang w:val="en-US" w:eastAsia="zh-CN"/>
              </w:rPr>
              <w:t>4-1</w:t>
            </w:r>
            <w:r>
              <w:rPr>
                <w:rFonts w:hint="default" w:ascii="Times New Roman" w:hAnsi="Times New Roman" w:cs="Times New Roman"/>
                <w:color w:val="auto"/>
                <w:spacing w:val="-3"/>
                <w:lang w:val="en-US" w:eastAsia="zh-CN"/>
              </w:rPr>
              <w:t>7</w:t>
            </w:r>
            <w:r>
              <w:rPr>
                <w:rFonts w:hint="default" w:ascii="Times New Roman" w:hAnsi="Times New Roman" w:eastAsia="宋体" w:cs="Times New Roman"/>
                <w:color w:val="auto"/>
                <w:spacing w:val="-3"/>
              </w:rPr>
              <w:t>。</w:t>
            </w:r>
          </w:p>
          <w:p w14:paraId="574FEE93">
            <w:pPr>
              <w:keepNext w:val="0"/>
              <w:keepLines w:val="0"/>
              <w:pageBreakBefore w:val="0"/>
              <w:widowControl/>
              <w:kinsoku w:val="0"/>
              <w:wordWrap/>
              <w:overflowPunct/>
              <w:topLinePunct w:val="0"/>
              <w:autoSpaceDE w:val="0"/>
              <w:autoSpaceDN w:val="0"/>
              <w:bidi w:val="0"/>
              <w:adjustRightInd w:val="0"/>
              <w:snapToGrid w:val="0"/>
              <w:spacing w:line="360" w:lineRule="auto"/>
              <w:ind w:firstLine="468" w:firstLineChars="200"/>
              <w:jc w:val="center"/>
              <w:textAlignment w:val="baseline"/>
              <w:rPr>
                <w:rFonts w:hint="default" w:ascii="Times New Roman" w:hAnsi="Times New Roman" w:eastAsia="宋体" w:cs="Times New Roman"/>
                <w:color w:val="auto"/>
                <w:spacing w:val="-3"/>
                <w:kern w:val="2"/>
                <w:sz w:val="24"/>
                <w:szCs w:val="24"/>
                <w:lang w:val="en-US" w:eastAsia="zh-CN" w:bidi="ar-SA"/>
              </w:rPr>
            </w:pPr>
            <w:r>
              <w:rPr>
                <w:rFonts w:hint="default" w:ascii="Times New Roman" w:hAnsi="Times New Roman" w:eastAsia="宋体" w:cs="Times New Roman"/>
                <w:color w:val="auto"/>
                <w:spacing w:val="-3"/>
                <w:kern w:val="2"/>
                <w:sz w:val="24"/>
                <w:szCs w:val="24"/>
                <w:lang w:val="en-US" w:eastAsia="zh-CN" w:bidi="ar-SA"/>
              </w:rPr>
              <w:t>表4-1</w:t>
            </w:r>
            <w:r>
              <w:rPr>
                <w:rFonts w:hint="default" w:ascii="Times New Roman" w:hAnsi="Times New Roman" w:cs="Times New Roman"/>
                <w:color w:val="auto"/>
                <w:spacing w:val="-3"/>
                <w:kern w:val="2"/>
                <w:sz w:val="24"/>
                <w:szCs w:val="24"/>
                <w:lang w:val="en-US" w:eastAsia="zh-CN" w:bidi="ar-SA"/>
              </w:rPr>
              <w:t>6</w:t>
            </w:r>
            <w:r>
              <w:rPr>
                <w:rFonts w:hint="default" w:ascii="Times New Roman" w:hAnsi="Times New Roman" w:eastAsia="宋体" w:cs="Times New Roman"/>
                <w:color w:val="auto"/>
                <w:spacing w:val="-3"/>
                <w:kern w:val="2"/>
                <w:sz w:val="24"/>
                <w:szCs w:val="24"/>
                <w:lang w:val="en-US" w:eastAsia="zh-CN" w:bidi="ar-SA"/>
              </w:rPr>
              <w:t xml:space="preserve"> 项目环保投资估算</w:t>
            </w:r>
          </w:p>
          <w:tbl>
            <w:tblPr>
              <w:tblStyle w:val="27"/>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960"/>
              <w:gridCol w:w="1440"/>
              <w:gridCol w:w="2895"/>
              <w:gridCol w:w="1230"/>
              <w:gridCol w:w="1811"/>
            </w:tblGrid>
            <w:tr w14:paraId="09D1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670" w:type="dxa"/>
                  <w:vAlign w:val="center"/>
                </w:tcPr>
                <w:p w14:paraId="026DB1FC">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z w:val="21"/>
                      <w:szCs w:val="21"/>
                      <w:u w:val="none" w:color="auto"/>
                      <w:lang w:eastAsia="zh-CN"/>
                    </w:rPr>
                    <w:t>序号</w:t>
                  </w:r>
                </w:p>
              </w:tc>
              <w:tc>
                <w:tcPr>
                  <w:tcW w:w="960" w:type="dxa"/>
                  <w:vAlign w:val="center"/>
                </w:tcPr>
                <w:p w14:paraId="4B3FE0F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z w:val="21"/>
                      <w:szCs w:val="21"/>
                      <w:u w:val="none" w:color="auto"/>
                      <w:lang w:eastAsia="zh-CN"/>
                    </w:rPr>
                    <w:t>类别</w:t>
                  </w:r>
                </w:p>
              </w:tc>
              <w:tc>
                <w:tcPr>
                  <w:tcW w:w="1440" w:type="dxa"/>
                  <w:vAlign w:val="center"/>
                </w:tcPr>
                <w:p w14:paraId="7A60070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4"/>
                      <w:sz w:val="21"/>
                      <w:szCs w:val="21"/>
                      <w:u w:val="none" w:color="auto"/>
                    </w:rPr>
                    <w:t>产污环节</w:t>
                  </w:r>
                </w:p>
              </w:tc>
              <w:tc>
                <w:tcPr>
                  <w:tcW w:w="2895" w:type="dxa"/>
                  <w:vAlign w:val="center"/>
                </w:tcPr>
                <w:p w14:paraId="090235E2">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6"/>
                      <w:sz w:val="21"/>
                      <w:szCs w:val="21"/>
                      <w:u w:val="none" w:color="auto"/>
                      <w:lang w:eastAsia="zh-CN"/>
                    </w:rPr>
                    <w:t>污染防治</w:t>
                  </w:r>
                  <w:r>
                    <w:rPr>
                      <w:rFonts w:hint="default" w:ascii="Times New Roman" w:hAnsi="Times New Roman" w:eastAsia="宋体" w:cs="Times New Roman"/>
                      <w:strike w:val="0"/>
                      <w:dstrike w:val="0"/>
                      <w:color w:val="auto"/>
                      <w:spacing w:val="6"/>
                      <w:sz w:val="21"/>
                      <w:szCs w:val="21"/>
                      <w:u w:val="none" w:color="auto"/>
                    </w:rPr>
                    <w:t>措施</w:t>
                  </w:r>
                </w:p>
              </w:tc>
              <w:tc>
                <w:tcPr>
                  <w:tcW w:w="1230" w:type="dxa"/>
                  <w:vAlign w:val="center"/>
                </w:tcPr>
                <w:p w14:paraId="095036D2">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pacing w:val="7"/>
                      <w:sz w:val="21"/>
                      <w:szCs w:val="21"/>
                      <w:u w:val="none" w:color="auto"/>
                      <w:lang w:eastAsia="zh-CN"/>
                    </w:rPr>
                    <w:t>预期效果</w:t>
                  </w:r>
                </w:p>
              </w:tc>
              <w:tc>
                <w:tcPr>
                  <w:tcW w:w="1811" w:type="dxa"/>
                  <w:vAlign w:val="center"/>
                </w:tcPr>
                <w:p w14:paraId="2CF5BC7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7"/>
                      <w:sz w:val="21"/>
                      <w:szCs w:val="21"/>
                      <w:u w:val="none" w:color="auto"/>
                      <w:lang w:eastAsia="zh-CN"/>
                    </w:rPr>
                    <w:t>投资估算</w:t>
                  </w:r>
                  <w:r>
                    <w:rPr>
                      <w:rFonts w:hint="default" w:ascii="Times New Roman" w:hAnsi="Times New Roman" w:eastAsia="宋体" w:cs="Times New Roman"/>
                      <w:strike w:val="0"/>
                      <w:dstrike w:val="0"/>
                      <w:color w:val="auto"/>
                      <w:spacing w:val="2"/>
                      <w:sz w:val="21"/>
                      <w:szCs w:val="21"/>
                      <w:u w:val="none" w:color="auto"/>
                    </w:rPr>
                    <w:t>（万元）</w:t>
                  </w:r>
                </w:p>
              </w:tc>
            </w:tr>
            <w:tr w14:paraId="3115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670" w:type="dxa"/>
                  <w:vAlign w:val="center"/>
                </w:tcPr>
                <w:p w14:paraId="325CB20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strike w:val="0"/>
                      <w:dstrike w:val="0"/>
                      <w:color w:val="auto"/>
                      <w:spacing w:val="8"/>
                      <w:sz w:val="21"/>
                      <w:szCs w:val="21"/>
                      <w:u w:val="none" w:color="auto"/>
                      <w:lang w:val="en-US" w:eastAsia="zh-CN"/>
                    </w:rPr>
                    <w:t>1</w:t>
                  </w:r>
                </w:p>
              </w:tc>
              <w:tc>
                <w:tcPr>
                  <w:tcW w:w="960" w:type="dxa"/>
                  <w:vAlign w:val="center"/>
                </w:tcPr>
                <w:p w14:paraId="64205329">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8"/>
                      <w:sz w:val="21"/>
                      <w:szCs w:val="21"/>
                      <w:u w:val="none" w:color="auto"/>
                    </w:rPr>
                    <w:t>废气</w:t>
                  </w:r>
                </w:p>
              </w:tc>
              <w:tc>
                <w:tcPr>
                  <w:tcW w:w="1440" w:type="dxa"/>
                  <w:vAlign w:val="center"/>
                </w:tcPr>
                <w:p w14:paraId="372D4270">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pacing w:val="4"/>
                      <w:sz w:val="21"/>
                      <w:szCs w:val="21"/>
                      <w:u w:val="none" w:color="auto"/>
                      <w:lang w:eastAsia="zh-CN"/>
                    </w:rPr>
                    <w:t>搅拌工序</w:t>
                  </w:r>
                </w:p>
              </w:tc>
              <w:tc>
                <w:tcPr>
                  <w:tcW w:w="2895" w:type="dxa"/>
                  <w:vAlign w:val="center"/>
                </w:tcPr>
                <w:p w14:paraId="09862EFF">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废气经覆膜袋式除尘器+15m 高排气筒（DA00</w:t>
                  </w:r>
                  <w:r>
                    <w:rPr>
                      <w:rFonts w:hint="default" w:ascii="Times New Roman" w:hAnsi="Times New Roman" w:eastAsia="宋体" w:cs="Times New Roman"/>
                      <w:strike w:val="0"/>
                      <w:dstrike w:val="0"/>
                      <w:color w:val="auto"/>
                      <w:sz w:val="21"/>
                      <w:szCs w:val="21"/>
                      <w:u w:val="none" w:color="auto"/>
                      <w:lang w:val="en-US" w:eastAsia="zh-CN"/>
                    </w:rPr>
                    <w:t>1</w:t>
                  </w:r>
                  <w:r>
                    <w:rPr>
                      <w:rFonts w:hint="default" w:ascii="Times New Roman" w:hAnsi="Times New Roman" w:eastAsia="宋体" w:cs="Times New Roman"/>
                      <w:strike w:val="0"/>
                      <w:dstrike w:val="0"/>
                      <w:color w:val="auto"/>
                      <w:sz w:val="21"/>
                      <w:szCs w:val="21"/>
                      <w:u w:val="none" w:color="auto"/>
                    </w:rPr>
                    <w:t>）排放</w:t>
                  </w:r>
                </w:p>
              </w:tc>
              <w:tc>
                <w:tcPr>
                  <w:tcW w:w="1230" w:type="dxa"/>
                  <w:vAlign w:val="center"/>
                </w:tcPr>
                <w:p w14:paraId="7D69283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z w:val="21"/>
                      <w:szCs w:val="21"/>
                      <w:u w:val="none" w:color="auto"/>
                      <w:lang w:eastAsia="zh-CN"/>
                    </w:rPr>
                    <w:t>达标排放</w:t>
                  </w:r>
                </w:p>
              </w:tc>
              <w:tc>
                <w:tcPr>
                  <w:tcW w:w="1811" w:type="dxa"/>
                  <w:vAlign w:val="center"/>
                </w:tcPr>
                <w:p w14:paraId="3EC1D7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val="en-US" w:eastAsia="zh-CN"/>
                    </w:rPr>
                  </w:pPr>
                  <w:r>
                    <w:rPr>
                      <w:rFonts w:hint="default" w:ascii="Times New Roman" w:hAnsi="Times New Roman" w:eastAsia="宋体" w:cs="Times New Roman"/>
                      <w:strike w:val="0"/>
                      <w:dstrike w:val="0"/>
                      <w:color w:val="auto"/>
                      <w:spacing w:val="2"/>
                      <w:sz w:val="21"/>
                      <w:szCs w:val="21"/>
                      <w:u w:val="none" w:color="auto"/>
                      <w:lang w:val="en-US" w:eastAsia="zh-CN"/>
                    </w:rPr>
                    <w:t>10</w:t>
                  </w:r>
                </w:p>
              </w:tc>
            </w:tr>
            <w:tr w14:paraId="194F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670" w:type="dxa"/>
                  <w:vAlign w:val="center"/>
                </w:tcPr>
                <w:p w14:paraId="33DAAA3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strike w:val="0"/>
                      <w:dstrike w:val="0"/>
                      <w:color w:val="auto"/>
                      <w:spacing w:val="8"/>
                      <w:sz w:val="21"/>
                      <w:szCs w:val="21"/>
                      <w:u w:val="none" w:color="auto"/>
                      <w:lang w:val="en-US" w:eastAsia="zh-CN"/>
                    </w:rPr>
                    <w:t>2</w:t>
                  </w:r>
                </w:p>
              </w:tc>
              <w:tc>
                <w:tcPr>
                  <w:tcW w:w="960" w:type="dxa"/>
                  <w:vAlign w:val="center"/>
                </w:tcPr>
                <w:p w14:paraId="396ED28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eastAsia="zh-CN"/>
                    </w:rPr>
                  </w:pPr>
                  <w:r>
                    <w:rPr>
                      <w:rFonts w:hint="default" w:ascii="Times New Roman" w:hAnsi="Times New Roman" w:eastAsia="宋体" w:cs="Times New Roman"/>
                      <w:strike w:val="0"/>
                      <w:dstrike w:val="0"/>
                      <w:color w:val="auto"/>
                      <w:spacing w:val="8"/>
                      <w:sz w:val="21"/>
                      <w:szCs w:val="21"/>
                      <w:u w:val="none" w:color="auto"/>
                      <w:lang w:eastAsia="zh-CN"/>
                    </w:rPr>
                    <w:t>废水</w:t>
                  </w:r>
                </w:p>
              </w:tc>
              <w:tc>
                <w:tcPr>
                  <w:tcW w:w="4335" w:type="dxa"/>
                  <w:gridSpan w:val="2"/>
                  <w:vAlign w:val="center"/>
                </w:tcPr>
                <w:p w14:paraId="37D63FD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2"/>
                      <w:sz w:val="21"/>
                      <w:szCs w:val="21"/>
                      <w:u w:val="none" w:color="auto"/>
                    </w:rPr>
                  </w:pPr>
                  <w:r>
                    <w:rPr>
                      <w:rFonts w:hint="default" w:ascii="Times New Roman" w:hAnsi="Times New Roman" w:eastAsia="宋体" w:cs="Times New Roman"/>
                      <w:strike w:val="0"/>
                      <w:dstrike w:val="0"/>
                      <w:color w:val="auto"/>
                      <w:spacing w:val="4"/>
                      <w:sz w:val="21"/>
                      <w:szCs w:val="21"/>
                      <w:u w:val="none" w:color="auto"/>
                      <w:lang w:eastAsia="zh-CN"/>
                    </w:rPr>
                    <w:t>废水经</w:t>
                  </w:r>
                  <w:r>
                    <w:rPr>
                      <w:rFonts w:hint="default" w:ascii="Times New Roman" w:hAnsi="Times New Roman" w:eastAsia="宋体" w:cs="Times New Roman"/>
                      <w:strike w:val="0"/>
                      <w:dstrike w:val="0"/>
                      <w:color w:val="auto"/>
                      <w:spacing w:val="4"/>
                      <w:sz w:val="21"/>
                      <w:szCs w:val="21"/>
                      <w:u w:val="none" w:color="auto"/>
                      <w:lang w:val="en-US" w:eastAsia="zh-CN"/>
                    </w:rPr>
                    <w:t>化粪池+一体化污水处理设施</w:t>
                  </w:r>
                  <w:r>
                    <w:rPr>
                      <w:rFonts w:hint="eastAsia" w:ascii="Times New Roman" w:hAnsi="Times New Roman" w:eastAsia="宋体" w:cs="Times New Roman"/>
                      <w:strike w:val="0"/>
                      <w:dstrike w:val="0"/>
                      <w:color w:val="auto"/>
                      <w:spacing w:val="4"/>
                      <w:sz w:val="21"/>
                      <w:szCs w:val="21"/>
                      <w:u w:val="none" w:color="auto"/>
                      <w:lang w:val="en-US" w:eastAsia="zh-CN"/>
                    </w:rPr>
                    <w:t>处理后，</w:t>
                  </w:r>
                  <w:r>
                    <w:rPr>
                      <w:rFonts w:hint="default" w:ascii="Times New Roman" w:hAnsi="Times New Roman" w:eastAsia="宋体" w:cs="Times New Roman"/>
                      <w:strike w:val="0"/>
                      <w:dstrike w:val="0"/>
                      <w:color w:val="auto"/>
                      <w:spacing w:val="4"/>
                      <w:sz w:val="21"/>
                      <w:szCs w:val="21"/>
                      <w:u w:val="none" w:color="auto"/>
                      <w:lang w:val="en-US" w:eastAsia="zh-CN"/>
                    </w:rPr>
                    <w:t>经市政管网排入滑县产业集聚区污水处理厂</w:t>
                  </w:r>
                </w:p>
              </w:tc>
              <w:tc>
                <w:tcPr>
                  <w:tcW w:w="1230" w:type="dxa"/>
                  <w:vAlign w:val="center"/>
                </w:tcPr>
                <w:p w14:paraId="7EBDBE51">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eastAsia="zh-CN"/>
                    </w:rPr>
                  </w:pPr>
                  <w:r>
                    <w:rPr>
                      <w:rFonts w:hint="default" w:ascii="Times New Roman" w:hAnsi="Times New Roman" w:eastAsia="宋体" w:cs="Times New Roman"/>
                      <w:strike w:val="0"/>
                      <w:dstrike w:val="0"/>
                      <w:color w:val="auto"/>
                      <w:spacing w:val="1"/>
                      <w:sz w:val="21"/>
                      <w:szCs w:val="21"/>
                      <w:u w:val="none" w:color="auto"/>
                      <w:lang w:eastAsia="zh-CN"/>
                    </w:rPr>
                    <w:t>达标排放</w:t>
                  </w:r>
                </w:p>
              </w:tc>
              <w:tc>
                <w:tcPr>
                  <w:tcW w:w="1811" w:type="dxa"/>
                  <w:vAlign w:val="center"/>
                </w:tcPr>
                <w:p w14:paraId="29061AE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val="en-US" w:eastAsia="zh-CN"/>
                    </w:rPr>
                  </w:pPr>
                  <w:r>
                    <w:rPr>
                      <w:rFonts w:hint="default" w:ascii="Times New Roman" w:hAnsi="Times New Roman" w:eastAsia="宋体" w:cs="Times New Roman"/>
                      <w:strike w:val="0"/>
                      <w:dstrike w:val="0"/>
                      <w:color w:val="auto"/>
                      <w:spacing w:val="1"/>
                      <w:sz w:val="21"/>
                      <w:szCs w:val="21"/>
                      <w:u w:val="none" w:color="auto"/>
                      <w:lang w:val="en-US" w:eastAsia="zh-CN"/>
                    </w:rPr>
                    <w:t>10</w:t>
                  </w:r>
                </w:p>
              </w:tc>
            </w:tr>
            <w:tr w14:paraId="0C0F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670" w:type="dxa"/>
                  <w:vAlign w:val="center"/>
                </w:tcPr>
                <w:p w14:paraId="3E4DB4B9">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strike w:val="0"/>
                      <w:dstrike w:val="0"/>
                      <w:color w:val="auto"/>
                      <w:spacing w:val="8"/>
                      <w:sz w:val="21"/>
                      <w:szCs w:val="21"/>
                      <w:u w:val="none" w:color="auto"/>
                      <w:lang w:val="en-US" w:eastAsia="zh-CN"/>
                    </w:rPr>
                    <w:t>3</w:t>
                  </w:r>
                </w:p>
              </w:tc>
              <w:tc>
                <w:tcPr>
                  <w:tcW w:w="960" w:type="dxa"/>
                  <w:vAlign w:val="center"/>
                </w:tcPr>
                <w:p w14:paraId="5CFFAD4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eastAsia="zh-CN"/>
                    </w:rPr>
                  </w:pPr>
                  <w:r>
                    <w:rPr>
                      <w:rFonts w:hint="default" w:ascii="Times New Roman" w:hAnsi="Times New Roman" w:eastAsia="宋体" w:cs="Times New Roman"/>
                      <w:strike w:val="0"/>
                      <w:dstrike w:val="0"/>
                      <w:color w:val="auto"/>
                      <w:spacing w:val="8"/>
                      <w:sz w:val="21"/>
                      <w:szCs w:val="21"/>
                      <w:u w:val="none" w:color="auto"/>
                      <w:lang w:eastAsia="zh-CN"/>
                    </w:rPr>
                    <w:t>噪声</w:t>
                  </w:r>
                </w:p>
              </w:tc>
              <w:tc>
                <w:tcPr>
                  <w:tcW w:w="1440" w:type="dxa"/>
                  <w:vAlign w:val="center"/>
                </w:tcPr>
                <w:p w14:paraId="7B67CA5C">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2"/>
                      <w:sz w:val="21"/>
                      <w:szCs w:val="21"/>
                      <w:u w:val="none" w:color="auto"/>
                    </w:rPr>
                  </w:pPr>
                  <w:r>
                    <w:rPr>
                      <w:rFonts w:hint="default" w:ascii="Times New Roman" w:hAnsi="Times New Roman" w:eastAsia="宋体" w:cs="Times New Roman"/>
                      <w:strike w:val="0"/>
                      <w:dstrike w:val="0"/>
                      <w:color w:val="auto"/>
                      <w:spacing w:val="-2"/>
                      <w:sz w:val="21"/>
                      <w:szCs w:val="21"/>
                      <w:u w:val="none" w:color="auto"/>
                    </w:rPr>
                    <w:t>设备运行</w:t>
                  </w:r>
                </w:p>
              </w:tc>
              <w:tc>
                <w:tcPr>
                  <w:tcW w:w="2895" w:type="dxa"/>
                  <w:vAlign w:val="center"/>
                </w:tcPr>
                <w:p w14:paraId="61C5A6F3">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2"/>
                      <w:sz w:val="21"/>
                      <w:szCs w:val="21"/>
                      <w:u w:val="none" w:color="auto"/>
                    </w:rPr>
                  </w:pPr>
                  <w:r>
                    <w:rPr>
                      <w:rFonts w:hint="default" w:ascii="Times New Roman" w:hAnsi="Times New Roman" w:eastAsia="宋体" w:cs="Times New Roman"/>
                      <w:strike w:val="0"/>
                      <w:dstrike w:val="0"/>
                      <w:color w:val="auto"/>
                      <w:spacing w:val="1"/>
                      <w:sz w:val="21"/>
                      <w:szCs w:val="21"/>
                      <w:u w:val="none" w:color="auto"/>
                    </w:rPr>
                    <w:t>减震、隔声、消声</w:t>
                  </w:r>
                </w:p>
              </w:tc>
              <w:tc>
                <w:tcPr>
                  <w:tcW w:w="1230" w:type="dxa"/>
                  <w:vAlign w:val="center"/>
                </w:tcPr>
                <w:p w14:paraId="6958AE28">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rPr>
                  </w:pPr>
                  <w:r>
                    <w:rPr>
                      <w:rFonts w:hint="default" w:ascii="Times New Roman" w:hAnsi="Times New Roman" w:eastAsia="宋体" w:cs="Times New Roman"/>
                      <w:strike w:val="0"/>
                      <w:dstrike w:val="0"/>
                      <w:color w:val="auto"/>
                      <w:spacing w:val="1"/>
                      <w:sz w:val="21"/>
                      <w:szCs w:val="21"/>
                      <w:u w:val="none" w:color="auto"/>
                    </w:rPr>
                    <w:t>厂界噪</w:t>
                  </w:r>
                </w:p>
                <w:p w14:paraId="1F9C582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rPr>
                  </w:pPr>
                  <w:r>
                    <w:rPr>
                      <w:rFonts w:hint="default" w:ascii="Times New Roman" w:hAnsi="Times New Roman" w:eastAsia="宋体" w:cs="Times New Roman"/>
                      <w:strike w:val="0"/>
                      <w:dstrike w:val="0"/>
                      <w:color w:val="auto"/>
                      <w:spacing w:val="1"/>
                      <w:sz w:val="21"/>
                      <w:szCs w:val="21"/>
                      <w:u w:val="none" w:color="auto"/>
                    </w:rPr>
                    <w:t>声达标</w:t>
                  </w:r>
                </w:p>
              </w:tc>
              <w:tc>
                <w:tcPr>
                  <w:tcW w:w="1811" w:type="dxa"/>
                  <w:vAlign w:val="center"/>
                </w:tcPr>
                <w:p w14:paraId="5E7536A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val="en-US" w:eastAsia="zh-CN"/>
                    </w:rPr>
                  </w:pPr>
                  <w:r>
                    <w:rPr>
                      <w:rFonts w:hint="default" w:ascii="Times New Roman" w:hAnsi="Times New Roman" w:eastAsia="宋体" w:cs="Times New Roman"/>
                      <w:strike w:val="0"/>
                      <w:dstrike w:val="0"/>
                      <w:color w:val="auto"/>
                      <w:spacing w:val="1"/>
                      <w:sz w:val="21"/>
                      <w:szCs w:val="21"/>
                      <w:u w:val="none" w:color="auto"/>
                      <w:lang w:val="en-US" w:eastAsia="zh-CN"/>
                    </w:rPr>
                    <w:t>5</w:t>
                  </w:r>
                </w:p>
              </w:tc>
            </w:tr>
            <w:tr w14:paraId="12ED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670" w:type="dxa"/>
                  <w:vMerge w:val="restart"/>
                  <w:vAlign w:val="center"/>
                </w:tcPr>
                <w:p w14:paraId="50DEC927">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strike w:val="0"/>
                      <w:dstrike w:val="0"/>
                      <w:color w:val="auto"/>
                      <w:spacing w:val="8"/>
                      <w:sz w:val="21"/>
                      <w:szCs w:val="21"/>
                      <w:u w:val="none" w:color="auto"/>
                      <w:lang w:val="en-US" w:eastAsia="zh-CN"/>
                    </w:rPr>
                    <w:t>4</w:t>
                  </w:r>
                </w:p>
              </w:tc>
              <w:tc>
                <w:tcPr>
                  <w:tcW w:w="960" w:type="dxa"/>
                  <w:vMerge w:val="restart"/>
                  <w:vAlign w:val="center"/>
                </w:tcPr>
                <w:p w14:paraId="41FA0D5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pacing w:val="8"/>
                      <w:sz w:val="21"/>
                      <w:szCs w:val="21"/>
                      <w:u w:val="none" w:color="auto"/>
                    </w:rPr>
                    <w:t>固</w:t>
                  </w:r>
                  <w:r>
                    <w:rPr>
                      <w:rFonts w:hint="default" w:ascii="Times New Roman" w:hAnsi="Times New Roman" w:eastAsia="宋体" w:cs="Times New Roman"/>
                      <w:strike w:val="0"/>
                      <w:dstrike w:val="0"/>
                      <w:color w:val="auto"/>
                      <w:spacing w:val="8"/>
                      <w:sz w:val="21"/>
                      <w:szCs w:val="21"/>
                      <w:u w:val="none" w:color="auto"/>
                      <w:lang w:eastAsia="zh-CN"/>
                    </w:rPr>
                    <w:t>体</w:t>
                  </w:r>
                  <w:r>
                    <w:rPr>
                      <w:rFonts w:hint="default" w:ascii="Times New Roman" w:hAnsi="Times New Roman" w:eastAsia="宋体" w:cs="Times New Roman"/>
                      <w:strike w:val="0"/>
                      <w:dstrike w:val="0"/>
                      <w:color w:val="auto"/>
                      <w:spacing w:val="8"/>
                      <w:sz w:val="21"/>
                      <w:szCs w:val="21"/>
                      <w:u w:val="none" w:color="auto"/>
                    </w:rPr>
                    <w:t>废</w:t>
                  </w:r>
                  <w:r>
                    <w:rPr>
                      <w:rFonts w:hint="default" w:ascii="Times New Roman" w:hAnsi="Times New Roman" w:eastAsia="宋体" w:cs="Times New Roman"/>
                      <w:strike w:val="0"/>
                      <w:dstrike w:val="0"/>
                      <w:color w:val="auto"/>
                      <w:spacing w:val="8"/>
                      <w:sz w:val="21"/>
                      <w:szCs w:val="21"/>
                      <w:u w:val="none" w:color="auto"/>
                      <w:lang w:eastAsia="zh-CN"/>
                    </w:rPr>
                    <w:t>物</w:t>
                  </w:r>
                </w:p>
              </w:tc>
              <w:tc>
                <w:tcPr>
                  <w:tcW w:w="4335" w:type="dxa"/>
                  <w:gridSpan w:val="2"/>
                  <w:vAlign w:val="center"/>
                </w:tcPr>
                <w:p w14:paraId="4FAF2008">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2"/>
                      <w:sz w:val="21"/>
                      <w:szCs w:val="21"/>
                      <w:u w:val="none" w:color="auto"/>
                    </w:rPr>
                    <w:t>1×5m</w:t>
                  </w:r>
                  <w:r>
                    <w:rPr>
                      <w:rFonts w:hint="default" w:ascii="Times New Roman" w:hAnsi="Times New Roman" w:cs="Times New Roman"/>
                      <w:strike w:val="0"/>
                      <w:dstrike w:val="0"/>
                      <w:color w:val="auto"/>
                      <w:spacing w:val="-2"/>
                      <w:sz w:val="21"/>
                      <w:szCs w:val="21"/>
                      <w:u w:val="none" w:color="auto"/>
                      <w:vertAlign w:val="superscript"/>
                      <w:lang w:val="en-US" w:eastAsia="zh-CN"/>
                    </w:rPr>
                    <w:t>2</w:t>
                  </w:r>
                  <w:r>
                    <w:rPr>
                      <w:rFonts w:hint="default" w:ascii="Times New Roman" w:hAnsi="Times New Roman" w:eastAsia="宋体" w:cs="Times New Roman"/>
                      <w:strike w:val="0"/>
                      <w:dstrike w:val="0"/>
                      <w:color w:val="auto"/>
                      <w:spacing w:val="-2"/>
                      <w:sz w:val="21"/>
                      <w:szCs w:val="21"/>
                      <w:u w:val="none" w:color="auto"/>
                    </w:rPr>
                    <w:t>一般固</w:t>
                  </w:r>
                  <w:r>
                    <w:rPr>
                      <w:rFonts w:hint="default" w:ascii="Times New Roman" w:hAnsi="Times New Roman" w:eastAsia="宋体" w:cs="Times New Roman"/>
                      <w:strike w:val="0"/>
                      <w:dstrike w:val="0"/>
                      <w:color w:val="auto"/>
                      <w:spacing w:val="6"/>
                      <w:sz w:val="21"/>
                      <w:szCs w:val="21"/>
                      <w:u w:val="none" w:color="auto"/>
                    </w:rPr>
                    <w:t>废间</w:t>
                  </w:r>
                </w:p>
              </w:tc>
              <w:tc>
                <w:tcPr>
                  <w:tcW w:w="1230" w:type="dxa"/>
                  <w:vAlign w:val="center"/>
                </w:tcPr>
                <w:p w14:paraId="30257FA0">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val="en-US" w:eastAsia="zh-CN"/>
                    </w:rPr>
                  </w:pPr>
                  <w:r>
                    <w:rPr>
                      <w:rFonts w:hint="default" w:ascii="Times New Roman" w:hAnsi="Times New Roman" w:eastAsia="宋体" w:cs="Times New Roman"/>
                      <w:strike w:val="0"/>
                      <w:dstrike w:val="0"/>
                      <w:color w:val="auto"/>
                      <w:sz w:val="21"/>
                      <w:szCs w:val="21"/>
                      <w:u w:val="none" w:color="auto"/>
                      <w:lang w:val="en-US" w:eastAsia="zh-CN"/>
                    </w:rPr>
                    <w:t>/</w:t>
                  </w:r>
                </w:p>
              </w:tc>
              <w:tc>
                <w:tcPr>
                  <w:tcW w:w="1811" w:type="dxa"/>
                  <w:vAlign w:val="center"/>
                </w:tcPr>
                <w:p w14:paraId="19B83CC0">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val="en-US" w:eastAsia="zh-CN"/>
                    </w:rPr>
                  </w:pPr>
                  <w:r>
                    <w:rPr>
                      <w:rFonts w:hint="default" w:ascii="Times New Roman" w:hAnsi="Times New Roman" w:eastAsia="宋体" w:cs="Times New Roman"/>
                      <w:strike w:val="0"/>
                      <w:dstrike w:val="0"/>
                      <w:color w:val="auto"/>
                      <w:sz w:val="21"/>
                      <w:szCs w:val="21"/>
                      <w:u w:val="none" w:color="auto"/>
                      <w:lang w:val="en-US" w:eastAsia="zh-CN"/>
                    </w:rPr>
                    <w:t>2</w:t>
                  </w:r>
                </w:p>
              </w:tc>
            </w:tr>
            <w:tr w14:paraId="6FBE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670" w:type="dxa"/>
                  <w:vMerge w:val="continue"/>
                  <w:vAlign w:val="center"/>
                </w:tcPr>
                <w:p w14:paraId="3EA0F2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p>
              </w:tc>
              <w:tc>
                <w:tcPr>
                  <w:tcW w:w="960" w:type="dxa"/>
                  <w:vMerge w:val="continue"/>
                  <w:vAlign w:val="center"/>
                </w:tcPr>
                <w:p w14:paraId="00D4A7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p>
              </w:tc>
              <w:tc>
                <w:tcPr>
                  <w:tcW w:w="4335" w:type="dxa"/>
                  <w:gridSpan w:val="2"/>
                  <w:vAlign w:val="center"/>
                </w:tcPr>
                <w:p w14:paraId="10A4ECA5">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4"/>
                      <w:sz w:val="21"/>
                      <w:szCs w:val="21"/>
                      <w:u w:val="none" w:color="auto"/>
                    </w:rPr>
                    <w:t>垃圾集中收集</w:t>
                  </w:r>
                  <w:r>
                    <w:rPr>
                      <w:rFonts w:hint="default" w:ascii="Times New Roman" w:hAnsi="Times New Roman" w:eastAsia="宋体" w:cs="Times New Roman"/>
                      <w:strike w:val="0"/>
                      <w:dstrike w:val="0"/>
                      <w:color w:val="auto"/>
                      <w:sz w:val="21"/>
                      <w:szCs w:val="21"/>
                      <w:u w:val="none" w:color="auto"/>
                    </w:rPr>
                    <w:t>桶</w:t>
                  </w:r>
                </w:p>
              </w:tc>
              <w:tc>
                <w:tcPr>
                  <w:tcW w:w="1230" w:type="dxa"/>
                  <w:vAlign w:val="center"/>
                </w:tcPr>
                <w:p w14:paraId="52E4C4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2"/>
                      <w:sz w:val="21"/>
                      <w:szCs w:val="21"/>
                      <w:u w:val="none" w:color="auto"/>
                    </w:rPr>
                    <w:t>/</w:t>
                  </w:r>
                </w:p>
              </w:tc>
              <w:tc>
                <w:tcPr>
                  <w:tcW w:w="1811" w:type="dxa"/>
                  <w:vAlign w:val="center"/>
                </w:tcPr>
                <w:p w14:paraId="34EA78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2"/>
                      <w:sz w:val="21"/>
                      <w:szCs w:val="21"/>
                      <w:u w:val="none" w:color="auto"/>
                      <w:lang w:val="en-US" w:eastAsia="zh-CN"/>
                    </w:rPr>
                  </w:pPr>
                  <w:r>
                    <w:rPr>
                      <w:rFonts w:hint="default" w:ascii="Times New Roman" w:hAnsi="Times New Roman" w:eastAsia="宋体" w:cs="Times New Roman"/>
                      <w:strike w:val="0"/>
                      <w:dstrike w:val="0"/>
                      <w:color w:val="auto"/>
                      <w:spacing w:val="2"/>
                      <w:sz w:val="21"/>
                      <w:szCs w:val="21"/>
                      <w:u w:val="none" w:color="auto"/>
                      <w:lang w:val="en-US" w:eastAsia="zh-CN"/>
                    </w:rPr>
                    <w:t>1</w:t>
                  </w:r>
                </w:p>
              </w:tc>
            </w:tr>
            <w:tr w14:paraId="49F9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7" w:hRule="atLeast"/>
                <w:jc w:val="center"/>
              </w:trPr>
              <w:tc>
                <w:tcPr>
                  <w:tcW w:w="670" w:type="dxa"/>
                  <w:vAlign w:val="center"/>
                </w:tcPr>
                <w:p w14:paraId="5EC73CE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strike w:val="0"/>
                      <w:dstrike w:val="0"/>
                      <w:color w:val="auto"/>
                      <w:spacing w:val="8"/>
                      <w:sz w:val="21"/>
                      <w:szCs w:val="21"/>
                      <w:u w:val="none" w:color="auto"/>
                      <w:lang w:val="en-US" w:eastAsia="zh-CN"/>
                    </w:rPr>
                    <w:t>5</w:t>
                  </w:r>
                </w:p>
              </w:tc>
              <w:tc>
                <w:tcPr>
                  <w:tcW w:w="960" w:type="dxa"/>
                  <w:vAlign w:val="center"/>
                </w:tcPr>
                <w:p w14:paraId="1E4BF376">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8"/>
                      <w:sz w:val="21"/>
                      <w:szCs w:val="21"/>
                      <w:u w:val="none" w:color="auto"/>
                    </w:rPr>
                    <w:t>事故</w:t>
                  </w:r>
                </w:p>
              </w:tc>
              <w:tc>
                <w:tcPr>
                  <w:tcW w:w="1440" w:type="dxa"/>
                  <w:vAlign w:val="center"/>
                </w:tcPr>
                <w:p w14:paraId="026778A1">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3"/>
                      <w:sz w:val="21"/>
                      <w:szCs w:val="21"/>
                      <w:u w:val="none" w:color="auto"/>
                    </w:rPr>
                    <w:t>生产</w:t>
                  </w:r>
                  <w:r>
                    <w:rPr>
                      <w:rFonts w:hint="default" w:ascii="Times New Roman" w:hAnsi="Times New Roman" w:eastAsia="宋体" w:cs="Times New Roman"/>
                      <w:strike w:val="0"/>
                      <w:dstrike w:val="0"/>
                      <w:color w:val="auto"/>
                      <w:spacing w:val="4"/>
                      <w:sz w:val="21"/>
                      <w:szCs w:val="21"/>
                      <w:u w:val="none" w:color="auto"/>
                    </w:rPr>
                    <w:t>过程</w:t>
                  </w:r>
                </w:p>
              </w:tc>
              <w:tc>
                <w:tcPr>
                  <w:tcW w:w="2895" w:type="dxa"/>
                  <w:vAlign w:val="center"/>
                </w:tcPr>
                <w:p w14:paraId="66A3E61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38"/>
                      <w:sz w:val="21"/>
                      <w:szCs w:val="21"/>
                      <w:u w:val="none" w:color="auto"/>
                    </w:rPr>
                    <w:t>火灾自动报警</w:t>
                  </w:r>
                  <w:r>
                    <w:rPr>
                      <w:rFonts w:hint="default" w:ascii="Times New Roman" w:hAnsi="Times New Roman" w:eastAsia="宋体" w:cs="Times New Roman"/>
                      <w:strike w:val="0"/>
                      <w:dstrike w:val="0"/>
                      <w:color w:val="auto"/>
                      <w:spacing w:val="4"/>
                      <w:sz w:val="21"/>
                      <w:szCs w:val="21"/>
                      <w:u w:val="none" w:color="auto"/>
                    </w:rPr>
                    <w:t>装置、灭火器等消防器材、消防物品、防护用具</w:t>
                  </w:r>
                  <w:r>
                    <w:rPr>
                      <w:rFonts w:hint="default" w:ascii="Times New Roman" w:hAnsi="Times New Roman" w:eastAsia="宋体" w:cs="Times New Roman"/>
                      <w:strike w:val="0"/>
                      <w:dstrike w:val="0"/>
                      <w:color w:val="auto"/>
                      <w:sz w:val="21"/>
                      <w:szCs w:val="21"/>
                      <w:u w:val="none" w:color="auto"/>
                    </w:rPr>
                    <w:t>等</w:t>
                  </w:r>
                </w:p>
              </w:tc>
              <w:tc>
                <w:tcPr>
                  <w:tcW w:w="1230" w:type="dxa"/>
                  <w:vAlign w:val="center"/>
                </w:tcPr>
                <w:p w14:paraId="0349B0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2"/>
                      <w:sz w:val="21"/>
                      <w:szCs w:val="21"/>
                      <w:u w:val="none" w:color="auto"/>
                    </w:rPr>
                    <w:t>/</w:t>
                  </w:r>
                </w:p>
              </w:tc>
              <w:tc>
                <w:tcPr>
                  <w:tcW w:w="1811" w:type="dxa"/>
                  <w:vAlign w:val="center"/>
                </w:tcPr>
                <w:p w14:paraId="1E14A9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pacing w:val="-8"/>
                      <w:sz w:val="21"/>
                      <w:szCs w:val="21"/>
                      <w:u w:val="none" w:color="auto"/>
                      <w:lang w:val="en-US" w:eastAsia="zh-CN"/>
                    </w:rPr>
                    <w:t>2</w:t>
                  </w:r>
                </w:p>
              </w:tc>
            </w:tr>
            <w:tr w14:paraId="0893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7195" w:type="dxa"/>
                  <w:gridSpan w:val="5"/>
                  <w:vAlign w:val="center"/>
                </w:tcPr>
                <w:p w14:paraId="1C1E2C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2"/>
                      <w:sz w:val="21"/>
                      <w:szCs w:val="21"/>
                      <w:u w:val="none" w:color="auto"/>
                      <w:lang w:eastAsia="zh-CN"/>
                    </w:rPr>
                  </w:pPr>
                  <w:r>
                    <w:rPr>
                      <w:rFonts w:hint="default" w:ascii="Times New Roman" w:hAnsi="Times New Roman" w:eastAsia="宋体" w:cs="Times New Roman"/>
                      <w:strike w:val="0"/>
                      <w:dstrike w:val="0"/>
                      <w:color w:val="auto"/>
                      <w:spacing w:val="2"/>
                      <w:sz w:val="21"/>
                      <w:szCs w:val="21"/>
                      <w:u w:val="none" w:color="auto"/>
                      <w:lang w:eastAsia="zh-CN"/>
                    </w:rPr>
                    <w:t>合计</w:t>
                  </w:r>
                </w:p>
              </w:tc>
              <w:tc>
                <w:tcPr>
                  <w:tcW w:w="1811" w:type="dxa"/>
                  <w:vAlign w:val="center"/>
                </w:tcPr>
                <w:p w14:paraId="5E7848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strike w:val="0"/>
                      <w:dstrike w:val="0"/>
                      <w:color w:val="auto"/>
                      <w:spacing w:val="-8"/>
                      <w:sz w:val="21"/>
                      <w:szCs w:val="21"/>
                      <w:u w:val="none" w:color="auto"/>
                      <w:lang w:val="en-US" w:eastAsia="zh-CN"/>
                    </w:rPr>
                    <w:t>30</w:t>
                  </w:r>
                </w:p>
              </w:tc>
            </w:tr>
          </w:tbl>
          <w:p w14:paraId="0EEA80A3">
            <w:pPr>
              <w:rPr>
                <w:rFonts w:hint="default" w:ascii="Times New Roman" w:hAnsi="Times New Roman" w:eastAsia="宋体" w:cs="Times New Roman"/>
                <w:color w:val="auto"/>
                <w:kern w:val="2"/>
                <w:sz w:val="24"/>
                <w:szCs w:val="24"/>
                <w:lang w:val="en-US" w:eastAsia="zh-CN" w:bidi="zh-CN"/>
              </w:rPr>
            </w:pPr>
          </w:p>
          <w:p w14:paraId="74CC0CD9">
            <w:pPr>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center"/>
              <w:textAlignment w:val="baseline"/>
              <w:rPr>
                <w:rFonts w:hint="default" w:ascii="Times New Roman" w:hAnsi="Times New Roman" w:eastAsia="宋体" w:cs="Times New Roman"/>
                <w:b w:val="0"/>
                <w:bCs w:val="0"/>
                <w:color w:val="auto"/>
                <w:spacing w:val="-1"/>
                <w:sz w:val="24"/>
                <w:szCs w:val="24"/>
                <w:lang w:eastAsia="zh-CN"/>
              </w:rPr>
            </w:pPr>
            <w:r>
              <w:rPr>
                <w:rFonts w:hint="default" w:ascii="Times New Roman" w:hAnsi="Times New Roman" w:eastAsia="宋体" w:cs="Times New Roman"/>
                <w:b w:val="0"/>
                <w:bCs w:val="0"/>
                <w:color w:val="auto"/>
                <w:spacing w:val="-2"/>
                <w:sz w:val="24"/>
                <w:szCs w:val="24"/>
              </w:rPr>
              <w:t>表4-</w:t>
            </w:r>
            <w:r>
              <w:rPr>
                <w:rFonts w:hint="default" w:ascii="Times New Roman" w:hAnsi="Times New Roman" w:eastAsia="宋体" w:cs="Times New Roman"/>
                <w:b w:val="0"/>
                <w:bCs w:val="0"/>
                <w:color w:val="auto"/>
                <w:spacing w:val="-2"/>
                <w:sz w:val="24"/>
                <w:szCs w:val="24"/>
                <w:lang w:val="en-US" w:eastAsia="zh-CN"/>
              </w:rPr>
              <w:t>1</w:t>
            </w:r>
            <w:r>
              <w:rPr>
                <w:rFonts w:hint="default" w:ascii="Times New Roman" w:hAnsi="Times New Roman" w:cs="Times New Roman"/>
                <w:b w:val="0"/>
                <w:bCs w:val="0"/>
                <w:color w:val="auto"/>
                <w:spacing w:val="-2"/>
                <w:sz w:val="24"/>
                <w:szCs w:val="24"/>
                <w:lang w:val="en-US" w:eastAsia="zh-CN"/>
              </w:rPr>
              <w:t>7</w:t>
            </w:r>
            <w:r>
              <w:rPr>
                <w:rFonts w:hint="default" w:ascii="Times New Roman" w:hAnsi="Times New Roman" w:eastAsia="宋体" w:cs="Times New Roman"/>
                <w:b w:val="0"/>
                <w:bCs w:val="0"/>
                <w:color w:val="auto"/>
                <w:spacing w:val="-2"/>
                <w:sz w:val="24"/>
                <w:szCs w:val="24"/>
                <w:lang w:val="en-US" w:eastAsia="zh-CN"/>
              </w:rPr>
              <w:t xml:space="preserve"> </w:t>
            </w:r>
            <w:r>
              <w:rPr>
                <w:rFonts w:hint="default" w:ascii="Times New Roman" w:hAnsi="Times New Roman" w:eastAsia="宋体" w:cs="Times New Roman"/>
                <w:b w:val="0"/>
                <w:bCs w:val="0"/>
                <w:color w:val="auto"/>
                <w:spacing w:val="-2"/>
                <w:sz w:val="24"/>
                <w:szCs w:val="24"/>
              </w:rPr>
              <w:t>项目</w:t>
            </w:r>
            <w:r>
              <w:rPr>
                <w:rFonts w:hint="default" w:ascii="Times New Roman" w:hAnsi="Times New Roman" w:eastAsia="宋体" w:cs="Times New Roman"/>
                <w:b w:val="0"/>
                <w:bCs w:val="0"/>
                <w:color w:val="auto"/>
                <w:spacing w:val="-2"/>
                <w:sz w:val="24"/>
                <w:szCs w:val="24"/>
                <w:lang w:eastAsia="zh-CN"/>
              </w:rPr>
              <w:t>“</w:t>
            </w:r>
            <w:r>
              <w:rPr>
                <w:rFonts w:hint="default" w:ascii="Times New Roman" w:hAnsi="Times New Roman" w:eastAsia="宋体" w:cs="Times New Roman"/>
                <w:b w:val="0"/>
                <w:bCs w:val="0"/>
                <w:color w:val="auto"/>
                <w:spacing w:val="-2"/>
                <w:sz w:val="24"/>
                <w:szCs w:val="24"/>
              </w:rPr>
              <w:t>三同时</w:t>
            </w:r>
            <w:r>
              <w:rPr>
                <w:rFonts w:hint="default" w:ascii="Times New Roman" w:hAnsi="Times New Roman" w:eastAsia="宋体" w:cs="Times New Roman"/>
                <w:b w:val="0"/>
                <w:bCs w:val="0"/>
                <w:color w:val="auto"/>
                <w:spacing w:val="-2"/>
                <w:sz w:val="24"/>
                <w:szCs w:val="24"/>
                <w:lang w:eastAsia="zh-CN"/>
              </w:rPr>
              <w:t>”</w:t>
            </w:r>
            <w:r>
              <w:rPr>
                <w:rFonts w:hint="default" w:ascii="Times New Roman" w:hAnsi="Times New Roman" w:eastAsia="宋体" w:cs="Times New Roman"/>
                <w:b w:val="0"/>
                <w:bCs w:val="0"/>
                <w:color w:val="auto"/>
                <w:spacing w:val="-2"/>
                <w:sz w:val="24"/>
                <w:szCs w:val="24"/>
              </w:rPr>
              <w:t>验收内容</w:t>
            </w:r>
          </w:p>
          <w:tbl>
            <w:tblPr>
              <w:tblStyle w:val="27"/>
              <w:tblW w:w="12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1"/>
              <w:gridCol w:w="13"/>
              <w:gridCol w:w="735"/>
              <w:gridCol w:w="9"/>
              <w:gridCol w:w="856"/>
              <w:gridCol w:w="669"/>
              <w:gridCol w:w="11"/>
              <w:gridCol w:w="17"/>
              <w:gridCol w:w="1931"/>
              <w:gridCol w:w="16"/>
              <w:gridCol w:w="39"/>
              <w:gridCol w:w="932"/>
              <w:gridCol w:w="11"/>
              <w:gridCol w:w="12"/>
              <w:gridCol w:w="809"/>
              <w:gridCol w:w="11"/>
              <w:gridCol w:w="37"/>
              <w:gridCol w:w="2776"/>
              <w:gridCol w:w="13"/>
              <w:gridCol w:w="71"/>
              <w:gridCol w:w="3194"/>
              <w:gridCol w:w="75"/>
            </w:tblGrid>
            <w:tr w14:paraId="4BB2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4"/>
                <w:wAfter w:w="1313" w:type="pct"/>
                <w:trHeight w:val="730" w:hRule="atLeast"/>
              </w:trPr>
              <w:tc>
                <w:tcPr>
                  <w:tcW w:w="178" w:type="pct"/>
                  <w:textDirection w:val="tbRlV"/>
                  <w:vAlign w:val="center"/>
                </w:tcPr>
                <w:p w14:paraId="55B7773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8"/>
                      <w:sz w:val="21"/>
                      <w:szCs w:val="21"/>
                      <w:u w:val="none" w:color="auto"/>
                    </w:rPr>
                    <w:t>序号</w:t>
                  </w:r>
                </w:p>
              </w:tc>
              <w:tc>
                <w:tcPr>
                  <w:tcW w:w="295" w:type="pct"/>
                  <w:gridSpan w:val="2"/>
                  <w:textDirection w:val="tbRlV"/>
                  <w:vAlign w:val="center"/>
                </w:tcPr>
                <w:p w14:paraId="31A009D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8"/>
                      <w:sz w:val="21"/>
                      <w:szCs w:val="21"/>
                      <w:u w:val="none" w:color="auto"/>
                    </w:rPr>
                    <w:t>类别</w:t>
                  </w:r>
                </w:p>
              </w:tc>
              <w:tc>
                <w:tcPr>
                  <w:tcW w:w="341" w:type="pct"/>
                  <w:gridSpan w:val="2"/>
                  <w:vAlign w:val="center"/>
                </w:tcPr>
                <w:p w14:paraId="5DBDFDD7">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4"/>
                      <w:sz w:val="21"/>
                      <w:szCs w:val="21"/>
                      <w:u w:val="none" w:color="auto"/>
                    </w:rPr>
                    <w:t>产污环节</w:t>
                  </w:r>
                </w:p>
              </w:tc>
              <w:tc>
                <w:tcPr>
                  <w:tcW w:w="264" w:type="pct"/>
                  <w:vAlign w:val="center"/>
                </w:tcPr>
                <w:p w14:paraId="60628C8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6"/>
                      <w:sz w:val="21"/>
                      <w:szCs w:val="21"/>
                      <w:u w:val="none" w:color="auto"/>
                    </w:rPr>
                    <w:t>污染物</w:t>
                  </w:r>
                </w:p>
              </w:tc>
              <w:tc>
                <w:tcPr>
                  <w:tcW w:w="772" w:type="pct"/>
                  <w:gridSpan w:val="3"/>
                  <w:vAlign w:val="center"/>
                </w:tcPr>
                <w:p w14:paraId="0DA7C248">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6"/>
                      <w:sz w:val="21"/>
                      <w:szCs w:val="21"/>
                      <w:u w:val="none" w:color="auto"/>
                      <w:lang w:eastAsia="zh-CN"/>
                    </w:rPr>
                    <w:t>环保</w:t>
                  </w:r>
                  <w:r>
                    <w:rPr>
                      <w:rFonts w:hint="default" w:ascii="Times New Roman" w:hAnsi="Times New Roman" w:eastAsia="宋体" w:cs="Times New Roman"/>
                      <w:strike w:val="0"/>
                      <w:dstrike w:val="0"/>
                      <w:color w:val="auto"/>
                      <w:spacing w:val="6"/>
                      <w:sz w:val="21"/>
                      <w:szCs w:val="21"/>
                      <w:u w:val="none" w:color="auto"/>
                    </w:rPr>
                    <w:t>措施</w:t>
                  </w:r>
                </w:p>
              </w:tc>
              <w:tc>
                <w:tcPr>
                  <w:tcW w:w="389" w:type="pct"/>
                  <w:gridSpan w:val="3"/>
                  <w:vAlign w:val="center"/>
                </w:tcPr>
                <w:p w14:paraId="75214B5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pacing w:val="7"/>
                      <w:sz w:val="21"/>
                      <w:szCs w:val="21"/>
                      <w:u w:val="none" w:color="auto"/>
                      <w:lang w:eastAsia="zh-CN"/>
                    </w:rPr>
                    <w:t>监测点位</w:t>
                  </w:r>
                </w:p>
              </w:tc>
              <w:tc>
                <w:tcPr>
                  <w:tcW w:w="328" w:type="pct"/>
                  <w:gridSpan w:val="3"/>
                  <w:vAlign w:val="center"/>
                </w:tcPr>
                <w:p w14:paraId="3AFCC46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7"/>
                      <w:sz w:val="21"/>
                      <w:szCs w:val="21"/>
                      <w:u w:val="none" w:color="auto"/>
                      <w:lang w:eastAsia="zh-CN"/>
                    </w:rPr>
                  </w:pPr>
                  <w:r>
                    <w:rPr>
                      <w:rFonts w:hint="default" w:ascii="Times New Roman" w:hAnsi="Times New Roman" w:eastAsia="宋体" w:cs="Times New Roman"/>
                      <w:strike w:val="0"/>
                      <w:dstrike w:val="0"/>
                      <w:color w:val="auto"/>
                      <w:spacing w:val="7"/>
                      <w:sz w:val="21"/>
                      <w:szCs w:val="21"/>
                      <w:u w:val="none" w:color="auto"/>
                      <w:lang w:eastAsia="zh-CN"/>
                    </w:rPr>
                    <w:t>监测频次</w:t>
                  </w:r>
                </w:p>
              </w:tc>
              <w:tc>
                <w:tcPr>
                  <w:tcW w:w="1113" w:type="pct"/>
                  <w:gridSpan w:val="3"/>
                  <w:vAlign w:val="center"/>
                </w:tcPr>
                <w:p w14:paraId="15393A89">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2"/>
                      <w:sz w:val="21"/>
                      <w:szCs w:val="21"/>
                      <w:u w:val="none" w:color="auto"/>
                      <w:lang w:eastAsia="zh-CN"/>
                    </w:rPr>
                    <w:t>执行标准</w:t>
                  </w:r>
                </w:p>
              </w:tc>
            </w:tr>
            <w:tr w14:paraId="3382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4"/>
                <w:wAfter w:w="1313" w:type="pct"/>
                <w:trHeight w:val="90" w:hRule="atLeast"/>
              </w:trPr>
              <w:tc>
                <w:tcPr>
                  <w:tcW w:w="178" w:type="pct"/>
                  <w:vMerge w:val="restart"/>
                  <w:vAlign w:val="center"/>
                </w:tcPr>
                <w:p w14:paraId="330EEA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z w:val="21"/>
                      <w:szCs w:val="21"/>
                      <w:u w:val="none" w:color="auto"/>
                      <w:lang w:val="en-US" w:eastAsia="zh-CN"/>
                    </w:rPr>
                    <w:t>1</w:t>
                  </w:r>
                </w:p>
              </w:tc>
              <w:tc>
                <w:tcPr>
                  <w:tcW w:w="295" w:type="pct"/>
                  <w:gridSpan w:val="2"/>
                  <w:vMerge w:val="restart"/>
                  <w:textDirection w:val="tbRlV"/>
                  <w:vAlign w:val="center"/>
                </w:tcPr>
                <w:p w14:paraId="69E8AF1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8"/>
                      <w:sz w:val="21"/>
                      <w:szCs w:val="21"/>
                      <w:u w:val="none" w:color="auto"/>
                    </w:rPr>
                    <w:t>废气</w:t>
                  </w:r>
                </w:p>
              </w:tc>
              <w:tc>
                <w:tcPr>
                  <w:tcW w:w="341" w:type="pct"/>
                  <w:gridSpan w:val="2"/>
                  <w:vAlign w:val="center"/>
                </w:tcPr>
                <w:p w14:paraId="2266E47A">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pacing w:val="4"/>
                      <w:sz w:val="21"/>
                      <w:szCs w:val="21"/>
                      <w:u w:val="none" w:color="auto"/>
                      <w:lang w:eastAsia="zh-CN"/>
                    </w:rPr>
                    <w:t>投料工序</w:t>
                  </w:r>
                </w:p>
              </w:tc>
              <w:tc>
                <w:tcPr>
                  <w:tcW w:w="264" w:type="pct"/>
                  <w:vAlign w:val="center"/>
                </w:tcPr>
                <w:p w14:paraId="381A91E6">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7"/>
                      <w:sz w:val="21"/>
                      <w:szCs w:val="21"/>
                      <w:u w:val="none" w:color="auto"/>
                    </w:rPr>
                    <w:t>颗粒物</w:t>
                  </w:r>
                </w:p>
              </w:tc>
              <w:tc>
                <w:tcPr>
                  <w:tcW w:w="772" w:type="pct"/>
                  <w:gridSpan w:val="3"/>
                  <w:vAlign w:val="center"/>
                </w:tcPr>
                <w:p w14:paraId="0F7E7D57">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废气经覆膜袋式除尘器+15m 高排气筒</w:t>
                  </w:r>
                </w:p>
                <w:p w14:paraId="1A52A9C7">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（DA00</w:t>
                  </w:r>
                  <w:r>
                    <w:rPr>
                      <w:rFonts w:hint="default" w:ascii="Times New Roman" w:hAnsi="Times New Roman" w:eastAsia="宋体" w:cs="Times New Roman"/>
                      <w:strike w:val="0"/>
                      <w:dstrike w:val="0"/>
                      <w:color w:val="auto"/>
                      <w:sz w:val="21"/>
                      <w:szCs w:val="21"/>
                      <w:u w:val="none" w:color="auto"/>
                      <w:lang w:val="en-US" w:eastAsia="zh-CN"/>
                    </w:rPr>
                    <w:t>1</w:t>
                  </w:r>
                  <w:r>
                    <w:rPr>
                      <w:rFonts w:hint="default" w:ascii="Times New Roman" w:hAnsi="Times New Roman" w:eastAsia="宋体" w:cs="Times New Roman"/>
                      <w:strike w:val="0"/>
                      <w:dstrike w:val="0"/>
                      <w:color w:val="auto"/>
                      <w:sz w:val="21"/>
                      <w:szCs w:val="21"/>
                      <w:u w:val="none" w:color="auto"/>
                    </w:rPr>
                    <w:t>）排放</w:t>
                  </w:r>
                </w:p>
              </w:tc>
              <w:tc>
                <w:tcPr>
                  <w:tcW w:w="389" w:type="pct"/>
                  <w:gridSpan w:val="3"/>
                  <w:vAlign w:val="center"/>
                </w:tcPr>
                <w:p w14:paraId="7A4DE767">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pacing w:val="8"/>
                      <w:sz w:val="21"/>
                      <w:szCs w:val="21"/>
                      <w:u w:val="none" w:color="auto"/>
                      <w:lang w:eastAsia="zh-CN"/>
                    </w:rPr>
                    <w:t>废气处理设施进</w:t>
                  </w:r>
                  <w:r>
                    <w:rPr>
                      <w:rFonts w:hint="default" w:ascii="Times New Roman" w:hAnsi="Times New Roman" w:eastAsia="宋体" w:cs="Times New Roman"/>
                      <w:strike w:val="0"/>
                      <w:dstrike w:val="0"/>
                      <w:color w:val="auto"/>
                      <w:spacing w:val="8"/>
                      <w:sz w:val="21"/>
                      <w:szCs w:val="21"/>
                      <w:u w:val="none" w:color="auto"/>
                    </w:rPr>
                    <w:t>出口</w:t>
                  </w:r>
                </w:p>
              </w:tc>
              <w:tc>
                <w:tcPr>
                  <w:tcW w:w="328" w:type="pct"/>
                  <w:gridSpan w:val="3"/>
                  <w:vAlign w:val="center"/>
                </w:tcPr>
                <w:p w14:paraId="1408CE12">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strike w:val="0"/>
                      <w:dstrike w:val="0"/>
                      <w:color w:val="auto"/>
                      <w:spacing w:val="8"/>
                      <w:sz w:val="21"/>
                      <w:szCs w:val="21"/>
                      <w:u w:val="none" w:color="auto"/>
                      <w:lang w:val="en-US" w:eastAsia="zh-CN"/>
                    </w:rPr>
                    <w:t>3次/天，连续2天</w:t>
                  </w:r>
                </w:p>
              </w:tc>
              <w:tc>
                <w:tcPr>
                  <w:tcW w:w="1113" w:type="pct"/>
                  <w:gridSpan w:val="3"/>
                  <w:vAlign w:val="center"/>
                </w:tcPr>
                <w:p w14:paraId="1039E2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2"/>
                      <w:sz w:val="21"/>
                      <w:szCs w:val="21"/>
                      <w:u w:val="none" w:color="auto"/>
                      <w:lang w:val="en-US" w:eastAsia="zh-CN"/>
                    </w:rPr>
                  </w:pPr>
                  <w:r>
                    <w:rPr>
                      <w:rFonts w:hint="default" w:ascii="Times New Roman" w:hAnsi="Times New Roman" w:eastAsia="宋体" w:cs="Times New Roman"/>
                      <w:strike w:val="0"/>
                      <w:dstrike w:val="0"/>
                      <w:color w:val="auto"/>
                      <w:spacing w:val="2"/>
                      <w:sz w:val="21"/>
                      <w:szCs w:val="21"/>
                      <w:u w:val="none" w:color="auto"/>
                      <w:lang w:val="en-US" w:eastAsia="zh-CN"/>
                    </w:rPr>
                    <w:t>《大气污染物综合排放标准》</w:t>
                  </w:r>
                </w:p>
                <w:p w14:paraId="32AE05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val="en-US" w:eastAsia="zh-CN"/>
                    </w:rPr>
                  </w:pPr>
                  <w:r>
                    <w:rPr>
                      <w:rFonts w:hint="default" w:ascii="Times New Roman" w:hAnsi="Times New Roman" w:eastAsia="宋体" w:cs="Times New Roman"/>
                      <w:strike w:val="0"/>
                      <w:dstrike w:val="0"/>
                      <w:color w:val="auto"/>
                      <w:spacing w:val="2"/>
                      <w:sz w:val="21"/>
                      <w:szCs w:val="21"/>
                      <w:u w:val="none" w:color="auto"/>
                      <w:lang w:val="en-US" w:eastAsia="zh-CN"/>
                    </w:rPr>
                    <w:t>（GB16297-1996）表 2 二级标准、</w:t>
                  </w:r>
                  <w:r>
                    <w:rPr>
                      <w:rFonts w:hint="default" w:ascii="Times New Roman" w:hAnsi="Times New Roman" w:eastAsia="宋体" w:cs="Times New Roman"/>
                      <w:color w:val="auto"/>
                    </w:rPr>
                    <w:t>安阳市《2019年推进全市工业企业超低排放深度治理实施方案》（安环攻坚办〔2019〕205号）</w:t>
                  </w:r>
                </w:p>
              </w:tc>
            </w:tr>
            <w:tr w14:paraId="3C39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4"/>
                <w:wAfter w:w="1313" w:type="pct"/>
                <w:trHeight w:val="1175" w:hRule="atLeast"/>
              </w:trPr>
              <w:tc>
                <w:tcPr>
                  <w:tcW w:w="178" w:type="pct"/>
                  <w:vMerge w:val="continue"/>
                  <w:vAlign w:val="center"/>
                </w:tcPr>
                <w:p w14:paraId="6CFE1C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p>
              </w:tc>
              <w:tc>
                <w:tcPr>
                  <w:tcW w:w="295" w:type="pct"/>
                  <w:gridSpan w:val="2"/>
                  <w:vMerge w:val="continue"/>
                  <w:textDirection w:val="tbRlV"/>
                  <w:vAlign w:val="center"/>
                </w:tcPr>
                <w:p w14:paraId="2B1588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p>
              </w:tc>
              <w:tc>
                <w:tcPr>
                  <w:tcW w:w="341" w:type="pct"/>
                  <w:gridSpan w:val="2"/>
                  <w:vAlign w:val="center"/>
                </w:tcPr>
                <w:p w14:paraId="5B40341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3"/>
                      <w:sz w:val="21"/>
                      <w:szCs w:val="21"/>
                      <w:u w:val="none" w:color="auto"/>
                      <w:lang w:eastAsia="zh-CN"/>
                    </w:rPr>
                  </w:pPr>
                  <w:r>
                    <w:rPr>
                      <w:rFonts w:hint="default" w:ascii="Times New Roman" w:hAnsi="Times New Roman" w:eastAsia="宋体" w:cs="Times New Roman"/>
                      <w:strike w:val="0"/>
                      <w:dstrike w:val="0"/>
                      <w:color w:val="auto"/>
                      <w:spacing w:val="3"/>
                      <w:sz w:val="21"/>
                      <w:szCs w:val="21"/>
                      <w:u w:val="none" w:color="auto"/>
                      <w:lang w:eastAsia="zh-CN"/>
                    </w:rPr>
                    <w:t>厂界</w:t>
                  </w:r>
                </w:p>
              </w:tc>
              <w:tc>
                <w:tcPr>
                  <w:tcW w:w="264" w:type="pct"/>
                  <w:vAlign w:val="center"/>
                </w:tcPr>
                <w:p w14:paraId="3E8DECA1">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7"/>
                      <w:sz w:val="21"/>
                      <w:szCs w:val="21"/>
                      <w:u w:val="none" w:color="auto"/>
                    </w:rPr>
                  </w:pPr>
                  <w:r>
                    <w:rPr>
                      <w:rFonts w:hint="default" w:ascii="Times New Roman" w:hAnsi="Times New Roman" w:eastAsia="宋体" w:cs="Times New Roman"/>
                      <w:strike w:val="0"/>
                      <w:dstrike w:val="0"/>
                      <w:color w:val="auto"/>
                      <w:spacing w:val="-17"/>
                      <w:sz w:val="21"/>
                      <w:szCs w:val="21"/>
                      <w:u w:val="none" w:color="auto"/>
                    </w:rPr>
                    <w:t>颗粒物</w:t>
                  </w:r>
                </w:p>
              </w:tc>
              <w:tc>
                <w:tcPr>
                  <w:tcW w:w="772" w:type="pct"/>
                  <w:gridSpan w:val="3"/>
                  <w:vAlign w:val="center"/>
                </w:tcPr>
                <w:p w14:paraId="688387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加强管理，车间密闭</w:t>
                  </w:r>
                </w:p>
                <w:p w14:paraId="57AD22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sz w:val="21"/>
                      <w:szCs w:val="21"/>
                      <w:u w:val="none" w:color="auto"/>
                    </w:rPr>
                  </w:pPr>
                </w:p>
              </w:tc>
              <w:tc>
                <w:tcPr>
                  <w:tcW w:w="389" w:type="pct"/>
                  <w:gridSpan w:val="3"/>
                  <w:vAlign w:val="center"/>
                </w:tcPr>
                <w:p w14:paraId="34BBC4A9">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z w:val="21"/>
                      <w:szCs w:val="21"/>
                      <w:u w:val="none" w:color="auto"/>
                      <w:lang w:eastAsia="zh-CN"/>
                    </w:rPr>
                    <w:t>上下风向</w:t>
                  </w:r>
                </w:p>
              </w:tc>
              <w:tc>
                <w:tcPr>
                  <w:tcW w:w="328" w:type="pct"/>
                  <w:gridSpan w:val="3"/>
                  <w:vAlign w:val="center"/>
                </w:tcPr>
                <w:p w14:paraId="6103570C">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3 次/</w:t>
                  </w:r>
                </w:p>
                <w:p w14:paraId="7A64537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天，连</w:t>
                  </w:r>
                </w:p>
                <w:p w14:paraId="09673280">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续 2</w:t>
                  </w:r>
                </w:p>
                <w:p w14:paraId="08AC99F2">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天</w:t>
                  </w:r>
                </w:p>
              </w:tc>
              <w:tc>
                <w:tcPr>
                  <w:tcW w:w="1113" w:type="pct"/>
                  <w:gridSpan w:val="3"/>
                  <w:vAlign w:val="center"/>
                </w:tcPr>
                <w:p w14:paraId="1B23F6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strike w:val="0"/>
                      <w:dstrike w:val="0"/>
                      <w:color w:val="auto"/>
                      <w:spacing w:val="-8"/>
                      <w:sz w:val="21"/>
                      <w:szCs w:val="21"/>
                      <w:u w:val="none" w:color="auto"/>
                      <w:lang w:val="en-US" w:eastAsia="zh-CN"/>
                    </w:rPr>
                    <w:t>《大气污染物综合排放标准》</w:t>
                  </w:r>
                </w:p>
                <w:p w14:paraId="745B7A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strike w:val="0"/>
                      <w:dstrike w:val="0"/>
                      <w:color w:val="auto"/>
                      <w:spacing w:val="-8"/>
                      <w:sz w:val="21"/>
                      <w:szCs w:val="21"/>
                      <w:u w:val="none" w:color="auto"/>
                      <w:lang w:val="en-US" w:eastAsia="zh-CN"/>
                    </w:rPr>
                    <w:t>（GB16297-1996）表 2 的二级标准、</w:t>
                  </w:r>
                  <w:r>
                    <w:rPr>
                      <w:rFonts w:hint="default" w:ascii="Times New Roman" w:hAnsi="Times New Roman" w:eastAsia="宋体" w:cs="Times New Roman"/>
                      <w:color w:val="auto"/>
                    </w:rPr>
                    <w:t>《安阳市环境污染防治攻坚战指挥办公室关于印发&lt;安阳市2019 年工业大气污染</w:t>
                  </w:r>
                </w:p>
                <w:p w14:paraId="528B44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color w:val="auto"/>
                    </w:rPr>
                    <w:t>治理5个专项实施方案&gt;的通知》（安环攻坚办〔2019〕196 号）</w:t>
                  </w:r>
                </w:p>
              </w:tc>
            </w:tr>
            <w:tr w14:paraId="2B70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1" w:type="pct"/>
                <w:trHeight w:val="509" w:hRule="atLeast"/>
              </w:trPr>
              <w:tc>
                <w:tcPr>
                  <w:tcW w:w="178" w:type="pct"/>
                  <w:vMerge w:val="restart"/>
                  <w:vAlign w:val="center"/>
                </w:tcPr>
                <w:p w14:paraId="6D645A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val="en-US" w:eastAsia="zh-CN"/>
                    </w:rPr>
                  </w:pPr>
                  <w:r>
                    <w:rPr>
                      <w:rFonts w:hint="default" w:ascii="Times New Roman" w:hAnsi="Times New Roman" w:eastAsia="宋体" w:cs="Times New Roman"/>
                      <w:strike w:val="0"/>
                      <w:dstrike w:val="0"/>
                      <w:color w:val="auto"/>
                      <w:sz w:val="21"/>
                      <w:szCs w:val="21"/>
                      <w:u w:val="none" w:color="auto"/>
                      <w:lang w:val="en-US" w:eastAsia="zh-CN"/>
                    </w:rPr>
                    <w:t>2</w:t>
                  </w:r>
                </w:p>
              </w:tc>
              <w:tc>
                <w:tcPr>
                  <w:tcW w:w="295" w:type="pct"/>
                  <w:gridSpan w:val="2"/>
                  <w:vMerge w:val="restart"/>
                  <w:textDirection w:val="tbRlV"/>
                  <w:vAlign w:val="center"/>
                </w:tcPr>
                <w:p w14:paraId="7D4D00A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eastAsia="zh-CN"/>
                    </w:rPr>
                  </w:pPr>
                  <w:r>
                    <w:rPr>
                      <w:rFonts w:hint="default" w:ascii="Times New Roman" w:hAnsi="Times New Roman" w:eastAsia="宋体" w:cs="Times New Roman"/>
                      <w:strike w:val="0"/>
                      <w:dstrike w:val="0"/>
                      <w:color w:val="auto"/>
                      <w:spacing w:val="8"/>
                      <w:sz w:val="21"/>
                      <w:szCs w:val="21"/>
                      <w:u w:val="none" w:color="auto"/>
                      <w:lang w:eastAsia="zh-CN"/>
                    </w:rPr>
                    <w:t>废水</w:t>
                  </w:r>
                </w:p>
              </w:tc>
              <w:tc>
                <w:tcPr>
                  <w:tcW w:w="609" w:type="pct"/>
                  <w:gridSpan w:val="4"/>
                  <w:vAlign w:val="center"/>
                </w:tcPr>
                <w:p w14:paraId="7F225572">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eastAsia="zh-CN"/>
                    </w:rPr>
                  </w:pPr>
                  <w:r>
                    <w:rPr>
                      <w:rFonts w:hint="default" w:ascii="Times New Roman" w:hAnsi="Times New Roman" w:eastAsia="宋体" w:cs="Times New Roman"/>
                      <w:strike w:val="0"/>
                      <w:dstrike w:val="0"/>
                      <w:color w:val="auto"/>
                      <w:spacing w:val="-1"/>
                      <w:sz w:val="21"/>
                      <w:szCs w:val="21"/>
                      <w:u w:val="none" w:color="auto"/>
                      <w:lang w:eastAsia="zh-CN"/>
                    </w:rPr>
                    <w:t>生活污水</w:t>
                  </w:r>
                  <w:r>
                    <w:rPr>
                      <w:rFonts w:hint="default" w:ascii="Times New Roman" w:hAnsi="Times New Roman" w:cs="Times New Roman"/>
                      <w:strike w:val="0"/>
                      <w:dstrike w:val="0"/>
                      <w:color w:val="auto"/>
                      <w:spacing w:val="-1"/>
                      <w:sz w:val="21"/>
                      <w:szCs w:val="21"/>
                      <w:u w:val="none" w:color="auto"/>
                      <w:lang w:eastAsia="zh-CN"/>
                    </w:rPr>
                    <w:t>、生产设备清洗废水、车间地面清洗废水</w:t>
                  </w:r>
                </w:p>
              </w:tc>
              <w:tc>
                <w:tcPr>
                  <w:tcW w:w="774" w:type="pct"/>
                  <w:gridSpan w:val="3"/>
                  <w:vAlign w:val="center"/>
                </w:tcPr>
                <w:p w14:paraId="45D024C3">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trike w:val="0"/>
                      <w:dstrike w:val="0"/>
                      <w:color w:val="auto"/>
                      <w:spacing w:val="-2"/>
                      <w:sz w:val="21"/>
                      <w:szCs w:val="21"/>
                      <w:u w:val="none" w:color="auto"/>
                      <w:lang w:val="en-US" w:eastAsia="zh-CN"/>
                    </w:rPr>
                  </w:pPr>
                  <w:r>
                    <w:rPr>
                      <w:rFonts w:hint="default" w:ascii="Times New Roman" w:hAnsi="Times New Roman" w:eastAsia="宋体" w:cs="Times New Roman"/>
                      <w:bCs/>
                      <w:color w:val="000000"/>
                      <w:szCs w:val="21"/>
                      <w:lang w:eastAsia="zh-CN"/>
                    </w:rPr>
                    <w:t>废水经</w:t>
                  </w:r>
                  <w:r>
                    <w:rPr>
                      <w:rFonts w:hint="default"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化粪池+一体化污水处理设施</w:t>
                  </w:r>
                  <w:r>
                    <w:rPr>
                      <w:rFonts w:hint="eastAsia"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处理后，</w:t>
                  </w:r>
                  <w:r>
                    <w:rPr>
                      <w:rFonts w:hint="default" w:ascii="Times New Roman" w:hAnsi="Times New Roman" w:cs="Times New Roman"/>
                      <w:color w:val="auto"/>
                      <w:kern w:val="2"/>
                      <w:sz w:val="21"/>
                      <w:szCs w:val="21"/>
                      <w:highlight w:val="none"/>
                      <w:vertAlign w:val="baseline"/>
                      <w:lang w:val="en-US" w:eastAsia="zh-CN" w:bidi="zh-CN"/>
                    </w:rPr>
                    <w:t>经市政管网排入滑县产业集聚区污水处理厂</w:t>
                  </w:r>
                </w:p>
              </w:tc>
              <w:tc>
                <w:tcPr>
                  <w:tcW w:w="387" w:type="pct"/>
                  <w:gridSpan w:val="3"/>
                  <w:vAlign w:val="center"/>
                </w:tcPr>
                <w:p w14:paraId="3379488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val="en-US" w:eastAsia="zh-CN"/>
                    </w:rPr>
                  </w:pPr>
                  <w:r>
                    <w:rPr>
                      <w:rFonts w:hint="default" w:ascii="Times New Roman" w:hAnsi="Times New Roman" w:eastAsia="宋体" w:cs="Times New Roman"/>
                      <w:strike w:val="0"/>
                      <w:dstrike w:val="0"/>
                      <w:color w:val="auto"/>
                      <w:spacing w:val="1"/>
                      <w:sz w:val="21"/>
                      <w:szCs w:val="21"/>
                      <w:u w:val="none" w:color="auto"/>
                      <w:lang w:val="en-US" w:eastAsia="zh-CN"/>
                    </w:rPr>
                    <w:t>/</w:t>
                  </w:r>
                </w:p>
              </w:tc>
              <w:tc>
                <w:tcPr>
                  <w:tcW w:w="328" w:type="pct"/>
                  <w:gridSpan w:val="3"/>
                  <w:vAlign w:val="center"/>
                </w:tcPr>
                <w:p w14:paraId="4468145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val="en-US" w:eastAsia="zh-CN"/>
                    </w:rPr>
                  </w:pPr>
                  <w:r>
                    <w:rPr>
                      <w:rFonts w:hint="default" w:ascii="Times New Roman" w:hAnsi="Times New Roman" w:eastAsia="宋体" w:cs="Times New Roman"/>
                      <w:strike w:val="0"/>
                      <w:dstrike w:val="0"/>
                      <w:color w:val="auto"/>
                      <w:spacing w:val="1"/>
                      <w:sz w:val="21"/>
                      <w:szCs w:val="21"/>
                      <w:u w:val="none" w:color="auto"/>
                      <w:lang w:val="en-US" w:eastAsia="zh-CN"/>
                    </w:rPr>
                    <w:t>/</w:t>
                  </w:r>
                </w:p>
              </w:tc>
              <w:tc>
                <w:tcPr>
                  <w:tcW w:w="1114" w:type="pct"/>
                  <w:gridSpan w:val="3"/>
                  <w:shd w:val="clear" w:color="auto" w:fill="auto"/>
                  <w:vAlign w:val="center"/>
                </w:tcPr>
                <w:p w14:paraId="4239C44D">
                  <w:pPr>
                    <w:keepNext w:val="0"/>
                    <w:keepLines w:val="0"/>
                    <w:pageBreakBefore w:val="0"/>
                    <w:wordWrap/>
                    <w:overflowPunct/>
                    <w:topLinePunct w:val="0"/>
                    <w:bidi w:val="0"/>
                    <w:spacing w:line="24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287" w:type="pct"/>
                  <w:gridSpan w:val="2"/>
                  <w:shd w:val="clear" w:color="auto" w:fill="auto"/>
                  <w:vAlign w:val="center"/>
                </w:tcPr>
                <w:p w14:paraId="406B96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kern w:val="2"/>
                      <w:sz w:val="21"/>
                      <w:szCs w:val="21"/>
                      <w:u w:val="none" w:color="auto"/>
                      <w:lang w:val="en-US" w:eastAsia="zh-CN" w:bidi="ar-SA"/>
                    </w:rPr>
                  </w:pPr>
                  <w:r>
                    <w:rPr>
                      <w:rFonts w:hint="default" w:ascii="Times New Roman" w:hAnsi="Times New Roman" w:eastAsia="宋体" w:cs="Times New Roman"/>
                      <w:strike w:val="0"/>
                      <w:dstrike w:val="0"/>
                      <w:color w:val="auto"/>
                      <w:sz w:val="21"/>
                      <w:szCs w:val="21"/>
                      <w:u w:val="none" w:color="auto"/>
                    </w:rPr>
                    <w:t>5</w:t>
                  </w:r>
                </w:p>
              </w:tc>
            </w:tr>
            <w:tr w14:paraId="6964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1" w:type="pct"/>
                <w:trHeight w:val="509" w:hRule="atLeast"/>
              </w:trPr>
              <w:tc>
                <w:tcPr>
                  <w:tcW w:w="178" w:type="pct"/>
                  <w:vMerge w:val="continue"/>
                  <w:vAlign w:val="center"/>
                </w:tcPr>
                <w:p w14:paraId="15D705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val="en-US" w:eastAsia="zh-CN"/>
                    </w:rPr>
                  </w:pPr>
                </w:p>
              </w:tc>
              <w:tc>
                <w:tcPr>
                  <w:tcW w:w="295" w:type="pct"/>
                  <w:gridSpan w:val="2"/>
                  <w:vMerge w:val="continue"/>
                  <w:textDirection w:val="tbRlV"/>
                  <w:vAlign w:val="center"/>
                </w:tcPr>
                <w:p w14:paraId="356284F8">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eastAsia="zh-CN"/>
                    </w:rPr>
                  </w:pPr>
                </w:p>
              </w:tc>
              <w:tc>
                <w:tcPr>
                  <w:tcW w:w="609" w:type="pct"/>
                  <w:gridSpan w:val="4"/>
                  <w:vAlign w:val="center"/>
                </w:tcPr>
                <w:p w14:paraId="28C16C0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eastAsia="zh-CN"/>
                    </w:rPr>
                  </w:pPr>
                  <w:r>
                    <w:rPr>
                      <w:rFonts w:hint="default" w:ascii="Times New Roman" w:hAnsi="Times New Roman" w:cs="Times New Roman"/>
                      <w:strike w:val="0"/>
                      <w:dstrike w:val="0"/>
                      <w:color w:val="auto"/>
                      <w:spacing w:val="-1"/>
                      <w:sz w:val="21"/>
                      <w:szCs w:val="21"/>
                      <w:u w:val="none" w:color="auto"/>
                      <w:lang w:eastAsia="zh-CN"/>
                    </w:rPr>
                    <w:t>纯水制备</w:t>
                  </w:r>
                </w:p>
              </w:tc>
              <w:tc>
                <w:tcPr>
                  <w:tcW w:w="774" w:type="pct"/>
                  <w:gridSpan w:val="3"/>
                  <w:vAlign w:val="center"/>
                </w:tcPr>
                <w:p w14:paraId="042E0A62">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zh-CN"/>
                    </w:rPr>
                  </w:pPr>
                  <w:r>
                    <w:rPr>
                      <w:rFonts w:hint="default" w:ascii="Times New Roman" w:hAnsi="Times New Roman" w:cs="Times New Roman"/>
                      <w:strike w:val="0"/>
                      <w:dstrike w:val="0"/>
                      <w:color w:val="auto"/>
                      <w:spacing w:val="-1"/>
                      <w:sz w:val="21"/>
                      <w:szCs w:val="21"/>
                      <w:u w:val="none" w:color="auto"/>
                      <w:lang w:val="en-US" w:eastAsia="zh-CN"/>
                    </w:rPr>
                    <w:t>产生的浓水全部用于厂区绿化、洒水抑尘</w:t>
                  </w:r>
                </w:p>
              </w:tc>
              <w:tc>
                <w:tcPr>
                  <w:tcW w:w="387" w:type="pct"/>
                  <w:gridSpan w:val="3"/>
                  <w:vAlign w:val="center"/>
                </w:tcPr>
                <w:p w14:paraId="4FBE2345">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val="en-US" w:eastAsia="zh-CN"/>
                    </w:rPr>
                  </w:pPr>
                  <w:r>
                    <w:rPr>
                      <w:rFonts w:hint="default" w:ascii="Times New Roman" w:hAnsi="Times New Roman" w:cs="Times New Roman"/>
                      <w:strike w:val="0"/>
                      <w:dstrike w:val="0"/>
                      <w:color w:val="auto"/>
                      <w:spacing w:val="1"/>
                      <w:sz w:val="21"/>
                      <w:szCs w:val="21"/>
                      <w:u w:val="none" w:color="auto"/>
                      <w:lang w:val="en-US" w:eastAsia="zh-CN"/>
                    </w:rPr>
                    <w:t>/</w:t>
                  </w:r>
                </w:p>
              </w:tc>
              <w:tc>
                <w:tcPr>
                  <w:tcW w:w="328" w:type="pct"/>
                  <w:gridSpan w:val="3"/>
                  <w:vAlign w:val="center"/>
                </w:tcPr>
                <w:p w14:paraId="49A95EAA">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val="en-US" w:eastAsia="zh-CN"/>
                    </w:rPr>
                  </w:pPr>
                  <w:r>
                    <w:rPr>
                      <w:rFonts w:hint="default" w:ascii="Times New Roman" w:hAnsi="Times New Roman" w:cs="Times New Roman"/>
                      <w:strike w:val="0"/>
                      <w:dstrike w:val="0"/>
                      <w:color w:val="auto"/>
                      <w:spacing w:val="1"/>
                      <w:sz w:val="21"/>
                      <w:szCs w:val="21"/>
                      <w:u w:val="none" w:color="auto"/>
                      <w:lang w:val="en-US" w:eastAsia="zh-CN"/>
                    </w:rPr>
                    <w:t>/</w:t>
                  </w:r>
                </w:p>
              </w:tc>
              <w:tc>
                <w:tcPr>
                  <w:tcW w:w="1114" w:type="pct"/>
                  <w:gridSpan w:val="3"/>
                  <w:shd w:val="clear" w:color="auto" w:fill="auto"/>
                  <w:vAlign w:val="center"/>
                </w:tcPr>
                <w:p w14:paraId="1D398661">
                  <w:pPr>
                    <w:keepNext w:val="0"/>
                    <w:keepLines w:val="0"/>
                    <w:pageBreakBefore w:val="0"/>
                    <w:wordWrap/>
                    <w:overflowPunct/>
                    <w:topLinePunct w:val="0"/>
                    <w:bidi w:val="0"/>
                    <w:spacing w:line="24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w:t>
                  </w:r>
                </w:p>
              </w:tc>
              <w:tc>
                <w:tcPr>
                  <w:tcW w:w="1287" w:type="pct"/>
                  <w:gridSpan w:val="2"/>
                  <w:shd w:val="clear" w:color="auto" w:fill="auto"/>
                  <w:vAlign w:val="center"/>
                </w:tcPr>
                <w:p w14:paraId="46EC86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sz w:val="21"/>
                      <w:szCs w:val="21"/>
                      <w:u w:val="none" w:color="auto"/>
                    </w:rPr>
                  </w:pPr>
                </w:p>
              </w:tc>
            </w:tr>
            <w:tr w14:paraId="3862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182" w:type="pct"/>
                  <w:gridSpan w:val="2"/>
                  <w:vAlign w:val="center"/>
                </w:tcPr>
                <w:p w14:paraId="4F269A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val="en-US" w:eastAsia="zh-CN"/>
                    </w:rPr>
                  </w:pPr>
                  <w:r>
                    <w:rPr>
                      <w:rFonts w:hint="default" w:ascii="Times New Roman" w:hAnsi="Times New Roman" w:eastAsia="宋体" w:cs="Times New Roman"/>
                      <w:strike w:val="0"/>
                      <w:dstrike w:val="0"/>
                      <w:color w:val="auto"/>
                      <w:sz w:val="21"/>
                      <w:szCs w:val="21"/>
                      <w:u w:val="none" w:color="auto"/>
                      <w:lang w:val="en-US" w:eastAsia="zh-CN"/>
                    </w:rPr>
                    <w:t>3</w:t>
                  </w:r>
                </w:p>
              </w:tc>
              <w:tc>
                <w:tcPr>
                  <w:tcW w:w="293" w:type="pct"/>
                  <w:gridSpan w:val="2"/>
                  <w:shd w:val="clear" w:color="auto" w:fill="auto"/>
                  <w:textDirection w:val="tbRlV"/>
                  <w:vAlign w:val="center"/>
                </w:tcPr>
                <w:p w14:paraId="37A49519">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kern w:val="2"/>
                      <w:sz w:val="21"/>
                      <w:szCs w:val="21"/>
                      <w:u w:val="none" w:color="auto"/>
                      <w:lang w:val="en-US" w:eastAsia="zh-CN" w:bidi="ar-SA"/>
                    </w:rPr>
                  </w:pPr>
                  <w:r>
                    <w:rPr>
                      <w:rFonts w:hint="default" w:ascii="Times New Roman" w:hAnsi="Times New Roman" w:eastAsia="宋体" w:cs="Times New Roman"/>
                      <w:strike w:val="0"/>
                      <w:dstrike w:val="0"/>
                      <w:color w:val="auto"/>
                      <w:spacing w:val="8"/>
                      <w:sz w:val="21"/>
                      <w:szCs w:val="21"/>
                      <w:u w:val="none" w:color="auto"/>
                    </w:rPr>
                    <w:t>噪声</w:t>
                  </w:r>
                </w:p>
              </w:tc>
              <w:tc>
                <w:tcPr>
                  <w:tcW w:w="611" w:type="pct"/>
                  <w:gridSpan w:val="4"/>
                  <w:shd w:val="clear" w:color="auto" w:fill="auto"/>
                  <w:vAlign w:val="center"/>
                </w:tcPr>
                <w:p w14:paraId="50713576">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kern w:val="2"/>
                      <w:sz w:val="21"/>
                      <w:szCs w:val="21"/>
                      <w:u w:val="none" w:color="auto"/>
                      <w:lang w:val="en-US" w:eastAsia="zh-CN" w:bidi="ar-SA"/>
                    </w:rPr>
                  </w:pPr>
                  <w:r>
                    <w:rPr>
                      <w:rFonts w:hint="default" w:ascii="Times New Roman" w:hAnsi="Times New Roman" w:eastAsia="宋体" w:cs="Times New Roman"/>
                      <w:strike w:val="0"/>
                      <w:dstrike w:val="0"/>
                      <w:color w:val="auto"/>
                      <w:spacing w:val="3"/>
                      <w:sz w:val="21"/>
                      <w:szCs w:val="21"/>
                      <w:u w:val="none" w:color="auto"/>
                    </w:rPr>
                    <w:t>生产</w:t>
                  </w:r>
                  <w:r>
                    <w:rPr>
                      <w:rFonts w:hint="default" w:ascii="Times New Roman" w:hAnsi="Times New Roman" w:eastAsia="宋体" w:cs="Times New Roman"/>
                      <w:strike w:val="0"/>
                      <w:dstrike w:val="0"/>
                      <w:color w:val="auto"/>
                      <w:spacing w:val="4"/>
                      <w:sz w:val="21"/>
                      <w:szCs w:val="21"/>
                      <w:u w:val="none" w:color="auto"/>
                    </w:rPr>
                    <w:t>过程</w:t>
                  </w:r>
                </w:p>
              </w:tc>
              <w:tc>
                <w:tcPr>
                  <w:tcW w:w="782" w:type="pct"/>
                  <w:gridSpan w:val="3"/>
                  <w:shd w:val="clear" w:color="auto" w:fill="auto"/>
                  <w:vAlign w:val="center"/>
                </w:tcPr>
                <w:p w14:paraId="0D299296">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kern w:val="2"/>
                      <w:sz w:val="21"/>
                      <w:szCs w:val="21"/>
                      <w:u w:val="none" w:color="auto"/>
                      <w:lang w:val="en-US" w:eastAsia="en-US" w:bidi="ar-SA"/>
                    </w:rPr>
                  </w:pPr>
                  <w:r>
                    <w:rPr>
                      <w:rFonts w:hint="default" w:ascii="Times New Roman" w:hAnsi="Times New Roman" w:eastAsia="宋体" w:cs="Times New Roman"/>
                      <w:strike w:val="0"/>
                      <w:dstrike w:val="0"/>
                      <w:color w:val="auto"/>
                      <w:spacing w:val="5"/>
                      <w:sz w:val="21"/>
                      <w:szCs w:val="21"/>
                      <w:u w:val="none" w:color="auto"/>
                    </w:rPr>
                    <w:t xml:space="preserve">减震、隔声、消声 </w:t>
                  </w:r>
                </w:p>
              </w:tc>
              <w:tc>
                <w:tcPr>
                  <w:tcW w:w="376" w:type="pct"/>
                  <w:gridSpan w:val="3"/>
                  <w:shd w:val="clear" w:color="auto" w:fill="auto"/>
                  <w:vAlign w:val="center"/>
                </w:tcPr>
                <w:p w14:paraId="600E4BE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kern w:val="2"/>
                      <w:sz w:val="21"/>
                      <w:szCs w:val="21"/>
                      <w:u w:val="none" w:color="auto"/>
                      <w:lang w:val="en-US" w:eastAsia="zh-CN" w:bidi="ar-SA"/>
                    </w:rPr>
                  </w:pPr>
                  <w:r>
                    <w:rPr>
                      <w:rFonts w:hint="default" w:ascii="Times New Roman" w:hAnsi="Times New Roman" w:eastAsia="宋体" w:cs="Times New Roman"/>
                      <w:strike w:val="0"/>
                      <w:dstrike w:val="0"/>
                      <w:color w:val="auto"/>
                      <w:spacing w:val="38"/>
                      <w:sz w:val="21"/>
                      <w:szCs w:val="21"/>
                      <w:u w:val="none" w:color="auto"/>
                      <w:lang w:eastAsia="zh-CN"/>
                    </w:rPr>
                    <w:t>厂界</w:t>
                  </w:r>
                </w:p>
              </w:tc>
              <w:tc>
                <w:tcPr>
                  <w:tcW w:w="337" w:type="pct"/>
                  <w:gridSpan w:val="3"/>
                  <w:shd w:val="clear" w:color="auto" w:fill="auto"/>
                  <w:vAlign w:val="center"/>
                </w:tcPr>
                <w:p w14:paraId="58A8FC29">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spacing w:val="5"/>
                      <w:sz w:val="21"/>
                      <w:szCs w:val="21"/>
                      <w:u w:val="none" w:color="auto"/>
                    </w:rPr>
                  </w:pPr>
                  <w:r>
                    <w:rPr>
                      <w:rFonts w:hint="default" w:ascii="Times New Roman" w:hAnsi="Times New Roman" w:eastAsia="宋体" w:cs="Times New Roman"/>
                      <w:strike w:val="0"/>
                      <w:dstrike w:val="0"/>
                      <w:color w:val="auto"/>
                      <w:spacing w:val="5"/>
                      <w:sz w:val="21"/>
                      <w:szCs w:val="21"/>
                      <w:u w:val="none" w:color="auto"/>
                      <w:lang w:val="en-US" w:eastAsia="zh-CN"/>
                    </w:rPr>
                    <w:t>1</w:t>
                  </w:r>
                  <w:r>
                    <w:rPr>
                      <w:rFonts w:hint="default" w:ascii="Times New Roman" w:hAnsi="Times New Roman" w:eastAsia="宋体" w:cs="Times New Roman"/>
                      <w:strike w:val="0"/>
                      <w:dstrike w:val="0"/>
                      <w:color w:val="auto"/>
                      <w:spacing w:val="5"/>
                      <w:sz w:val="21"/>
                      <w:szCs w:val="21"/>
                      <w:u w:val="none" w:color="auto"/>
                    </w:rPr>
                    <w:t xml:space="preserve"> 次/</w:t>
                  </w:r>
                </w:p>
                <w:p w14:paraId="5BDD490C">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spacing w:val="5"/>
                      <w:sz w:val="21"/>
                      <w:szCs w:val="21"/>
                      <w:u w:val="none" w:color="auto"/>
                    </w:rPr>
                  </w:pPr>
                  <w:r>
                    <w:rPr>
                      <w:rFonts w:hint="default" w:ascii="Times New Roman" w:hAnsi="Times New Roman" w:eastAsia="宋体" w:cs="Times New Roman"/>
                      <w:strike w:val="0"/>
                      <w:dstrike w:val="0"/>
                      <w:color w:val="auto"/>
                      <w:spacing w:val="5"/>
                      <w:sz w:val="21"/>
                      <w:szCs w:val="21"/>
                      <w:u w:val="none" w:color="auto"/>
                    </w:rPr>
                    <w:t>天，连</w:t>
                  </w:r>
                </w:p>
                <w:p w14:paraId="757D92AC">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spacing w:val="5"/>
                      <w:sz w:val="21"/>
                      <w:szCs w:val="21"/>
                      <w:u w:val="none" w:color="auto"/>
                    </w:rPr>
                  </w:pPr>
                  <w:r>
                    <w:rPr>
                      <w:rFonts w:hint="default" w:ascii="Times New Roman" w:hAnsi="Times New Roman" w:eastAsia="宋体" w:cs="Times New Roman"/>
                      <w:strike w:val="0"/>
                      <w:dstrike w:val="0"/>
                      <w:color w:val="auto"/>
                      <w:spacing w:val="5"/>
                      <w:sz w:val="21"/>
                      <w:szCs w:val="21"/>
                      <w:u w:val="none" w:color="auto"/>
                    </w:rPr>
                    <w:t>续 2</w:t>
                  </w:r>
                </w:p>
                <w:p w14:paraId="510A809C">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kern w:val="2"/>
                      <w:sz w:val="21"/>
                      <w:szCs w:val="21"/>
                      <w:u w:val="none" w:color="auto"/>
                      <w:lang w:val="en-US" w:eastAsia="zh-CN" w:bidi="ar-SA"/>
                    </w:rPr>
                  </w:pPr>
                  <w:r>
                    <w:rPr>
                      <w:rFonts w:hint="default" w:ascii="Times New Roman" w:hAnsi="Times New Roman" w:eastAsia="宋体" w:cs="Times New Roman"/>
                      <w:strike w:val="0"/>
                      <w:dstrike w:val="0"/>
                      <w:color w:val="auto"/>
                      <w:spacing w:val="5"/>
                      <w:sz w:val="21"/>
                      <w:szCs w:val="21"/>
                      <w:u w:val="none" w:color="auto"/>
                    </w:rPr>
                    <w:t>天</w:t>
                  </w:r>
                </w:p>
              </w:tc>
              <w:tc>
                <w:tcPr>
                  <w:tcW w:w="1127" w:type="pct"/>
                  <w:gridSpan w:val="3"/>
                  <w:shd w:val="clear" w:color="auto" w:fill="auto"/>
                  <w:vAlign w:val="center"/>
                </w:tcPr>
                <w:p w14:paraId="5FAE0B8D">
                  <w:pPr>
                    <w:keepNext w:val="0"/>
                    <w:keepLines w:val="0"/>
                    <w:pageBreakBefore w:val="0"/>
                    <w:wordWrap/>
                    <w:overflowPunct/>
                    <w:topLinePunct w:val="0"/>
                    <w:bidi w:val="0"/>
                    <w:spacing w:line="240" w:lineRule="auto"/>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vertAlign w:val="baseline"/>
                    </w:rPr>
                    <w:t>《工业企业厂界环境噪声排放标准》（GB12348-2008）3 类标准</w:t>
                  </w:r>
                </w:p>
              </w:tc>
              <w:tc>
                <w:tcPr>
                  <w:tcW w:w="1288" w:type="pct"/>
                  <w:gridSpan w:val="2"/>
                  <w:vAlign w:val="center"/>
                </w:tcPr>
                <w:p w14:paraId="3D2B83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kern w:val="2"/>
                      <w:sz w:val="21"/>
                      <w:szCs w:val="21"/>
                      <w:u w:val="none" w:color="auto"/>
                      <w:lang w:val="en-US" w:eastAsia="zh-CN" w:bidi="ar-SA"/>
                    </w:rPr>
                  </w:pPr>
                </w:p>
              </w:tc>
            </w:tr>
            <w:tr w14:paraId="1166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3"/>
                <w:wAfter w:w="1309" w:type="pct"/>
                <w:trHeight w:val="1222" w:hRule="atLeast"/>
              </w:trPr>
              <w:tc>
                <w:tcPr>
                  <w:tcW w:w="178" w:type="pct"/>
                  <w:vAlign w:val="center"/>
                </w:tcPr>
                <w:p w14:paraId="7A4857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z w:val="21"/>
                      <w:szCs w:val="21"/>
                      <w:u w:val="none" w:color="auto"/>
                      <w:lang w:val="en-US" w:eastAsia="zh-CN"/>
                    </w:rPr>
                    <w:t>4</w:t>
                  </w:r>
                </w:p>
              </w:tc>
              <w:tc>
                <w:tcPr>
                  <w:tcW w:w="295" w:type="pct"/>
                  <w:gridSpan w:val="2"/>
                  <w:textDirection w:val="tbRlV"/>
                  <w:vAlign w:val="center"/>
                </w:tcPr>
                <w:p w14:paraId="735A076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strike w:val="0"/>
                      <w:dstrike w:val="0"/>
                      <w:color w:val="auto"/>
                      <w:sz w:val="21"/>
                      <w:szCs w:val="21"/>
                      <w:u w:val="none" w:color="auto"/>
                      <w:lang w:eastAsia="zh-CN"/>
                    </w:rPr>
                    <w:t>固体废物</w:t>
                  </w:r>
                </w:p>
              </w:tc>
              <w:tc>
                <w:tcPr>
                  <w:tcW w:w="609" w:type="pct"/>
                  <w:gridSpan w:val="4"/>
                  <w:vAlign w:val="center"/>
                </w:tcPr>
                <w:p w14:paraId="5FDC9C3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bCs/>
                      <w:color w:val="auto"/>
                      <w:sz w:val="21"/>
                      <w:szCs w:val="21"/>
                      <w:lang w:eastAsia="zh-CN"/>
                    </w:rPr>
                    <w:t>废包装材料、除尘器粉尘</w:t>
                  </w:r>
                  <w:r>
                    <w:rPr>
                      <w:rFonts w:hint="default" w:ascii="Times New Roman" w:hAnsi="Times New Roman" w:eastAsia="宋体" w:cs="Times New Roman"/>
                      <w:color w:val="auto"/>
                      <w:spacing w:val="9"/>
                      <w:sz w:val="21"/>
                      <w:szCs w:val="21"/>
                    </w:rPr>
                    <w:t>；</w:t>
                  </w:r>
                  <w:r>
                    <w:rPr>
                      <w:rFonts w:hint="default" w:ascii="Times New Roman" w:hAnsi="Times New Roman" w:eastAsia="宋体" w:cs="Times New Roman"/>
                      <w:color w:val="auto"/>
                      <w:spacing w:val="6"/>
                      <w:sz w:val="21"/>
                      <w:szCs w:val="21"/>
                    </w:rPr>
                    <w:t>生活垃圾</w:t>
                  </w:r>
                </w:p>
              </w:tc>
              <w:tc>
                <w:tcPr>
                  <w:tcW w:w="774" w:type="pct"/>
                  <w:gridSpan w:val="3"/>
                  <w:vAlign w:val="center"/>
                </w:tcPr>
                <w:p w14:paraId="1436B8A1">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eastAsia="zh-CN"/>
                    </w:rPr>
                  </w:pPr>
                  <w:r>
                    <w:rPr>
                      <w:rFonts w:hint="default" w:ascii="Times New Roman" w:hAnsi="Times New Roman" w:eastAsia="宋体" w:cs="Times New Roman"/>
                      <w:bCs/>
                      <w:color w:val="auto"/>
                      <w:sz w:val="21"/>
                      <w:szCs w:val="21"/>
                      <w:lang w:eastAsia="zh-CN"/>
                    </w:rPr>
                    <w:t>废包装材料、除尘器粉尘收集后外售；</w:t>
                  </w:r>
                  <w:r>
                    <w:rPr>
                      <w:rFonts w:hint="default" w:ascii="Times New Roman" w:hAnsi="Times New Roman" w:eastAsia="宋体" w:cs="Times New Roman"/>
                      <w:color w:val="auto"/>
                      <w:spacing w:val="6"/>
                      <w:sz w:val="21"/>
                      <w:szCs w:val="21"/>
                    </w:rPr>
                    <w:t>生活垃圾</w:t>
                  </w:r>
                  <w:r>
                    <w:rPr>
                      <w:rFonts w:hint="default" w:ascii="Times New Roman" w:hAnsi="Times New Roman" w:cs="Times New Roman"/>
                      <w:color w:val="auto"/>
                      <w:spacing w:val="6"/>
                      <w:sz w:val="21"/>
                      <w:szCs w:val="21"/>
                      <w:lang w:eastAsia="zh-CN"/>
                    </w:rPr>
                    <w:t>，</w:t>
                  </w:r>
                  <w:r>
                    <w:rPr>
                      <w:rFonts w:hint="default" w:ascii="Times New Roman" w:hAnsi="Times New Roman" w:eastAsia="宋体" w:cs="Times New Roman"/>
                      <w:color w:val="auto"/>
                      <w:spacing w:val="6"/>
                      <w:sz w:val="21"/>
                      <w:szCs w:val="21"/>
                      <w:lang w:eastAsia="zh-CN"/>
                    </w:rPr>
                    <w:t>委托环卫部门统一处理</w:t>
                  </w:r>
                </w:p>
              </w:tc>
              <w:tc>
                <w:tcPr>
                  <w:tcW w:w="387" w:type="pct"/>
                  <w:gridSpan w:val="3"/>
                  <w:vAlign w:val="center"/>
                </w:tcPr>
                <w:p w14:paraId="20F5AE32">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lang w:val="en-US" w:eastAsia="zh-CN"/>
                    </w:rPr>
                  </w:pPr>
                  <w:r>
                    <w:rPr>
                      <w:rFonts w:hint="default" w:ascii="Times New Roman" w:hAnsi="Times New Roman" w:eastAsia="宋体" w:cs="Times New Roman"/>
                      <w:strike w:val="0"/>
                      <w:dstrike w:val="0"/>
                      <w:color w:val="auto"/>
                      <w:sz w:val="21"/>
                      <w:szCs w:val="21"/>
                      <w:u w:val="none" w:color="auto"/>
                      <w:lang w:val="en-US" w:eastAsia="zh-CN"/>
                    </w:rPr>
                    <w:t>/</w:t>
                  </w:r>
                </w:p>
              </w:tc>
              <w:tc>
                <w:tcPr>
                  <w:tcW w:w="328" w:type="pct"/>
                  <w:gridSpan w:val="3"/>
                  <w:vAlign w:val="center"/>
                </w:tcPr>
                <w:p w14:paraId="3017518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1"/>
                      <w:sz w:val="21"/>
                      <w:szCs w:val="21"/>
                      <w:u w:val="none" w:color="auto"/>
                      <w:lang w:val="en-US" w:eastAsia="zh-CN"/>
                    </w:rPr>
                  </w:pPr>
                  <w:r>
                    <w:rPr>
                      <w:rFonts w:hint="default" w:ascii="Times New Roman" w:hAnsi="Times New Roman" w:eastAsia="宋体" w:cs="Times New Roman"/>
                      <w:strike w:val="0"/>
                      <w:dstrike w:val="0"/>
                      <w:color w:val="auto"/>
                      <w:spacing w:val="1"/>
                      <w:sz w:val="21"/>
                      <w:szCs w:val="21"/>
                      <w:u w:val="none" w:color="auto"/>
                      <w:lang w:val="en-US" w:eastAsia="zh-CN"/>
                    </w:rPr>
                    <w:t>/</w:t>
                  </w:r>
                </w:p>
              </w:tc>
              <w:tc>
                <w:tcPr>
                  <w:tcW w:w="1114" w:type="pct"/>
                  <w:gridSpan w:val="3"/>
                  <w:vAlign w:val="center"/>
                </w:tcPr>
                <w:p w14:paraId="4BA17C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《一般工业固体废物和填埋污</w:t>
                  </w:r>
                </w:p>
                <w:p w14:paraId="51D60C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染控制标准》（GB18599-2020）</w:t>
                  </w:r>
                </w:p>
              </w:tc>
            </w:tr>
          </w:tbl>
          <w:p w14:paraId="46E17B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、与排污许可证衔接性分析</w:t>
            </w:r>
          </w:p>
          <w:p w14:paraId="4BDC68B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根据《排污许可管理办法（试行）》以及《固定污染源排污许可分类管理名录（2019年版）》，本项目排污许可管理类别为</w:t>
            </w:r>
            <w:r>
              <w:rPr>
                <w:rFonts w:hint="default" w:ascii="Times New Roman" w:hAnsi="Times New Roman" w:eastAsia="宋体" w:cs="Times New Roman"/>
                <w:color w:val="auto"/>
                <w:sz w:val="24"/>
                <w:szCs w:val="24"/>
                <w:lang w:eastAsia="zh-CN"/>
              </w:rPr>
              <w:t>登记管</w:t>
            </w:r>
            <w:r>
              <w:rPr>
                <w:rFonts w:hint="default" w:ascii="Times New Roman" w:hAnsi="Times New Roman" w:eastAsia="宋体" w:cs="Times New Roman"/>
                <w:color w:val="auto"/>
                <w:sz w:val="24"/>
                <w:szCs w:val="24"/>
              </w:rPr>
              <w:t>理，应当在启动生产设施或者发生实际排污之前向具有排污许可证核发权限的市生态环境主管部门申请取得排污许可证</w:t>
            </w:r>
            <w:r>
              <w:rPr>
                <w:rFonts w:hint="default" w:ascii="Times New Roman" w:hAnsi="Times New Roman" w:eastAsia="宋体" w:cs="Times New Roman"/>
                <w:color w:val="auto"/>
                <w:sz w:val="24"/>
                <w:szCs w:val="24"/>
                <w:lang w:eastAsia="zh-CN"/>
              </w:rPr>
              <w:t>。</w:t>
            </w:r>
          </w:p>
          <w:p w14:paraId="604F59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rPr>
            </w:pPr>
          </w:p>
          <w:p w14:paraId="22ABE8A6">
            <w:pPr>
              <w:rPr>
                <w:rFonts w:hint="default" w:ascii="Times New Roman" w:hAnsi="Times New Roman" w:eastAsia="宋体" w:cs="Times New Roman"/>
                <w:color w:val="auto"/>
                <w:lang w:val="en-US"/>
              </w:rPr>
            </w:pPr>
          </w:p>
          <w:p w14:paraId="35F2315E">
            <w:pPr>
              <w:rPr>
                <w:rFonts w:hint="default" w:ascii="Times New Roman" w:hAnsi="Times New Roman" w:eastAsia="宋体" w:cs="Times New Roman"/>
                <w:color w:val="auto"/>
                <w:lang w:val="en-US"/>
              </w:rPr>
            </w:pPr>
          </w:p>
        </w:tc>
      </w:tr>
    </w:tbl>
    <w:p w14:paraId="402D6C87">
      <w:pPr>
        <w:spacing w:line="360" w:lineRule="auto"/>
        <w:jc w:val="both"/>
        <w:outlineLvl w:val="1"/>
        <w:rPr>
          <w:rFonts w:hint="default" w:ascii="Times New Roman" w:hAnsi="Times New Roman" w:eastAsia="宋体" w:cs="Times New Roman"/>
          <w:b w:val="0"/>
          <w:bCs w:val="0"/>
          <w:color w:val="auto"/>
          <w:u w:val="single"/>
        </w:rPr>
      </w:pPr>
      <w:r>
        <w:rPr>
          <w:rFonts w:hint="default" w:ascii="Times New Roman" w:hAnsi="Times New Roman" w:eastAsia="宋体" w:cs="Times New Roman"/>
          <w:b w:val="0"/>
          <w:bCs w:val="0"/>
          <w:color w:val="auto"/>
          <w:sz w:val="32"/>
          <w:szCs w:val="32"/>
        </w:rPr>
        <w:t>五、环境保护措施监督检查清单</w:t>
      </w:r>
    </w:p>
    <w:tbl>
      <w:tblPr>
        <w:tblStyle w:val="27"/>
        <w:tblW w:w="905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7"/>
        <w:gridCol w:w="1101"/>
        <w:gridCol w:w="1155"/>
        <w:gridCol w:w="2580"/>
        <w:gridCol w:w="3210"/>
      </w:tblGrid>
      <w:tr w14:paraId="4F80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5" w:hRule="atLeast"/>
        </w:trPr>
        <w:tc>
          <w:tcPr>
            <w:tcW w:w="1007" w:type="dxa"/>
            <w:tcBorders>
              <w:tl2br w:val="single" w:color="000000" w:sz="4" w:space="0"/>
            </w:tcBorders>
            <w:vAlign w:val="center"/>
          </w:tcPr>
          <w:p w14:paraId="1DD4EAF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right"/>
              <w:textAlignment w:val="baseline"/>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内容</w:t>
            </w:r>
          </w:p>
          <w:p w14:paraId="1389F40C">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要素</w:t>
            </w:r>
          </w:p>
        </w:tc>
        <w:tc>
          <w:tcPr>
            <w:tcW w:w="1101" w:type="dxa"/>
            <w:vAlign w:val="center"/>
          </w:tcPr>
          <w:p w14:paraId="295F70A7">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排放口</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编</w:t>
            </w:r>
            <w:r>
              <w:rPr>
                <w:rFonts w:hint="default" w:ascii="Times New Roman" w:hAnsi="Times New Roman" w:eastAsia="宋体" w:cs="Times New Roman"/>
                <w:color w:val="auto"/>
                <w:spacing w:val="-3"/>
                <w:sz w:val="21"/>
                <w:szCs w:val="21"/>
              </w:rPr>
              <w:t>号、</w:t>
            </w:r>
            <w:r>
              <w:rPr>
                <w:rFonts w:hint="default" w:ascii="Times New Roman" w:hAnsi="Times New Roman" w:eastAsia="宋体" w:cs="Times New Roman"/>
                <w:color w:val="auto"/>
                <w:spacing w:val="6"/>
                <w:sz w:val="21"/>
                <w:szCs w:val="21"/>
              </w:rPr>
              <w:t>名称</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/污染源</w:t>
            </w:r>
          </w:p>
        </w:tc>
        <w:tc>
          <w:tcPr>
            <w:tcW w:w="1155" w:type="dxa"/>
            <w:vAlign w:val="center"/>
          </w:tcPr>
          <w:p w14:paraId="6215966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污染物</w:t>
            </w:r>
          </w:p>
        </w:tc>
        <w:tc>
          <w:tcPr>
            <w:tcW w:w="2580" w:type="dxa"/>
            <w:vAlign w:val="center"/>
          </w:tcPr>
          <w:p w14:paraId="4AB5574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环境保护措施</w:t>
            </w:r>
          </w:p>
        </w:tc>
        <w:tc>
          <w:tcPr>
            <w:tcW w:w="3210" w:type="dxa"/>
            <w:vAlign w:val="center"/>
          </w:tcPr>
          <w:p w14:paraId="1DFEFDA4">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执行标准</w:t>
            </w:r>
          </w:p>
        </w:tc>
      </w:tr>
      <w:tr w14:paraId="24CD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007" w:type="dxa"/>
            <w:vMerge w:val="restart"/>
            <w:vAlign w:val="center"/>
          </w:tcPr>
          <w:p w14:paraId="5F3168B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大气环境</w:t>
            </w:r>
          </w:p>
        </w:tc>
        <w:tc>
          <w:tcPr>
            <w:tcW w:w="1101" w:type="dxa"/>
            <w:vAlign w:val="center"/>
          </w:tcPr>
          <w:p w14:paraId="47C3EB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w:t>
            </w:r>
            <w:r>
              <w:rPr>
                <w:rFonts w:hint="default" w:ascii="Times New Roman" w:hAnsi="Times New Roman" w:eastAsia="宋体" w:cs="Times New Roman"/>
                <w:color w:val="auto"/>
                <w:spacing w:val="8"/>
                <w:sz w:val="21"/>
                <w:szCs w:val="21"/>
              </w:rPr>
              <w:t>001</w:t>
            </w:r>
          </w:p>
        </w:tc>
        <w:tc>
          <w:tcPr>
            <w:tcW w:w="1155" w:type="dxa"/>
            <w:vAlign w:val="center"/>
          </w:tcPr>
          <w:p w14:paraId="0B3362D0">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2580" w:type="dxa"/>
            <w:vAlign w:val="center"/>
          </w:tcPr>
          <w:p w14:paraId="08D3A859">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1套</w:t>
            </w:r>
            <w:r>
              <w:rPr>
                <w:rFonts w:hint="default" w:ascii="Times New Roman" w:hAnsi="Times New Roman" w:eastAsia="宋体" w:cs="Times New Roman"/>
                <w:color w:val="auto"/>
                <w:spacing w:val="16"/>
                <w:sz w:val="21"/>
                <w:szCs w:val="21"/>
                <w:lang w:eastAsia="zh-CN"/>
              </w:rPr>
              <w:t>覆膜式</w:t>
            </w:r>
            <w:r>
              <w:rPr>
                <w:rFonts w:hint="default" w:ascii="Times New Roman" w:hAnsi="Times New Roman" w:eastAsia="宋体" w:cs="Times New Roman"/>
                <w:color w:val="auto"/>
                <w:spacing w:val="16"/>
                <w:sz w:val="21"/>
                <w:szCs w:val="21"/>
              </w:rPr>
              <w:t>袋式除尘</w:t>
            </w:r>
            <w:r>
              <w:rPr>
                <w:rFonts w:hint="default" w:ascii="Times New Roman" w:hAnsi="Times New Roman" w:eastAsia="宋体" w:cs="Times New Roman"/>
                <w:color w:val="auto"/>
                <w:spacing w:val="7"/>
                <w:sz w:val="21"/>
                <w:szCs w:val="21"/>
              </w:rPr>
              <w:t>器+15m排气筒</w:t>
            </w:r>
          </w:p>
        </w:tc>
        <w:tc>
          <w:tcPr>
            <w:tcW w:w="3210" w:type="dxa"/>
            <w:vAlign w:val="center"/>
          </w:tcPr>
          <w:p w14:paraId="3DF16B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2"/>
                <w:sz w:val="21"/>
                <w:szCs w:val="21"/>
                <w:u w:val="none" w:color="auto"/>
                <w:lang w:val="en-US" w:eastAsia="zh-CN"/>
              </w:rPr>
            </w:pPr>
            <w:r>
              <w:rPr>
                <w:rFonts w:hint="default" w:ascii="Times New Roman" w:hAnsi="Times New Roman" w:eastAsia="宋体" w:cs="Times New Roman"/>
                <w:strike w:val="0"/>
                <w:dstrike w:val="0"/>
                <w:color w:val="auto"/>
                <w:spacing w:val="2"/>
                <w:sz w:val="21"/>
                <w:szCs w:val="21"/>
                <w:u w:val="none" w:color="auto"/>
                <w:lang w:val="en-US" w:eastAsia="zh-CN"/>
              </w:rPr>
              <w:t>《大气污染物综合排放标准》</w:t>
            </w:r>
          </w:p>
          <w:p w14:paraId="57CFDA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trike w:val="0"/>
                <w:dstrike w:val="0"/>
                <w:color w:val="auto"/>
                <w:spacing w:val="2"/>
                <w:sz w:val="21"/>
                <w:szCs w:val="21"/>
                <w:u w:val="none" w:color="auto"/>
                <w:lang w:val="en-US" w:eastAsia="zh-CN"/>
              </w:rPr>
              <w:t>（GB16297-1996）表 2 二级标准、</w:t>
            </w:r>
            <w:r>
              <w:rPr>
                <w:rFonts w:hint="default" w:ascii="Times New Roman" w:hAnsi="Times New Roman" w:eastAsia="宋体" w:cs="Times New Roman"/>
                <w:color w:val="auto"/>
                <w:sz w:val="21"/>
                <w:szCs w:val="21"/>
              </w:rPr>
              <w:t>安阳市《2019年推进全市工业企业超低排放深度治理实施方案》（安环攻坚办〔2019〕205号）</w:t>
            </w:r>
          </w:p>
        </w:tc>
      </w:tr>
      <w:tr w14:paraId="5A4A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5" w:hRule="atLeast"/>
        </w:trPr>
        <w:tc>
          <w:tcPr>
            <w:tcW w:w="1007" w:type="dxa"/>
            <w:vMerge w:val="continue"/>
            <w:vAlign w:val="center"/>
          </w:tcPr>
          <w:p w14:paraId="7C4EDA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101" w:type="dxa"/>
            <w:vAlign w:val="center"/>
          </w:tcPr>
          <w:p w14:paraId="003028E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lang w:eastAsia="zh-CN"/>
              </w:rPr>
              <w:t>厂界</w:t>
            </w:r>
          </w:p>
        </w:tc>
        <w:tc>
          <w:tcPr>
            <w:tcW w:w="1155" w:type="dxa"/>
            <w:vAlign w:val="center"/>
          </w:tcPr>
          <w:p w14:paraId="571C995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trike w:val="0"/>
                <w:dstrike w:val="0"/>
                <w:color w:val="auto"/>
                <w:spacing w:val="-17"/>
                <w:sz w:val="21"/>
                <w:szCs w:val="21"/>
                <w:u w:val="none" w:color="auto"/>
              </w:rPr>
              <w:t>颗粒物</w:t>
            </w:r>
          </w:p>
        </w:tc>
        <w:tc>
          <w:tcPr>
            <w:tcW w:w="2580" w:type="dxa"/>
            <w:vAlign w:val="center"/>
          </w:tcPr>
          <w:p w14:paraId="48F3E7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sz w:val="21"/>
                <w:szCs w:val="21"/>
                <w:u w:val="none" w:color="auto"/>
              </w:rPr>
            </w:pPr>
            <w:r>
              <w:rPr>
                <w:rFonts w:hint="default" w:ascii="Times New Roman" w:hAnsi="Times New Roman" w:eastAsia="宋体" w:cs="Times New Roman"/>
                <w:strike w:val="0"/>
                <w:dstrike w:val="0"/>
                <w:color w:val="auto"/>
                <w:sz w:val="21"/>
                <w:szCs w:val="21"/>
                <w:u w:val="none" w:color="auto"/>
              </w:rPr>
              <w:t>加强管理，车间密闭</w:t>
            </w:r>
          </w:p>
          <w:p w14:paraId="42A184B6">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3210" w:type="dxa"/>
            <w:vAlign w:val="center"/>
          </w:tcPr>
          <w:p w14:paraId="418470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eastAsia="宋体" w:cs="Times New Roman"/>
                <w:strike w:val="0"/>
                <w:dstrike w:val="0"/>
                <w:color w:val="auto"/>
                <w:spacing w:val="-8"/>
                <w:sz w:val="21"/>
                <w:szCs w:val="21"/>
                <w:u w:val="none" w:color="auto"/>
                <w:lang w:val="en-US" w:eastAsia="zh-CN"/>
              </w:rPr>
              <w:t>《大气污染物综合排放标准》</w:t>
            </w:r>
          </w:p>
          <w:p w14:paraId="0C24EC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trike w:val="0"/>
                <w:dstrike w:val="0"/>
                <w:color w:val="auto"/>
                <w:spacing w:val="-8"/>
                <w:sz w:val="21"/>
                <w:szCs w:val="21"/>
                <w:u w:val="none" w:color="auto"/>
                <w:lang w:val="en-US" w:eastAsia="zh-CN"/>
              </w:rPr>
              <w:t>（GB16297-1996）表 2 的二级标准、</w:t>
            </w:r>
            <w:r>
              <w:rPr>
                <w:rFonts w:hint="default" w:ascii="Times New Roman" w:hAnsi="Times New Roman" w:eastAsia="宋体" w:cs="Times New Roman"/>
                <w:color w:val="auto"/>
                <w:sz w:val="21"/>
                <w:szCs w:val="21"/>
              </w:rPr>
              <w:t>《安阳市环境污染防治攻坚战指挥办公室关于印发&lt;安阳市2019 年工业大气污染治理5个专项实施方案&gt;的通知》（安环攻坚办〔2019〕196 号）</w:t>
            </w:r>
          </w:p>
        </w:tc>
      </w:tr>
      <w:tr w14:paraId="18CC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5" w:hRule="atLeast"/>
        </w:trPr>
        <w:tc>
          <w:tcPr>
            <w:tcW w:w="1007" w:type="dxa"/>
            <w:vMerge w:val="restart"/>
            <w:vAlign w:val="center"/>
          </w:tcPr>
          <w:p w14:paraId="4F8CCC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cs="Times New Roman"/>
                <w:color w:val="000000"/>
                <w:szCs w:val="21"/>
              </w:rPr>
              <w:t>地表水环境</w:t>
            </w:r>
          </w:p>
        </w:tc>
        <w:tc>
          <w:tcPr>
            <w:tcW w:w="1101" w:type="dxa"/>
            <w:shd w:val="clear" w:color="auto" w:fill="auto"/>
            <w:vAlign w:val="center"/>
          </w:tcPr>
          <w:p w14:paraId="502E3447">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DW001</w:t>
            </w:r>
          </w:p>
        </w:tc>
        <w:tc>
          <w:tcPr>
            <w:tcW w:w="1155" w:type="dxa"/>
            <w:shd w:val="clear" w:color="auto" w:fill="auto"/>
            <w:vAlign w:val="center"/>
          </w:tcPr>
          <w:p w14:paraId="767D688E">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PH、COD、BOD</w:t>
            </w:r>
            <w:r>
              <w:rPr>
                <w:rFonts w:hint="default" w:ascii="Times New Roman" w:hAnsi="Times New Roman" w:cs="Times New Roman"/>
                <w:color w:val="000000"/>
                <w:szCs w:val="21"/>
                <w:vertAlign w:val="subscript"/>
              </w:rPr>
              <w:t>5</w:t>
            </w:r>
            <w:r>
              <w:rPr>
                <w:rFonts w:hint="default" w:ascii="Times New Roman" w:hAnsi="Times New Roman" w:cs="Times New Roman"/>
                <w:color w:val="000000"/>
                <w:szCs w:val="21"/>
              </w:rPr>
              <w:t>、氨氮、SS</w:t>
            </w:r>
          </w:p>
        </w:tc>
        <w:tc>
          <w:tcPr>
            <w:tcW w:w="2580" w:type="dxa"/>
            <w:shd w:val="clear" w:color="auto" w:fill="auto"/>
            <w:vAlign w:val="center"/>
          </w:tcPr>
          <w:p w14:paraId="4C5A5E7C">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trike w:val="0"/>
                <w:dstrike w:val="0"/>
                <w:color w:val="auto"/>
                <w:spacing w:val="-2"/>
                <w:kern w:val="2"/>
                <w:sz w:val="21"/>
                <w:szCs w:val="21"/>
                <w:u w:val="none" w:color="auto"/>
                <w:lang w:val="en-US" w:eastAsia="zh-CN" w:bidi="zh-CN"/>
              </w:rPr>
            </w:pPr>
            <w:r>
              <w:rPr>
                <w:rFonts w:hint="default" w:ascii="Times New Roman" w:hAnsi="Times New Roman" w:eastAsia="宋体" w:cs="Times New Roman"/>
                <w:bCs/>
                <w:color w:val="000000"/>
                <w:szCs w:val="21"/>
                <w:lang w:eastAsia="zh-CN"/>
              </w:rPr>
              <w:t>废水经</w:t>
            </w:r>
            <w:r>
              <w:rPr>
                <w:rFonts w:hint="default"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化粪池+一体化污水处理设施</w:t>
            </w:r>
            <w:r>
              <w:rPr>
                <w:rFonts w:hint="eastAsia" w:ascii="Times New Roman" w:hAnsi="Times New Roman" w:eastAsia="宋体" w:cs="Times New Roman"/>
                <w:color w:val="000000" w:themeColor="text1"/>
                <w:kern w:val="2"/>
                <w:sz w:val="21"/>
                <w:szCs w:val="21"/>
                <w:highlight w:val="none"/>
                <w:vertAlign w:val="baseline"/>
                <w:lang w:val="en-US" w:eastAsia="zh-CN" w:bidi="zh-CN"/>
                <w14:textFill>
                  <w14:solidFill>
                    <w14:schemeClr w14:val="tx1"/>
                  </w14:solidFill>
                </w14:textFill>
              </w:rPr>
              <w:t>处理后，</w:t>
            </w:r>
            <w:r>
              <w:rPr>
                <w:rFonts w:hint="default" w:ascii="Times New Roman" w:hAnsi="Times New Roman" w:cs="Times New Roman"/>
                <w:color w:val="auto"/>
                <w:kern w:val="2"/>
                <w:sz w:val="21"/>
                <w:szCs w:val="21"/>
                <w:highlight w:val="none"/>
                <w:vertAlign w:val="baseline"/>
                <w:lang w:val="en-US" w:eastAsia="zh-CN" w:bidi="zh-CN"/>
              </w:rPr>
              <w:t>经市政管网排入滑县产业集聚区污水处理厂</w:t>
            </w:r>
          </w:p>
        </w:tc>
        <w:tc>
          <w:tcPr>
            <w:tcW w:w="3210" w:type="dxa"/>
            <w:vAlign w:val="center"/>
          </w:tcPr>
          <w:p w14:paraId="6F07CE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cs="Times New Roman"/>
                <w:color w:val="000000"/>
                <w:szCs w:val="21"/>
              </w:rPr>
              <w:t>《污水综合排放标准》（GB8978-1996）表4三级标准要求及滑县产业集聚区污水处理厂进水指标</w:t>
            </w:r>
          </w:p>
        </w:tc>
      </w:tr>
      <w:tr w14:paraId="690D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5" w:hRule="atLeast"/>
        </w:trPr>
        <w:tc>
          <w:tcPr>
            <w:tcW w:w="1007" w:type="dxa"/>
            <w:vMerge w:val="continue"/>
            <w:vAlign w:val="center"/>
          </w:tcPr>
          <w:p w14:paraId="5A4DA5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101" w:type="dxa"/>
            <w:shd w:val="clear" w:color="auto" w:fill="auto"/>
            <w:vAlign w:val="center"/>
          </w:tcPr>
          <w:p w14:paraId="75F932FF">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trike w:val="0"/>
                <w:dstrike w:val="0"/>
                <w:color w:val="auto"/>
                <w:spacing w:val="-1"/>
                <w:kern w:val="2"/>
                <w:sz w:val="21"/>
                <w:szCs w:val="21"/>
                <w:u w:val="none" w:color="auto"/>
                <w:lang w:val="en-US" w:eastAsia="zh-CN" w:bidi="ar-SA"/>
              </w:rPr>
            </w:pPr>
            <w:r>
              <w:rPr>
                <w:rFonts w:hint="default" w:ascii="Times New Roman" w:hAnsi="Times New Roman" w:cs="Times New Roman"/>
                <w:strike w:val="0"/>
                <w:dstrike w:val="0"/>
                <w:color w:val="auto"/>
                <w:spacing w:val="-1"/>
                <w:sz w:val="21"/>
                <w:szCs w:val="21"/>
                <w:u w:val="none" w:color="auto"/>
                <w:lang w:eastAsia="zh-CN"/>
              </w:rPr>
              <w:t>纯水制备</w:t>
            </w:r>
          </w:p>
        </w:tc>
        <w:tc>
          <w:tcPr>
            <w:tcW w:w="1155" w:type="dxa"/>
            <w:shd w:val="clear" w:color="auto" w:fill="auto"/>
            <w:vAlign w:val="center"/>
          </w:tcPr>
          <w:p w14:paraId="50D3B5B1">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zh-CN"/>
              </w:rPr>
            </w:pPr>
            <w:r>
              <w:rPr>
                <w:rFonts w:hint="default" w:ascii="Times New Roman" w:hAnsi="Times New Roman" w:cs="Times New Roman"/>
                <w:color w:val="auto"/>
                <w:kern w:val="2"/>
                <w:sz w:val="21"/>
                <w:szCs w:val="21"/>
                <w:highlight w:val="none"/>
                <w:vertAlign w:val="baseline"/>
                <w:lang w:val="en-US" w:eastAsia="zh-CN" w:bidi="zh-CN"/>
              </w:rPr>
              <w:t>/</w:t>
            </w:r>
          </w:p>
        </w:tc>
        <w:tc>
          <w:tcPr>
            <w:tcW w:w="2580" w:type="dxa"/>
            <w:shd w:val="clear" w:color="auto" w:fill="auto"/>
            <w:vAlign w:val="center"/>
          </w:tcPr>
          <w:p w14:paraId="7F3271F5">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zh-CN"/>
              </w:rPr>
            </w:pPr>
            <w:r>
              <w:rPr>
                <w:rFonts w:hint="default" w:ascii="Times New Roman" w:hAnsi="Times New Roman" w:cs="Times New Roman"/>
                <w:strike w:val="0"/>
                <w:dstrike w:val="0"/>
                <w:color w:val="auto"/>
                <w:spacing w:val="-1"/>
                <w:sz w:val="21"/>
                <w:szCs w:val="21"/>
                <w:u w:val="none" w:color="auto"/>
                <w:lang w:val="en-US" w:eastAsia="zh-CN"/>
              </w:rPr>
              <w:t>产生的浓水全部用于厂区绿化、洒水抑尘</w:t>
            </w:r>
          </w:p>
        </w:tc>
        <w:tc>
          <w:tcPr>
            <w:tcW w:w="3210" w:type="dxa"/>
            <w:vAlign w:val="center"/>
          </w:tcPr>
          <w:p w14:paraId="72776B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trike w:val="0"/>
                <w:dstrike w:val="0"/>
                <w:color w:val="auto"/>
                <w:spacing w:val="-8"/>
                <w:sz w:val="21"/>
                <w:szCs w:val="21"/>
                <w:u w:val="none" w:color="auto"/>
                <w:lang w:val="en-US" w:eastAsia="zh-CN"/>
              </w:rPr>
            </w:pPr>
            <w:r>
              <w:rPr>
                <w:rFonts w:hint="default" w:ascii="Times New Roman" w:hAnsi="Times New Roman" w:cs="Times New Roman"/>
                <w:strike w:val="0"/>
                <w:dstrike w:val="0"/>
                <w:color w:val="auto"/>
                <w:spacing w:val="-8"/>
                <w:sz w:val="21"/>
                <w:szCs w:val="21"/>
                <w:u w:val="none" w:color="auto"/>
                <w:lang w:val="en-US" w:eastAsia="zh-CN"/>
              </w:rPr>
              <w:t>/</w:t>
            </w:r>
          </w:p>
        </w:tc>
      </w:tr>
      <w:tr w14:paraId="5DB0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9" w:hRule="atLeast"/>
        </w:trPr>
        <w:tc>
          <w:tcPr>
            <w:tcW w:w="1007" w:type="dxa"/>
            <w:vAlign w:val="center"/>
          </w:tcPr>
          <w:p w14:paraId="0DC3EC81">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声环境</w:t>
            </w:r>
          </w:p>
        </w:tc>
        <w:tc>
          <w:tcPr>
            <w:tcW w:w="1101" w:type="dxa"/>
            <w:vAlign w:val="center"/>
          </w:tcPr>
          <w:p w14:paraId="3132494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厂界</w:t>
            </w:r>
          </w:p>
        </w:tc>
        <w:tc>
          <w:tcPr>
            <w:tcW w:w="1155" w:type="dxa"/>
            <w:vAlign w:val="center"/>
          </w:tcPr>
          <w:p w14:paraId="644D01EF">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等效连续</w:t>
            </w:r>
            <w:r>
              <w:rPr>
                <w:rFonts w:hint="default" w:ascii="Times New Roman" w:hAnsi="Times New Roman" w:eastAsia="宋体" w:cs="Times New Roman"/>
                <w:color w:val="auto"/>
                <w:spacing w:val="3"/>
                <w:sz w:val="21"/>
                <w:szCs w:val="21"/>
              </w:rPr>
              <w:t>A声级</w:t>
            </w:r>
          </w:p>
        </w:tc>
        <w:tc>
          <w:tcPr>
            <w:tcW w:w="2580" w:type="dxa"/>
            <w:vAlign w:val="center"/>
          </w:tcPr>
          <w:p w14:paraId="64F7F893">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厂房隔声、设备减振及距离衰</w:t>
            </w:r>
            <w:r>
              <w:rPr>
                <w:rFonts w:hint="default" w:ascii="Times New Roman" w:hAnsi="Times New Roman" w:eastAsia="宋体" w:cs="Times New Roman"/>
                <w:color w:val="auto"/>
                <w:sz w:val="21"/>
                <w:szCs w:val="21"/>
              </w:rPr>
              <w:t>减</w:t>
            </w:r>
          </w:p>
        </w:tc>
        <w:tc>
          <w:tcPr>
            <w:tcW w:w="3210" w:type="dxa"/>
            <w:vAlign w:val="center"/>
          </w:tcPr>
          <w:p w14:paraId="26871EC9">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《工业企业厂界环境噪声</w:t>
            </w:r>
            <w:r>
              <w:rPr>
                <w:rFonts w:hint="default" w:ascii="Times New Roman" w:hAnsi="Times New Roman" w:eastAsia="宋体" w:cs="Times New Roman"/>
                <w:color w:val="auto"/>
                <w:spacing w:val="-6"/>
                <w:sz w:val="21"/>
                <w:szCs w:val="21"/>
              </w:rPr>
              <w:t>排放标准》（GB12348-2008）</w:t>
            </w:r>
            <w:r>
              <w:rPr>
                <w:rFonts w:hint="default" w:ascii="Times New Roman" w:hAnsi="Times New Roman" w:eastAsia="宋体" w:cs="Times New Roman"/>
                <w:color w:val="auto"/>
                <w:spacing w:val="6"/>
                <w:sz w:val="21"/>
                <w:szCs w:val="21"/>
              </w:rPr>
              <w:t>3类标准（昼间&lt;65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pacing w:val="6"/>
                <w:sz w:val="21"/>
                <w:szCs w:val="21"/>
              </w:rPr>
              <w:t>(A</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夜间&lt;55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6"/>
                <w:sz w:val="21"/>
                <w:szCs w:val="21"/>
              </w:rPr>
              <w:t>A</w:t>
            </w:r>
            <w:r>
              <w:rPr>
                <w:rFonts w:hint="default" w:ascii="Times New Roman" w:hAnsi="Times New Roman" w:eastAsia="宋体" w:cs="Times New Roman"/>
                <w:color w:val="auto"/>
                <w:spacing w:val="1"/>
                <w:sz w:val="21"/>
                <w:szCs w:val="21"/>
              </w:rPr>
              <w:t>））</w:t>
            </w:r>
          </w:p>
        </w:tc>
      </w:tr>
      <w:tr w14:paraId="2984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6" w:hRule="atLeast"/>
        </w:trPr>
        <w:tc>
          <w:tcPr>
            <w:tcW w:w="1007" w:type="dxa"/>
            <w:vAlign w:val="center"/>
          </w:tcPr>
          <w:p w14:paraId="428B9D76">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5"/>
                <w:sz w:val="21"/>
                <w:szCs w:val="21"/>
              </w:rPr>
              <w:t>固废</w:t>
            </w:r>
            <w:r>
              <w:rPr>
                <w:rFonts w:hint="default" w:ascii="Times New Roman" w:hAnsi="Times New Roman" w:eastAsia="宋体" w:cs="Times New Roman"/>
                <w:color w:val="auto"/>
                <w:spacing w:val="-5"/>
                <w:sz w:val="21"/>
                <w:szCs w:val="21"/>
                <w:lang w:eastAsia="zh-CN"/>
              </w:rPr>
              <w:t>环境</w:t>
            </w:r>
          </w:p>
        </w:tc>
        <w:tc>
          <w:tcPr>
            <w:tcW w:w="8046" w:type="dxa"/>
            <w:gridSpan w:val="4"/>
            <w:vAlign w:val="center"/>
          </w:tcPr>
          <w:p w14:paraId="4F41B72F">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一般工业固废：</w:t>
            </w:r>
            <w:r>
              <w:rPr>
                <w:rFonts w:hint="default" w:ascii="Times New Roman" w:hAnsi="Times New Roman" w:eastAsia="宋体" w:cs="Times New Roman"/>
                <w:bCs/>
                <w:color w:val="auto"/>
                <w:sz w:val="21"/>
                <w:szCs w:val="21"/>
                <w:lang w:eastAsia="zh-CN"/>
              </w:rPr>
              <w:t>废包装材料、除尘器粉尘</w:t>
            </w:r>
            <w:r>
              <w:rPr>
                <w:rFonts w:hint="default" w:ascii="Times New Roman" w:hAnsi="Times New Roman" w:cs="Times New Roman"/>
                <w:bCs/>
                <w:color w:val="auto"/>
                <w:sz w:val="21"/>
                <w:szCs w:val="21"/>
                <w:lang w:eastAsia="zh-CN"/>
              </w:rPr>
              <w:t>收集后、外售</w:t>
            </w:r>
            <w:r>
              <w:rPr>
                <w:rFonts w:hint="default" w:ascii="Times New Roman" w:hAnsi="Times New Roman" w:eastAsia="宋体" w:cs="Times New Roman"/>
                <w:color w:val="auto"/>
                <w:spacing w:val="9"/>
                <w:sz w:val="21"/>
                <w:szCs w:val="21"/>
              </w:rPr>
              <w:t>；</w:t>
            </w:r>
            <w:r>
              <w:rPr>
                <w:rFonts w:hint="default" w:ascii="Times New Roman" w:hAnsi="Times New Roman" w:eastAsia="宋体" w:cs="Times New Roman"/>
                <w:color w:val="auto"/>
                <w:spacing w:val="6"/>
                <w:sz w:val="21"/>
                <w:szCs w:val="21"/>
              </w:rPr>
              <w:t>生活垃圾：由当地环卫部门统一清运处理。</w:t>
            </w:r>
          </w:p>
        </w:tc>
      </w:tr>
      <w:tr w14:paraId="0DBF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0" w:hRule="atLeast"/>
        </w:trPr>
        <w:tc>
          <w:tcPr>
            <w:tcW w:w="1007" w:type="dxa"/>
            <w:vAlign w:val="center"/>
          </w:tcPr>
          <w:p w14:paraId="77350F63">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土壤</w:t>
            </w:r>
            <w:r>
              <w:rPr>
                <w:rFonts w:hint="default" w:ascii="Times New Roman" w:hAnsi="Times New Roman" w:eastAsia="宋体" w:cs="Times New Roman"/>
                <w:color w:val="auto"/>
                <w:spacing w:val="7"/>
                <w:sz w:val="21"/>
                <w:szCs w:val="21"/>
                <w:lang w:eastAsia="zh-CN"/>
              </w:rPr>
              <w:t>及地下水</w:t>
            </w:r>
            <w:r>
              <w:rPr>
                <w:rFonts w:hint="default" w:ascii="Times New Roman" w:hAnsi="Times New Roman" w:eastAsia="宋体" w:cs="Times New Roman"/>
                <w:color w:val="auto"/>
                <w:spacing w:val="7"/>
                <w:sz w:val="21"/>
                <w:szCs w:val="21"/>
              </w:rPr>
              <w:t>污染</w:t>
            </w:r>
            <w:r>
              <w:rPr>
                <w:rFonts w:hint="default" w:ascii="Times New Roman" w:hAnsi="Times New Roman" w:eastAsia="宋体" w:cs="Times New Roman"/>
                <w:color w:val="auto"/>
                <w:spacing w:val="4"/>
                <w:sz w:val="21"/>
                <w:szCs w:val="21"/>
              </w:rPr>
              <w:t>防治措施</w:t>
            </w:r>
          </w:p>
        </w:tc>
        <w:tc>
          <w:tcPr>
            <w:tcW w:w="8046" w:type="dxa"/>
            <w:gridSpan w:val="4"/>
            <w:vAlign w:val="center"/>
          </w:tcPr>
          <w:p w14:paraId="0B80E205">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9"/>
                <w:sz w:val="21"/>
                <w:szCs w:val="21"/>
                <w:lang w:eastAsia="zh-CN"/>
              </w:rPr>
              <w:t>分区防渗</w:t>
            </w:r>
          </w:p>
        </w:tc>
      </w:tr>
      <w:tr w14:paraId="6147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3" w:hRule="atLeast"/>
        </w:trPr>
        <w:tc>
          <w:tcPr>
            <w:tcW w:w="1007" w:type="dxa"/>
            <w:vAlign w:val="center"/>
          </w:tcPr>
          <w:p w14:paraId="007CC509">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7"/>
                <w:sz w:val="21"/>
                <w:szCs w:val="21"/>
              </w:rPr>
              <w:t>环境风险</w:t>
            </w:r>
            <w:r>
              <w:rPr>
                <w:rFonts w:hint="default" w:ascii="Times New Roman" w:hAnsi="Times New Roman" w:eastAsia="宋体" w:cs="Times New Roman"/>
                <w:color w:val="auto"/>
                <w:spacing w:val="7"/>
                <w:sz w:val="21"/>
                <w:szCs w:val="21"/>
                <w:lang w:eastAsia="zh-CN"/>
              </w:rPr>
              <w:t>防范措施</w:t>
            </w:r>
          </w:p>
        </w:tc>
        <w:tc>
          <w:tcPr>
            <w:tcW w:w="8046" w:type="dxa"/>
            <w:gridSpan w:val="4"/>
            <w:vAlign w:val="center"/>
          </w:tcPr>
          <w:p w14:paraId="694B638F">
            <w:pPr>
              <w:pStyle w:val="26"/>
              <w:keepNext w:val="0"/>
              <w:keepLines w:val="0"/>
              <w:pageBreakBefore w:val="0"/>
              <w:widowControl/>
              <w:kinsoku w:val="0"/>
              <w:wordWrap/>
              <w:overflowPunct/>
              <w:topLinePunct w:val="0"/>
              <w:autoSpaceDE w:val="0"/>
              <w:autoSpaceDN w:val="0"/>
              <w:bidi w:val="0"/>
              <w:adjustRightInd w:val="0"/>
              <w:snapToGrid w:val="0"/>
              <w:spacing w:line="240" w:lineRule="auto"/>
              <w:ind w:right="0" w:firstLine="456" w:firstLineChars="200"/>
              <w:jc w:val="both"/>
              <w:textAlignment w:val="baseline"/>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pacing w:val="9"/>
                <w:sz w:val="21"/>
                <w:szCs w:val="21"/>
              </w:rPr>
              <w:t>①强化安全生产管理，制定岗位责任制，严格遵守操作规程；</w:t>
            </w:r>
          </w:p>
          <w:p w14:paraId="2D94CDB1">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jc w:val="center"/>
              <w:textAlignment w:val="baseline"/>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pacing w:val="9"/>
                <w:sz w:val="21"/>
                <w:szCs w:val="21"/>
              </w:rPr>
              <w:t>②强化安全生产及环境保护意思的教育，提高职工的素质，加强操作人中的上岗前的培训，进行安全生产、消防、环保、工业卫生等方面的技术培训教育；</w:t>
            </w:r>
          </w:p>
          <w:p w14:paraId="7CEA2297">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③建立健全环保及安全管理部门，该部门应加强监督检查，按规定监测厂内外空气中的有毒有害物质，及时发现，立即处理，避免污染。火灾自动报警装置、火器等消防器材、消防物品、防护用具等</w:t>
            </w:r>
          </w:p>
        </w:tc>
      </w:tr>
      <w:tr w14:paraId="429D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13" w:hRule="atLeast"/>
        </w:trPr>
        <w:tc>
          <w:tcPr>
            <w:tcW w:w="1007" w:type="dxa"/>
            <w:vAlign w:val="center"/>
          </w:tcPr>
          <w:p w14:paraId="67E3A6B7">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其他环境</w:t>
            </w:r>
            <w:r>
              <w:rPr>
                <w:rFonts w:hint="default" w:ascii="Times New Roman" w:hAnsi="Times New Roman" w:eastAsia="宋体" w:cs="Times New Roman"/>
                <w:color w:val="auto"/>
                <w:spacing w:val="6"/>
                <w:sz w:val="21"/>
                <w:szCs w:val="21"/>
              </w:rPr>
              <w:t>管理要求</w:t>
            </w:r>
          </w:p>
        </w:tc>
        <w:tc>
          <w:tcPr>
            <w:tcW w:w="8046" w:type="dxa"/>
            <w:gridSpan w:val="4"/>
            <w:vAlign w:val="center"/>
          </w:tcPr>
          <w:p w14:paraId="145CF82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环境管理制度</w:t>
            </w:r>
          </w:p>
          <w:p w14:paraId="60B736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环境管理是贯彻执行环境保护法规，实现建设项目的社会、经济和环境效益的协调统一，以及企业可持续发展的重要保证。为加强环境管理，有效控制环境污染，根据本项目具体情况，建设单位应设置环保管理机构和管理人员并建立相应的环境管理体系。</w:t>
            </w:r>
          </w:p>
          <w:p w14:paraId="4C7920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排污许可制度</w:t>
            </w:r>
          </w:p>
          <w:p w14:paraId="269572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新建排污单位应当在启动生产设施或者发生实际排污之前申请取得排污许可证或者填报排污登记表，本项目为</w:t>
            </w:r>
            <w:r>
              <w:rPr>
                <w:rFonts w:hint="default" w:ascii="Times New Roman" w:hAnsi="Times New Roman" w:eastAsia="宋体" w:cs="Times New Roman"/>
                <w:color w:val="auto"/>
                <w:sz w:val="21"/>
                <w:szCs w:val="21"/>
                <w:lang w:val="en-US" w:eastAsia="zh-CN"/>
              </w:rPr>
              <w:t>新建</w:t>
            </w:r>
            <w:r>
              <w:rPr>
                <w:rFonts w:hint="default" w:ascii="Times New Roman" w:hAnsi="Times New Roman" w:eastAsia="宋体" w:cs="Times New Roman"/>
                <w:color w:val="auto"/>
                <w:sz w:val="21"/>
                <w:szCs w:val="21"/>
              </w:rPr>
              <w:t>项目，应该在发生实际排污之前</w:t>
            </w:r>
            <w:r>
              <w:rPr>
                <w:rFonts w:hint="default" w:ascii="Times New Roman" w:hAnsi="Times New Roman" w:eastAsia="宋体" w:cs="Times New Roman"/>
                <w:color w:val="auto"/>
                <w:sz w:val="21"/>
                <w:szCs w:val="21"/>
                <w:lang w:val="en-US" w:eastAsia="zh-CN"/>
              </w:rPr>
              <w:t>进行按照</w:t>
            </w:r>
            <w:r>
              <w:rPr>
                <w:rFonts w:hint="default" w:ascii="Times New Roman" w:hAnsi="Times New Roman" w:eastAsia="宋体" w:cs="Times New Roman"/>
                <w:color w:val="auto"/>
                <w:sz w:val="21"/>
                <w:szCs w:val="21"/>
              </w:rPr>
              <w:t>《固定污染源排污许可分类管理名录（2019年版）》（生态环境部令 第11号）</w:t>
            </w:r>
            <w:r>
              <w:rPr>
                <w:rFonts w:hint="default" w:ascii="Times New Roman" w:hAnsi="Times New Roman" w:eastAsia="宋体" w:cs="Times New Roman"/>
                <w:color w:val="auto"/>
                <w:sz w:val="21"/>
                <w:szCs w:val="21"/>
                <w:lang w:eastAsia="zh-CN"/>
              </w:rPr>
              <w:t>相关要求</w:t>
            </w:r>
            <w:r>
              <w:rPr>
                <w:rFonts w:hint="default" w:ascii="Times New Roman" w:hAnsi="Times New Roman" w:eastAsia="宋体" w:cs="Times New Roman"/>
                <w:color w:val="auto"/>
                <w:sz w:val="21"/>
                <w:szCs w:val="21"/>
              </w:rPr>
              <w:t>在排污许可证申报平台</w:t>
            </w:r>
            <w:r>
              <w:rPr>
                <w:rFonts w:hint="default" w:ascii="Times New Roman" w:hAnsi="Times New Roman" w:eastAsia="宋体" w:cs="Times New Roman"/>
                <w:color w:val="auto"/>
                <w:sz w:val="21"/>
                <w:szCs w:val="21"/>
                <w:lang w:eastAsia="zh-CN"/>
              </w:rPr>
              <w:t>进行</w:t>
            </w:r>
            <w:r>
              <w:rPr>
                <w:rFonts w:hint="default" w:ascii="Times New Roman" w:hAnsi="Times New Roman" w:eastAsia="宋体" w:cs="Times New Roman"/>
                <w:color w:val="auto"/>
                <w:sz w:val="21"/>
                <w:szCs w:val="21"/>
              </w:rPr>
              <w:t>排污</w:t>
            </w:r>
            <w:r>
              <w:rPr>
                <w:rFonts w:hint="default" w:ascii="Times New Roman" w:hAnsi="Times New Roman" w:eastAsia="宋体" w:cs="Times New Roman"/>
                <w:color w:val="auto"/>
                <w:sz w:val="21"/>
                <w:szCs w:val="21"/>
                <w:lang w:eastAsia="zh-CN"/>
              </w:rPr>
              <w:t>许可</w:t>
            </w:r>
            <w:r>
              <w:rPr>
                <w:rFonts w:hint="default" w:ascii="Times New Roman" w:hAnsi="Times New Roman" w:eastAsia="宋体" w:cs="Times New Roman"/>
                <w:color w:val="auto"/>
                <w:sz w:val="21"/>
                <w:szCs w:val="21"/>
              </w:rPr>
              <w:t>。</w:t>
            </w:r>
          </w:p>
          <w:p w14:paraId="0DBAE3F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排污口规范化</w:t>
            </w:r>
          </w:p>
          <w:p w14:paraId="21EA88E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根据原国家环保总局《关于开展排放口规范化整治工作的通知》（环发[1999]24号）文件要求，所有排放污染物的单位必须按国家有关规定对排放口进行规范化整治，并达到国家环保总局颁发的排放口规范化整治技术要求，因此本项目提出废气排放口规范化措施如下：</w:t>
            </w:r>
          </w:p>
          <w:p w14:paraId="30DF5A8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a.排放口规范化整治应遵循便于采集样品，便于计量监测，便于日常现场监督检查的原则；</w:t>
            </w:r>
          </w:p>
          <w:p w14:paraId="0E55F6D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b.废气排气筒均应设置便于采样、监测的采样口和采样监测平台，设置提示性环境保护图形标志牌；</w:t>
            </w:r>
          </w:p>
          <w:p w14:paraId="314B8F8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c.建立排放口相应的监督管理档案，内容包括排污单位名称，排放口性质及编号，排放口的地理位置，排放的污染物种类、数量、浓度及排放去向，设运行情况及日常现场监督检查记录等有关资料和记录等。</w:t>
            </w:r>
          </w:p>
          <w:p w14:paraId="7B34C8E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竣工验收</w:t>
            </w:r>
          </w:p>
          <w:p w14:paraId="73E3BB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建设项目环境保护管理条例》（国务院第682号令）要求：建设项目需要配套建设的环境保护设施，必须与主体工程同时设计、同时施工、同时投产使用。建设单位应当按照国务院环境保护行政主管部门规定的标准和程序，对配套建设的环境保护设施进行验收，编制验收报告。</w:t>
            </w:r>
          </w:p>
          <w:p w14:paraId="78ACEE63">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p w14:paraId="32B4FCD3">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color w:val="auto"/>
                <w:sz w:val="21"/>
                <w:szCs w:val="21"/>
              </w:rPr>
            </w:pPr>
          </w:p>
        </w:tc>
      </w:tr>
    </w:tbl>
    <w:p w14:paraId="4C9CD065">
      <w:pP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7F57B3BE">
      <w:pPr>
        <w:pStyle w:val="9"/>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kern w:val="2"/>
          <w:sz w:val="32"/>
          <w:szCs w:val="32"/>
          <w:lang w:val="en-US" w:eastAsia="zh-CN" w:bidi="ar-SA"/>
        </w:rPr>
        <w:t>六、结论</w:t>
      </w:r>
    </w:p>
    <w:tbl>
      <w:tblPr>
        <w:tblStyle w:val="20"/>
        <w:tblW w:w="940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407"/>
      </w:tblGrid>
      <w:tr w14:paraId="24B4E7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360" w:hRule="atLeast"/>
          <w:jc w:val="center"/>
        </w:trPr>
        <w:tc>
          <w:tcPr>
            <w:tcW w:w="9407" w:type="dxa"/>
            <w:tcBorders>
              <w:tl2br w:val="nil"/>
              <w:tr2bl w:val="nil"/>
            </w:tcBorders>
            <w:noWrap w:val="0"/>
            <w:vAlign w:val="top"/>
          </w:tcPr>
          <w:p w14:paraId="4E748D61">
            <w:pPr>
              <w:pStyle w:val="24"/>
              <w:spacing w:line="520" w:lineRule="exact"/>
              <w:ind w:firstLine="480" w:firstLineChars="200"/>
              <w:jc w:val="both"/>
              <w:rPr>
                <w:rFonts w:hint="default" w:ascii="Times New Roman" w:hAnsi="Times New Roman" w:eastAsia="宋体" w:cs="Times New Roman"/>
                <w:color w:val="auto"/>
                <w:lang w:val="en-US"/>
              </w:rPr>
            </w:pPr>
            <w:r>
              <w:rPr>
                <w:rFonts w:hint="default" w:ascii="Times New Roman" w:hAnsi="Times New Roman" w:eastAsia="宋体" w:cs="Times New Roman"/>
                <w:color w:val="auto"/>
                <w:sz w:val="24"/>
                <w:szCs w:val="24"/>
                <w:lang w:val="en-US"/>
              </w:rPr>
              <w:t>本项目运营期产生的废气、废水、噪声、固废等在采取评价提出的相应污染防治措施后，均可得到有效的治理或综合利用，实现达标排放。</w:t>
            </w:r>
            <w:r>
              <w:rPr>
                <w:rFonts w:hint="default" w:ascii="Times New Roman" w:hAnsi="Times New Roman" w:cs="Times New Roman"/>
                <w:color w:val="auto"/>
                <w:kern w:val="0"/>
                <w:sz w:val="24"/>
              </w:rPr>
              <w:t>根据滑</w:t>
            </w:r>
            <w:r>
              <w:rPr>
                <w:rFonts w:hint="default" w:ascii="Times New Roman" w:hAnsi="Times New Roman" w:eastAsia="宋体" w:cs="Times New Roman"/>
                <w:color w:val="auto"/>
                <w:kern w:val="0"/>
                <w:sz w:val="24"/>
              </w:rPr>
              <w:t>县先进制造业开发区管理委员会出具的</w:t>
            </w:r>
            <w:r>
              <w:rPr>
                <w:rFonts w:hint="default" w:ascii="Times New Roman" w:hAnsi="Times New Roman" w:cs="Times New Roman"/>
                <w:color w:val="auto"/>
                <w:kern w:val="0"/>
                <w:sz w:val="24"/>
                <w:lang w:eastAsia="zh-CN"/>
              </w:rPr>
              <w:t>情况说明（附件三）</w:t>
            </w:r>
            <w:r>
              <w:rPr>
                <w:rFonts w:hint="default" w:ascii="Times New Roman" w:hAnsi="Times New Roman" w:eastAsia="宋体" w:cs="Times New Roman"/>
                <w:color w:val="auto"/>
                <w:kern w:val="0"/>
                <w:sz w:val="24"/>
              </w:rPr>
              <w:t>，</w:t>
            </w:r>
            <w:r>
              <w:rPr>
                <w:rFonts w:hint="default" w:ascii="Times New Roman" w:hAnsi="Times New Roman" w:cs="Times New Roman"/>
                <w:color w:val="auto"/>
                <w:kern w:val="0"/>
                <w:sz w:val="24"/>
                <w:lang w:eastAsia="zh-CN"/>
              </w:rPr>
              <w:t>本项目是滑县招商引资项目，经</w:t>
            </w:r>
            <w:r>
              <w:rPr>
                <w:rFonts w:hint="default" w:ascii="Times New Roman" w:hAnsi="Times New Roman" w:cs="Times New Roman"/>
                <w:color w:val="auto"/>
                <w:kern w:val="0"/>
                <w:sz w:val="24"/>
                <w:lang w:val="en-US" w:eastAsia="zh-CN"/>
              </w:rPr>
              <w:t>综合研判</w:t>
            </w:r>
            <w:r>
              <w:rPr>
                <w:rFonts w:hint="default" w:ascii="Times New Roman" w:hAnsi="Times New Roman" w:cs="Times New Roman"/>
                <w:color w:val="auto"/>
                <w:kern w:val="0"/>
                <w:sz w:val="24"/>
                <w:lang w:eastAsia="zh-CN"/>
              </w:rPr>
              <w:t>分析，符合产业定位，</w:t>
            </w:r>
            <w:r>
              <w:rPr>
                <w:rFonts w:hint="default" w:ascii="Times New Roman" w:hAnsi="Times New Roman" w:cs="Times New Roman"/>
                <w:color w:val="auto"/>
                <w:kern w:val="0"/>
                <w:sz w:val="24"/>
                <w:lang w:val="en-US" w:eastAsia="zh-CN"/>
              </w:rPr>
              <w:t>选址位置</w:t>
            </w:r>
            <w:r>
              <w:rPr>
                <w:rFonts w:hint="default" w:ascii="Times New Roman" w:hAnsi="Times New Roman" w:cs="Times New Roman"/>
                <w:color w:val="auto"/>
                <w:kern w:val="0"/>
                <w:sz w:val="24"/>
                <w:lang w:eastAsia="zh-CN"/>
              </w:rPr>
              <w:t>符合滑县先进制造业开发区总体规划、功能区规划和环境功能区规划，</w:t>
            </w:r>
            <w:r>
              <w:rPr>
                <w:rFonts w:hint="default" w:ascii="Times New Roman" w:hAnsi="Times New Roman" w:eastAsia="宋体" w:cs="Times New Roman"/>
                <w:color w:val="auto"/>
                <w:kern w:val="0"/>
                <w:sz w:val="24"/>
              </w:rPr>
              <w:t>同意入驻滑县先进制造业开发区</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sz w:val="24"/>
                <w:szCs w:val="24"/>
                <w:lang w:val="en-US" w:eastAsia="zh-CN"/>
              </w:rPr>
              <w:t>从环境保护角度分析，项目可行</w:t>
            </w:r>
            <w:r>
              <w:rPr>
                <w:rFonts w:hint="default" w:ascii="Times New Roman" w:hAnsi="Times New Roman" w:eastAsia="宋体" w:cs="Times New Roman"/>
                <w:color w:val="auto"/>
                <w:sz w:val="24"/>
                <w:szCs w:val="24"/>
                <w:lang w:val="en-US" w:eastAsia="zh-CN"/>
              </w:rPr>
              <w:t>。</w:t>
            </w:r>
          </w:p>
        </w:tc>
      </w:tr>
    </w:tbl>
    <w:p w14:paraId="79FFFB47">
      <w:pPr>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5D190D0">
      <w:pPr>
        <w:spacing w:before="60" w:line="223" w:lineRule="auto"/>
        <w:outlineLvl w:val="0"/>
        <w:rPr>
          <w:rFonts w:hint="default" w:ascii="Times New Roman" w:hAnsi="Times New Roman" w:eastAsia="宋体" w:cs="Times New Roman"/>
          <w:color w:val="auto"/>
          <w:spacing w:val="-15"/>
          <w:sz w:val="32"/>
          <w:szCs w:val="32"/>
        </w:rPr>
      </w:pPr>
      <w:r>
        <w:rPr>
          <w:rFonts w:hint="default" w:ascii="Times New Roman" w:hAnsi="Times New Roman" w:eastAsia="宋体" w:cs="Times New Roman"/>
          <w:color w:val="auto"/>
          <w:spacing w:val="-15"/>
          <w:sz w:val="32"/>
          <w:szCs w:val="32"/>
        </w:rPr>
        <w:t>附表</w:t>
      </w:r>
    </w:p>
    <w:p w14:paraId="6AEB8482">
      <w:pPr>
        <w:spacing w:before="60" w:line="223" w:lineRule="auto"/>
        <w:jc w:val="center"/>
        <w:outlineLvl w:val="0"/>
        <w:rPr>
          <w:rFonts w:hint="default" w:ascii="Times New Roman" w:hAnsi="Times New Roman" w:eastAsia="宋体" w:cs="Times New Roman"/>
          <w:color w:val="auto"/>
          <w:sz w:val="37"/>
          <w:szCs w:val="37"/>
        </w:rPr>
      </w:pPr>
      <w:r>
        <w:rPr>
          <w:rFonts w:hint="default" w:ascii="Times New Roman" w:hAnsi="Times New Roman" w:eastAsia="宋体" w:cs="Times New Roman"/>
          <w:color w:val="auto"/>
          <w:spacing w:val="9"/>
          <w:sz w:val="37"/>
          <w:szCs w:val="37"/>
        </w:rPr>
        <w:t>建设项目污染物排放量汇总表</w:t>
      </w:r>
    </w:p>
    <w:tbl>
      <w:tblPr>
        <w:tblStyle w:val="27"/>
        <w:tblW w:w="1428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1712"/>
        <w:gridCol w:w="1581"/>
        <w:gridCol w:w="1064"/>
        <w:gridCol w:w="1847"/>
        <w:gridCol w:w="1569"/>
        <w:gridCol w:w="2346"/>
        <w:gridCol w:w="2250"/>
        <w:gridCol w:w="976"/>
      </w:tblGrid>
      <w:tr w14:paraId="1547A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jc w:val="center"/>
        </w:trPr>
        <w:tc>
          <w:tcPr>
            <w:tcW w:w="937" w:type="dxa"/>
            <w:tcBorders>
              <w:top w:val="single" w:color="000000" w:sz="6" w:space="0"/>
              <w:left w:val="single" w:color="000000" w:sz="6" w:space="0"/>
              <w:tl2br w:val="single" w:color="000000" w:sz="4" w:space="0"/>
            </w:tcBorders>
            <w:vAlign w:val="center"/>
          </w:tcPr>
          <w:p w14:paraId="02FAF5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10"/>
                <w:sz w:val="21"/>
                <w:szCs w:val="21"/>
              </w:rPr>
            </w:pPr>
            <w:r>
              <w:rPr>
                <w:rFonts w:hint="default" w:ascii="Times New Roman" w:hAnsi="Times New Roman" w:cs="Times New Roman"/>
                <w:color w:val="auto"/>
                <w:spacing w:val="-10"/>
                <w:sz w:val="21"/>
                <w:szCs w:val="21"/>
                <w:lang w:val="en-US" w:eastAsia="zh-CN"/>
              </w:rPr>
              <w:t xml:space="preserve">     </w:t>
            </w:r>
            <w:r>
              <w:rPr>
                <w:rFonts w:hint="default" w:ascii="Times New Roman" w:hAnsi="Times New Roman" w:eastAsia="宋体" w:cs="Times New Roman"/>
                <w:color w:val="auto"/>
                <w:spacing w:val="-10"/>
                <w:sz w:val="21"/>
                <w:szCs w:val="21"/>
              </w:rPr>
              <w:t>项目</w:t>
            </w:r>
          </w:p>
          <w:p w14:paraId="67A23F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分类</w:t>
            </w:r>
          </w:p>
        </w:tc>
        <w:tc>
          <w:tcPr>
            <w:tcW w:w="1712" w:type="dxa"/>
            <w:tcBorders>
              <w:top w:val="single" w:color="000000" w:sz="6" w:space="0"/>
            </w:tcBorders>
            <w:vAlign w:val="center"/>
          </w:tcPr>
          <w:p w14:paraId="46CEC9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污染物名称</w:t>
            </w:r>
          </w:p>
        </w:tc>
        <w:tc>
          <w:tcPr>
            <w:tcW w:w="1581" w:type="dxa"/>
            <w:tcBorders>
              <w:top w:val="single" w:color="000000" w:sz="6" w:space="0"/>
            </w:tcBorders>
            <w:vAlign w:val="center"/>
          </w:tcPr>
          <w:p w14:paraId="1B966B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现有工程</w:t>
            </w:r>
            <w:r>
              <w:rPr>
                <w:rFonts w:hint="default" w:ascii="Times New Roman" w:hAnsi="Times New Roman" w:eastAsia="宋体" w:cs="Times New Roman"/>
                <w:color w:val="auto"/>
                <w:spacing w:val="-12"/>
                <w:sz w:val="21"/>
                <w:szCs w:val="21"/>
              </w:rPr>
              <w:t>排放量（固体废</w:t>
            </w:r>
            <w:r>
              <w:rPr>
                <w:rFonts w:hint="default" w:ascii="Times New Roman" w:hAnsi="Times New Roman" w:eastAsia="宋体" w:cs="Times New Roman"/>
                <w:color w:val="auto"/>
                <w:spacing w:val="-11"/>
                <w:sz w:val="21"/>
                <w:szCs w:val="21"/>
              </w:rPr>
              <w:t>物产生量）①</w:t>
            </w:r>
          </w:p>
        </w:tc>
        <w:tc>
          <w:tcPr>
            <w:tcW w:w="1064" w:type="dxa"/>
            <w:tcBorders>
              <w:top w:val="single" w:color="000000" w:sz="6" w:space="0"/>
            </w:tcBorders>
            <w:vAlign w:val="center"/>
          </w:tcPr>
          <w:p w14:paraId="1BEAE0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1"/>
                <w:sz w:val="21"/>
                <w:szCs w:val="21"/>
              </w:rPr>
              <w:t>现有工程许可排放</w:t>
            </w:r>
            <w:r>
              <w:rPr>
                <w:rFonts w:hint="default" w:ascii="Times New Roman" w:hAnsi="Times New Roman" w:eastAsia="宋体" w:cs="Times New Roman"/>
                <w:color w:val="auto"/>
                <w:spacing w:val="-11"/>
                <w:sz w:val="21"/>
                <w:szCs w:val="21"/>
                <w:lang w:val="en-US" w:eastAsia="zh-CN"/>
              </w:rPr>
              <w:t>量②</w:t>
            </w:r>
          </w:p>
        </w:tc>
        <w:tc>
          <w:tcPr>
            <w:tcW w:w="1847" w:type="dxa"/>
            <w:tcBorders>
              <w:top w:val="single" w:color="000000" w:sz="6" w:space="0"/>
            </w:tcBorders>
            <w:vAlign w:val="center"/>
          </w:tcPr>
          <w:p w14:paraId="00D91F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在建工程</w:t>
            </w:r>
            <w:r>
              <w:rPr>
                <w:rFonts w:hint="default" w:ascii="Times New Roman" w:hAnsi="Times New Roman" w:eastAsia="宋体" w:cs="Times New Roman"/>
                <w:color w:val="auto"/>
                <w:spacing w:val="-23"/>
                <w:sz w:val="21"/>
                <w:szCs w:val="21"/>
              </w:rPr>
              <w:t>排放</w:t>
            </w:r>
            <w:r>
              <w:rPr>
                <w:rFonts w:hint="default" w:ascii="Times New Roman" w:hAnsi="Times New Roman" w:eastAsia="宋体" w:cs="Times New Roman"/>
                <w:color w:val="auto"/>
                <w:spacing w:val="-22"/>
                <w:sz w:val="21"/>
                <w:szCs w:val="21"/>
              </w:rPr>
              <w:t>量（固体废</w:t>
            </w:r>
            <w:r>
              <w:rPr>
                <w:rFonts w:hint="default" w:ascii="Times New Roman" w:hAnsi="Times New Roman" w:eastAsia="宋体" w:cs="Times New Roman"/>
                <w:color w:val="auto"/>
                <w:spacing w:val="-12"/>
                <w:sz w:val="21"/>
                <w:szCs w:val="21"/>
              </w:rPr>
              <w:t>物</w:t>
            </w:r>
            <w:r>
              <w:rPr>
                <w:rFonts w:hint="default" w:ascii="Times New Roman" w:hAnsi="Times New Roman" w:eastAsia="宋体" w:cs="Times New Roman"/>
                <w:color w:val="auto"/>
                <w:spacing w:val="-10"/>
                <w:sz w:val="21"/>
                <w:szCs w:val="21"/>
              </w:rPr>
              <w:t>产生量）③</w:t>
            </w:r>
          </w:p>
        </w:tc>
        <w:tc>
          <w:tcPr>
            <w:tcW w:w="1569" w:type="dxa"/>
            <w:tcBorders>
              <w:top w:val="single" w:color="000000" w:sz="6" w:space="0"/>
            </w:tcBorders>
            <w:vAlign w:val="center"/>
          </w:tcPr>
          <w:p w14:paraId="2B392E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本项目</w:t>
            </w:r>
            <w:r>
              <w:rPr>
                <w:rFonts w:hint="default" w:ascii="Times New Roman" w:hAnsi="Times New Roman" w:eastAsia="宋体" w:cs="Times New Roman"/>
                <w:color w:val="auto"/>
                <w:spacing w:val="-10"/>
                <w:sz w:val="21"/>
                <w:szCs w:val="21"/>
              </w:rPr>
              <w:t>排放量（固体废物产生量）④</w:t>
            </w:r>
          </w:p>
        </w:tc>
        <w:tc>
          <w:tcPr>
            <w:tcW w:w="2346" w:type="dxa"/>
            <w:tcBorders>
              <w:top w:val="single" w:color="000000" w:sz="6" w:space="0"/>
            </w:tcBorders>
            <w:vAlign w:val="center"/>
          </w:tcPr>
          <w:p w14:paraId="4BFE56C6">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kern w:val="2"/>
                <w:sz w:val="21"/>
                <w:szCs w:val="21"/>
                <w:lang w:val="en-US" w:eastAsia="zh-CN" w:bidi="ar-SA"/>
              </w:rPr>
              <w:t>以新带老削减量（新建项目不填）⑤</w:t>
            </w:r>
          </w:p>
        </w:tc>
        <w:tc>
          <w:tcPr>
            <w:tcW w:w="2250" w:type="dxa"/>
            <w:tcBorders>
              <w:top w:val="single" w:color="000000" w:sz="6" w:space="0"/>
            </w:tcBorders>
            <w:vAlign w:val="center"/>
          </w:tcPr>
          <w:p w14:paraId="37CEA7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9"/>
                <w:kern w:val="2"/>
                <w:sz w:val="21"/>
                <w:szCs w:val="21"/>
                <w:lang w:val="en-US" w:eastAsia="zh-CN" w:bidi="ar-SA"/>
              </w:rPr>
            </w:pPr>
            <w:r>
              <w:rPr>
                <w:rFonts w:hint="default" w:ascii="Times New Roman" w:hAnsi="Times New Roman" w:eastAsia="宋体" w:cs="Times New Roman"/>
                <w:color w:val="auto"/>
                <w:spacing w:val="-9"/>
                <w:kern w:val="2"/>
                <w:sz w:val="21"/>
                <w:szCs w:val="21"/>
                <w:lang w:val="en-US" w:eastAsia="zh-CN" w:bidi="ar-SA"/>
              </w:rPr>
              <w:t>本项目建成后全厂排放量（固体废物产生量）⑥</w:t>
            </w:r>
          </w:p>
        </w:tc>
        <w:tc>
          <w:tcPr>
            <w:tcW w:w="976" w:type="dxa"/>
            <w:tcBorders>
              <w:top w:val="single" w:color="000000" w:sz="6" w:space="0"/>
              <w:right w:val="single" w:color="000000" w:sz="6" w:space="0"/>
            </w:tcBorders>
            <w:vAlign w:val="center"/>
          </w:tcPr>
          <w:p w14:paraId="76EC385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9"/>
                <w:kern w:val="2"/>
                <w:sz w:val="21"/>
                <w:szCs w:val="21"/>
                <w:lang w:val="en-US" w:eastAsia="zh-CN" w:bidi="ar-SA"/>
              </w:rPr>
            </w:pPr>
            <w:r>
              <w:rPr>
                <w:rFonts w:hint="default" w:ascii="Times New Roman" w:hAnsi="Times New Roman" w:eastAsia="宋体" w:cs="Times New Roman"/>
                <w:color w:val="auto"/>
                <w:spacing w:val="-9"/>
                <w:kern w:val="2"/>
                <w:sz w:val="21"/>
                <w:szCs w:val="21"/>
                <w:lang w:val="en-US" w:eastAsia="zh-CN" w:bidi="ar-SA"/>
              </w:rPr>
              <w:t>变化量⑦</w:t>
            </w:r>
          </w:p>
        </w:tc>
      </w:tr>
      <w:tr w14:paraId="231BB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937" w:type="dxa"/>
            <w:tcBorders>
              <w:left w:val="single" w:color="000000" w:sz="6" w:space="0"/>
              <w:bottom w:val="single" w:color="000000" w:sz="2" w:space="0"/>
            </w:tcBorders>
            <w:vAlign w:val="center"/>
          </w:tcPr>
          <w:p w14:paraId="1126D586">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废气</w:t>
            </w:r>
          </w:p>
        </w:tc>
        <w:tc>
          <w:tcPr>
            <w:tcW w:w="1712" w:type="dxa"/>
            <w:vAlign w:val="center"/>
          </w:tcPr>
          <w:p w14:paraId="237041BC">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颗粒物</w:t>
            </w:r>
          </w:p>
        </w:tc>
        <w:tc>
          <w:tcPr>
            <w:tcW w:w="1581" w:type="dxa"/>
            <w:vAlign w:val="center"/>
          </w:tcPr>
          <w:p w14:paraId="37BDEF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64" w:type="dxa"/>
            <w:vAlign w:val="center"/>
          </w:tcPr>
          <w:p w14:paraId="6B66EB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47" w:type="dxa"/>
            <w:vAlign w:val="center"/>
          </w:tcPr>
          <w:p w14:paraId="6E5050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69" w:type="dxa"/>
            <w:vAlign w:val="center"/>
          </w:tcPr>
          <w:p w14:paraId="1E4BB5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0.0624</w:t>
            </w:r>
          </w:p>
        </w:tc>
        <w:tc>
          <w:tcPr>
            <w:tcW w:w="2346" w:type="dxa"/>
            <w:vAlign w:val="center"/>
          </w:tcPr>
          <w:p w14:paraId="1A1686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50" w:type="dxa"/>
            <w:vAlign w:val="center"/>
          </w:tcPr>
          <w:p w14:paraId="197361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0.0624</w:t>
            </w:r>
          </w:p>
        </w:tc>
        <w:tc>
          <w:tcPr>
            <w:tcW w:w="976" w:type="dxa"/>
            <w:tcBorders>
              <w:right w:val="single" w:color="000000" w:sz="6" w:space="0"/>
            </w:tcBorders>
            <w:vAlign w:val="center"/>
          </w:tcPr>
          <w:p w14:paraId="47A91B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0624</w:t>
            </w:r>
          </w:p>
        </w:tc>
      </w:tr>
      <w:tr w14:paraId="0621E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937" w:type="dxa"/>
            <w:vMerge w:val="restart"/>
            <w:tcBorders>
              <w:left w:val="single" w:color="000000" w:sz="6" w:space="0"/>
            </w:tcBorders>
            <w:vAlign w:val="center"/>
          </w:tcPr>
          <w:p w14:paraId="50DD81C6">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lang w:eastAsia="zh-CN"/>
              </w:rPr>
            </w:pPr>
            <w:r>
              <w:rPr>
                <w:rFonts w:hint="default" w:ascii="Times New Roman" w:hAnsi="Times New Roman" w:cs="Times New Roman"/>
                <w:color w:val="auto"/>
                <w:spacing w:val="5"/>
                <w:sz w:val="21"/>
                <w:szCs w:val="21"/>
                <w:lang w:eastAsia="zh-CN"/>
              </w:rPr>
              <w:t>废水</w:t>
            </w:r>
          </w:p>
        </w:tc>
        <w:tc>
          <w:tcPr>
            <w:tcW w:w="1712" w:type="dxa"/>
            <w:vAlign w:val="center"/>
          </w:tcPr>
          <w:p w14:paraId="2E09AEF1">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7"/>
                <w:sz w:val="21"/>
                <w:szCs w:val="21"/>
                <w:lang w:val="en-US" w:eastAsia="zh-CN"/>
              </w:rPr>
            </w:pPr>
            <w:r>
              <w:rPr>
                <w:rFonts w:hint="default" w:ascii="Times New Roman" w:hAnsi="Times New Roman" w:cs="Times New Roman"/>
                <w:color w:val="auto"/>
                <w:spacing w:val="7"/>
                <w:sz w:val="21"/>
                <w:szCs w:val="21"/>
                <w:lang w:val="en-US" w:eastAsia="zh-CN"/>
              </w:rPr>
              <w:t>COD</w:t>
            </w:r>
          </w:p>
        </w:tc>
        <w:tc>
          <w:tcPr>
            <w:tcW w:w="1581" w:type="dxa"/>
            <w:vAlign w:val="center"/>
          </w:tcPr>
          <w:p w14:paraId="25817A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64" w:type="dxa"/>
            <w:vAlign w:val="center"/>
          </w:tcPr>
          <w:p w14:paraId="37A19E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47" w:type="dxa"/>
            <w:vAlign w:val="center"/>
          </w:tcPr>
          <w:p w14:paraId="4306BE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69" w:type="dxa"/>
            <w:vAlign w:val="center"/>
          </w:tcPr>
          <w:p w14:paraId="37FFDA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0.0185</w:t>
            </w:r>
          </w:p>
        </w:tc>
        <w:tc>
          <w:tcPr>
            <w:tcW w:w="2346" w:type="dxa"/>
            <w:vAlign w:val="center"/>
          </w:tcPr>
          <w:p w14:paraId="12232E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50" w:type="dxa"/>
            <w:vAlign w:val="center"/>
          </w:tcPr>
          <w:p w14:paraId="055AF0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0.0185</w:t>
            </w:r>
          </w:p>
        </w:tc>
        <w:tc>
          <w:tcPr>
            <w:tcW w:w="976" w:type="dxa"/>
            <w:tcBorders>
              <w:right w:val="single" w:color="000000" w:sz="6" w:space="0"/>
            </w:tcBorders>
            <w:vAlign w:val="center"/>
          </w:tcPr>
          <w:p w14:paraId="586E95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0.0185</w:t>
            </w:r>
          </w:p>
        </w:tc>
      </w:tr>
      <w:tr w14:paraId="302B7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937" w:type="dxa"/>
            <w:vMerge w:val="continue"/>
            <w:tcBorders>
              <w:left w:val="single" w:color="000000" w:sz="6" w:space="0"/>
              <w:bottom w:val="single" w:color="000000" w:sz="2" w:space="0"/>
            </w:tcBorders>
            <w:vAlign w:val="center"/>
          </w:tcPr>
          <w:p w14:paraId="0D389D65">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rPr>
            </w:pPr>
          </w:p>
        </w:tc>
        <w:tc>
          <w:tcPr>
            <w:tcW w:w="1712" w:type="dxa"/>
            <w:vAlign w:val="center"/>
          </w:tcPr>
          <w:p w14:paraId="10DB9212">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7"/>
                <w:sz w:val="21"/>
                <w:szCs w:val="21"/>
                <w:lang w:eastAsia="zh-CN"/>
              </w:rPr>
            </w:pPr>
            <w:r>
              <w:rPr>
                <w:rFonts w:hint="default" w:ascii="Times New Roman" w:hAnsi="Times New Roman" w:cs="Times New Roman"/>
                <w:color w:val="auto"/>
                <w:spacing w:val="7"/>
                <w:sz w:val="21"/>
                <w:szCs w:val="21"/>
                <w:lang w:eastAsia="zh-CN"/>
              </w:rPr>
              <w:t>氨氮</w:t>
            </w:r>
          </w:p>
        </w:tc>
        <w:tc>
          <w:tcPr>
            <w:tcW w:w="1581" w:type="dxa"/>
            <w:vAlign w:val="center"/>
          </w:tcPr>
          <w:p w14:paraId="5EEBB0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64" w:type="dxa"/>
            <w:vAlign w:val="center"/>
          </w:tcPr>
          <w:p w14:paraId="7AD1FB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47" w:type="dxa"/>
            <w:vAlign w:val="center"/>
          </w:tcPr>
          <w:p w14:paraId="6BCC2E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69" w:type="dxa"/>
            <w:vAlign w:val="center"/>
          </w:tcPr>
          <w:p w14:paraId="2AA09E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0.0023</w:t>
            </w:r>
          </w:p>
        </w:tc>
        <w:tc>
          <w:tcPr>
            <w:tcW w:w="2346" w:type="dxa"/>
            <w:vAlign w:val="center"/>
          </w:tcPr>
          <w:p w14:paraId="01D989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50" w:type="dxa"/>
            <w:vAlign w:val="center"/>
          </w:tcPr>
          <w:p w14:paraId="109651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0.0023</w:t>
            </w:r>
          </w:p>
        </w:tc>
        <w:tc>
          <w:tcPr>
            <w:tcW w:w="976" w:type="dxa"/>
            <w:tcBorders>
              <w:right w:val="single" w:color="000000" w:sz="6" w:space="0"/>
            </w:tcBorders>
            <w:vAlign w:val="center"/>
          </w:tcPr>
          <w:p w14:paraId="4898F6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0.0023</w:t>
            </w:r>
          </w:p>
        </w:tc>
      </w:tr>
      <w:tr w14:paraId="4A4F8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37" w:type="dxa"/>
            <w:vMerge w:val="restart"/>
            <w:tcBorders>
              <w:left w:val="single" w:color="000000" w:sz="6" w:space="0"/>
              <w:bottom w:val="single" w:color="000000" w:sz="2" w:space="0"/>
            </w:tcBorders>
            <w:vAlign w:val="center"/>
          </w:tcPr>
          <w:p w14:paraId="1EC650D1">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一般工</w:t>
            </w:r>
            <w:r>
              <w:rPr>
                <w:rFonts w:hint="default" w:ascii="Times New Roman" w:hAnsi="Times New Roman" w:eastAsia="宋体" w:cs="Times New Roman"/>
                <w:color w:val="auto"/>
                <w:spacing w:val="7"/>
                <w:sz w:val="21"/>
                <w:szCs w:val="21"/>
              </w:rPr>
              <w:t>业固体</w:t>
            </w:r>
            <w:r>
              <w:rPr>
                <w:rFonts w:hint="default" w:ascii="Times New Roman" w:hAnsi="Times New Roman" w:eastAsia="宋体" w:cs="Times New Roman"/>
                <w:color w:val="auto"/>
                <w:spacing w:val="5"/>
                <w:sz w:val="21"/>
                <w:szCs w:val="21"/>
              </w:rPr>
              <w:t>废物</w:t>
            </w:r>
          </w:p>
        </w:tc>
        <w:tc>
          <w:tcPr>
            <w:tcW w:w="1712" w:type="dxa"/>
            <w:vAlign w:val="center"/>
          </w:tcPr>
          <w:p w14:paraId="3FD80D2B">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7"/>
                <w:sz w:val="21"/>
                <w:szCs w:val="21"/>
                <w:lang w:eastAsia="zh-CN"/>
              </w:rPr>
              <w:t>废包装材料</w:t>
            </w:r>
          </w:p>
        </w:tc>
        <w:tc>
          <w:tcPr>
            <w:tcW w:w="1581" w:type="dxa"/>
            <w:vAlign w:val="center"/>
          </w:tcPr>
          <w:p w14:paraId="598365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64" w:type="dxa"/>
            <w:vAlign w:val="center"/>
          </w:tcPr>
          <w:p w14:paraId="5B9301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47" w:type="dxa"/>
            <w:vAlign w:val="center"/>
          </w:tcPr>
          <w:p w14:paraId="7D6648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69" w:type="dxa"/>
            <w:vAlign w:val="center"/>
          </w:tcPr>
          <w:p w14:paraId="0C062F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1"/>
                <w:sz w:val="21"/>
                <w:szCs w:val="21"/>
                <w:lang w:val="en-US" w:eastAsia="zh-CN"/>
              </w:rPr>
              <w:t>0.05</w:t>
            </w:r>
          </w:p>
        </w:tc>
        <w:tc>
          <w:tcPr>
            <w:tcW w:w="2346" w:type="dxa"/>
            <w:vAlign w:val="center"/>
          </w:tcPr>
          <w:p w14:paraId="3D3B9D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50" w:type="dxa"/>
            <w:vAlign w:val="center"/>
          </w:tcPr>
          <w:p w14:paraId="2804D9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pacing w:val="-1"/>
                <w:sz w:val="21"/>
                <w:szCs w:val="21"/>
                <w:lang w:val="en-US" w:eastAsia="zh-CN"/>
              </w:rPr>
              <w:t>0.05</w:t>
            </w:r>
          </w:p>
        </w:tc>
        <w:tc>
          <w:tcPr>
            <w:tcW w:w="976" w:type="dxa"/>
            <w:tcBorders>
              <w:right w:val="single" w:color="000000" w:sz="6" w:space="0"/>
            </w:tcBorders>
            <w:vAlign w:val="center"/>
          </w:tcPr>
          <w:p w14:paraId="1DB288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1"/>
                <w:sz w:val="21"/>
                <w:szCs w:val="21"/>
                <w:lang w:val="en-US" w:eastAsia="zh-CN"/>
              </w:rPr>
              <w:t>+0.05</w:t>
            </w:r>
          </w:p>
        </w:tc>
      </w:tr>
      <w:tr w14:paraId="09AEE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37" w:type="dxa"/>
            <w:vMerge w:val="continue"/>
            <w:tcBorders>
              <w:top w:val="single" w:color="000000" w:sz="2" w:space="0"/>
              <w:left w:val="single" w:color="000000" w:sz="6" w:space="0"/>
              <w:bottom w:val="single" w:color="000000" w:sz="2" w:space="0"/>
            </w:tcBorders>
            <w:vAlign w:val="center"/>
          </w:tcPr>
          <w:p w14:paraId="13FC3F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712" w:type="dxa"/>
            <w:vAlign w:val="center"/>
          </w:tcPr>
          <w:p w14:paraId="77F72788">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8"/>
                <w:sz w:val="21"/>
                <w:szCs w:val="21"/>
                <w:lang w:eastAsia="zh-CN"/>
              </w:rPr>
              <w:t>除尘器收集粉尘</w:t>
            </w:r>
          </w:p>
        </w:tc>
        <w:tc>
          <w:tcPr>
            <w:tcW w:w="1581" w:type="dxa"/>
            <w:vAlign w:val="center"/>
          </w:tcPr>
          <w:p w14:paraId="745626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64" w:type="dxa"/>
            <w:vAlign w:val="center"/>
          </w:tcPr>
          <w:p w14:paraId="1B016D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47" w:type="dxa"/>
            <w:vAlign w:val="center"/>
          </w:tcPr>
          <w:p w14:paraId="7301CB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69" w:type="dxa"/>
            <w:vAlign w:val="center"/>
          </w:tcPr>
          <w:p w14:paraId="2DE757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lang w:val="en-US" w:eastAsia="zh-CN"/>
              </w:rPr>
              <w:t>0.25</w:t>
            </w:r>
          </w:p>
        </w:tc>
        <w:tc>
          <w:tcPr>
            <w:tcW w:w="2346" w:type="dxa"/>
            <w:vAlign w:val="center"/>
          </w:tcPr>
          <w:p w14:paraId="216D71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50" w:type="dxa"/>
            <w:vAlign w:val="center"/>
          </w:tcPr>
          <w:p w14:paraId="787A33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pacing w:val="2"/>
                <w:sz w:val="21"/>
                <w:szCs w:val="21"/>
                <w:lang w:val="en-US" w:eastAsia="zh-CN"/>
              </w:rPr>
              <w:t>0.25</w:t>
            </w:r>
          </w:p>
        </w:tc>
        <w:tc>
          <w:tcPr>
            <w:tcW w:w="976" w:type="dxa"/>
            <w:tcBorders>
              <w:right w:val="single" w:color="000000" w:sz="6" w:space="0"/>
            </w:tcBorders>
            <w:vAlign w:val="center"/>
          </w:tcPr>
          <w:p w14:paraId="526ABC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2"/>
                <w:sz w:val="21"/>
                <w:szCs w:val="21"/>
                <w:lang w:val="en-US" w:eastAsia="zh-CN"/>
              </w:rPr>
              <w:t>+0.25</w:t>
            </w:r>
          </w:p>
        </w:tc>
      </w:tr>
      <w:tr w14:paraId="394C8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37" w:type="dxa"/>
            <w:vMerge w:val="continue"/>
            <w:tcBorders>
              <w:top w:val="single" w:color="000000" w:sz="2" w:space="0"/>
              <w:left w:val="single" w:color="000000" w:sz="6" w:space="0"/>
              <w:bottom w:val="single" w:color="000000" w:sz="2" w:space="0"/>
            </w:tcBorders>
            <w:vAlign w:val="center"/>
          </w:tcPr>
          <w:p w14:paraId="07CF65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712" w:type="dxa"/>
            <w:shd w:val="clear" w:color="auto" w:fill="auto"/>
            <w:vAlign w:val="center"/>
          </w:tcPr>
          <w:p w14:paraId="2809FD7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生活垃圾</w:t>
            </w:r>
          </w:p>
        </w:tc>
        <w:tc>
          <w:tcPr>
            <w:tcW w:w="1581" w:type="dxa"/>
            <w:shd w:val="clear" w:color="auto" w:fill="auto"/>
            <w:vAlign w:val="center"/>
          </w:tcPr>
          <w:p w14:paraId="736854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064" w:type="dxa"/>
            <w:shd w:val="clear" w:color="auto" w:fill="auto"/>
            <w:vAlign w:val="center"/>
          </w:tcPr>
          <w:p w14:paraId="13EA27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847" w:type="dxa"/>
            <w:shd w:val="clear" w:color="auto" w:fill="auto"/>
            <w:vAlign w:val="center"/>
          </w:tcPr>
          <w:p w14:paraId="34D01E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569" w:type="dxa"/>
            <w:shd w:val="clear" w:color="auto" w:fill="auto"/>
            <w:vAlign w:val="center"/>
          </w:tcPr>
          <w:p w14:paraId="6ED928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
                <w:sz w:val="21"/>
                <w:szCs w:val="21"/>
                <w:lang w:val="en-US" w:eastAsia="zh-CN"/>
              </w:rPr>
              <w:t>1.8</w:t>
            </w:r>
          </w:p>
        </w:tc>
        <w:tc>
          <w:tcPr>
            <w:tcW w:w="2346" w:type="dxa"/>
            <w:shd w:val="clear" w:color="auto" w:fill="auto"/>
            <w:vAlign w:val="center"/>
          </w:tcPr>
          <w:p w14:paraId="009DA0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250" w:type="dxa"/>
            <w:shd w:val="clear" w:color="auto" w:fill="auto"/>
            <w:vAlign w:val="center"/>
          </w:tcPr>
          <w:p w14:paraId="0A883F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pacing w:val="1"/>
                <w:sz w:val="21"/>
                <w:szCs w:val="21"/>
                <w:lang w:val="en-US" w:eastAsia="zh-CN"/>
              </w:rPr>
              <w:t>1.8</w:t>
            </w:r>
          </w:p>
        </w:tc>
        <w:tc>
          <w:tcPr>
            <w:tcW w:w="976" w:type="dxa"/>
            <w:tcBorders>
              <w:right w:val="single" w:color="000000" w:sz="6" w:space="0"/>
            </w:tcBorders>
            <w:shd w:val="clear" w:color="auto" w:fill="auto"/>
            <w:vAlign w:val="center"/>
          </w:tcPr>
          <w:p w14:paraId="152911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
                <w:sz w:val="21"/>
                <w:szCs w:val="21"/>
                <w:lang w:val="en-US" w:eastAsia="zh-CN"/>
              </w:rPr>
              <w:t>+1.8</w:t>
            </w:r>
          </w:p>
        </w:tc>
      </w:tr>
    </w:tbl>
    <w:p w14:paraId="327C5F21">
      <w:pPr>
        <w:spacing w:before="15" w:line="281" w:lineRule="exact"/>
        <w:ind w:left="44"/>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1"/>
          <w:position w:val="1"/>
          <w:sz w:val="20"/>
          <w:szCs w:val="20"/>
        </w:rPr>
        <w:t>注：⑥=①+③+④-⑤;⑦=⑥-①</w:t>
      </w:r>
    </w:p>
    <w:p w14:paraId="6BBAC53B">
      <w:pPr>
        <w:rPr>
          <w:rFonts w:hint="default" w:ascii="Times New Roman" w:hAnsi="Times New Roman" w:eastAsia="宋体" w:cs="Times New Roman"/>
          <w:color w:val="auto"/>
        </w:rPr>
      </w:pPr>
    </w:p>
    <w:p w14:paraId="50F02050">
      <w:pPr>
        <w:pStyle w:val="23"/>
        <w:numPr>
          <w:ilvl w:val="0"/>
          <w:numId w:val="0"/>
        </w:numPr>
        <w:ind w:leftChars="0"/>
        <w:jc w:val="both"/>
        <w:rPr>
          <w:rFonts w:hint="default" w:ascii="Times New Roman" w:hAnsi="Times New Roman" w:eastAsia="宋体" w:cs="Times New Roman"/>
          <w:color w:val="auto"/>
          <w:lang w:eastAsia="zh-CN"/>
        </w:rPr>
      </w:pPr>
    </w:p>
    <w:p w14:paraId="6A8CA65B">
      <w:pPr>
        <w:pStyle w:val="23"/>
        <w:numPr>
          <w:ilvl w:val="0"/>
          <w:numId w:val="0"/>
        </w:numPr>
        <w:ind w:leftChars="0"/>
        <w:jc w:val="both"/>
        <w:rPr>
          <w:rFonts w:hint="default" w:ascii="Times New Roman" w:hAnsi="Times New Roman" w:eastAsia="宋体" w:cs="Times New Roman"/>
          <w:color w:val="auto"/>
          <w:lang w:eastAsia="zh-CN"/>
        </w:rPr>
      </w:pPr>
    </w:p>
    <w:p w14:paraId="019C92C4">
      <w:pPr>
        <w:pStyle w:val="23"/>
        <w:numPr>
          <w:ilvl w:val="0"/>
          <w:numId w:val="0"/>
        </w:numPr>
        <w:ind w:leftChars="0"/>
        <w:jc w:val="both"/>
        <w:rPr>
          <w:rFonts w:hint="default" w:ascii="Times New Roman" w:hAnsi="Times New Roman" w:eastAsia="宋体" w:cs="Times New Roman"/>
          <w:color w:val="auto"/>
          <w:lang w:eastAsia="zh-CN"/>
        </w:rPr>
      </w:pPr>
    </w:p>
    <w:p w14:paraId="31294F20">
      <w:pPr>
        <w:pStyle w:val="23"/>
        <w:numPr>
          <w:ilvl w:val="0"/>
          <w:numId w:val="0"/>
        </w:numPr>
        <w:ind w:leftChars="0"/>
        <w:jc w:val="both"/>
        <w:rPr>
          <w:rFonts w:hint="default" w:ascii="Times New Roman" w:hAnsi="Times New Roman" w:eastAsia="宋体" w:cs="Times New Roman"/>
          <w:color w:val="auto"/>
          <w:lang w:eastAsia="zh-CN"/>
        </w:rPr>
      </w:pPr>
    </w:p>
    <w:p w14:paraId="71CEE3D3">
      <w:pPr>
        <w:rPr>
          <w:rFonts w:hint="default" w:ascii="Times New Roman" w:hAnsi="Times New Roman" w:eastAsia="宋体" w:cs="Times New Roman"/>
          <w:color w:val="auto"/>
          <w:lang w:eastAsia="zh-CN"/>
        </w:rPr>
      </w:pPr>
    </w:p>
    <w:p w14:paraId="395E8153">
      <w:pPr>
        <w:pStyle w:val="2"/>
        <w:rPr>
          <w:rFonts w:hint="default" w:ascii="Times New Roman" w:hAnsi="Times New Roman" w:eastAsia="宋体" w:cs="Times New Roman"/>
          <w:color w:val="auto"/>
          <w:lang w:eastAsia="zh-CN"/>
        </w:rPr>
      </w:pPr>
    </w:p>
    <w:p w14:paraId="71BB2E58">
      <w:pPr>
        <w:rPr>
          <w:rFonts w:hint="default" w:ascii="Times New Roman" w:hAnsi="Times New Roman" w:eastAsia="宋体" w:cs="Times New Roman"/>
          <w:color w:val="auto"/>
          <w:lang w:eastAsia="zh-CN"/>
        </w:rPr>
      </w:pPr>
    </w:p>
    <w:p w14:paraId="37466B36">
      <w:pPr>
        <w:pStyle w:val="2"/>
        <w:rPr>
          <w:rFonts w:hint="default" w:ascii="Times New Roman" w:hAnsi="Times New Roman" w:eastAsia="宋体" w:cs="Times New Roman"/>
          <w:color w:val="auto"/>
          <w:lang w:eastAsia="zh-CN"/>
        </w:rPr>
      </w:pPr>
    </w:p>
    <w:p w14:paraId="6CF2420E">
      <w:pPr>
        <w:rPr>
          <w:rFonts w:hint="default" w:ascii="Times New Roman" w:hAnsi="Times New Roman" w:eastAsia="宋体" w:cs="Times New Roman"/>
          <w:color w:val="auto"/>
          <w:lang w:eastAsia="zh-CN"/>
        </w:rPr>
      </w:pPr>
    </w:p>
    <w:p w14:paraId="77158D68">
      <w:pPr>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251680768" behindDoc="0" locked="0" layoutInCell="1" allowOverlap="1">
                <wp:simplePos x="0" y="0"/>
                <wp:positionH relativeFrom="column">
                  <wp:posOffset>3484245</wp:posOffset>
                </wp:positionH>
                <wp:positionV relativeFrom="paragraph">
                  <wp:posOffset>124460</wp:posOffset>
                </wp:positionV>
                <wp:extent cx="714375" cy="286385"/>
                <wp:effectExtent l="485140" t="6350" r="19685" b="1040765"/>
                <wp:wrapNone/>
                <wp:docPr id="36" name="圆角矩形标注 36"/>
                <wp:cNvGraphicFramePr/>
                <a:graphic xmlns:a="http://schemas.openxmlformats.org/drawingml/2006/main">
                  <a:graphicData uri="http://schemas.microsoft.com/office/word/2010/wordprocessingShape">
                    <wps:wsp>
                      <wps:cNvSpPr/>
                      <wps:spPr>
                        <a:xfrm>
                          <a:off x="3960495" y="2456815"/>
                          <a:ext cx="714375" cy="286385"/>
                        </a:xfrm>
                        <a:prstGeom prst="wedgeRoundRectCallout">
                          <a:avLst>
                            <a:gd name="adj1" fmla="val -113571"/>
                            <a:gd name="adj2" fmla="val 393333"/>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0AFF469">
                            <w:pPr>
                              <w:jc w:val="center"/>
                              <w:rPr>
                                <w:rFonts w:hint="eastAsia" w:eastAsia="宋体"/>
                                <w:lang w:eastAsia="zh-CN"/>
                              </w:rPr>
                            </w:pPr>
                            <w:r>
                              <w:rPr>
                                <w:rFonts w:hint="eastAsia"/>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4.35pt;margin-top:9.8pt;height:22.55pt;width:56.25pt;z-index:251680768;v-text-anchor:middle;mso-width-relative:page;mso-height-relative:page;" fillcolor="#4874CB [3204]" filled="t" stroked="t" coordsize="21600,21600" o:gfxdata="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6U6Y1NkAAAAJAQAADwAAAAAAAAABACAAAAAiAAAA&#10;ZHJzL2Rvd25yZXYueG1sUEsBAhQAFAAAAAgAh07iQMwytaXqAgAAwwUAAA4AAAAAAAAAAQAgAAAA&#10;KAEAAGRycy9lMm9Eb2MueG1sUEsFBgAAAAAGAAYAWQEAAIQGAAAAAA==&#10;" adj="-13731,95760,14400">
                <v:fill on="t" focussize="0,0"/>
                <v:stroke weight="1pt" color="#2E54A1 [2404]" miterlimit="8" joinstyle="miter"/>
                <v:imagedata o:title=""/>
                <o:lock v:ext="edit" aspectratio="f"/>
                <v:textbox>
                  <w:txbxContent>
                    <w:p w14:paraId="10AFF469">
                      <w:pPr>
                        <w:jc w:val="center"/>
                        <w:rPr>
                          <w:rFonts w:hint="eastAsia" w:eastAsia="宋体"/>
                          <w:lang w:eastAsia="zh-CN"/>
                        </w:rPr>
                      </w:pPr>
                      <w:r>
                        <w:rPr>
                          <w:rFonts w:hint="eastAsia"/>
                          <w:lang w:eastAsia="zh-CN"/>
                        </w:rPr>
                        <w:t>本项目</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8174990" cy="4199890"/>
            <wp:effectExtent l="0" t="0" r="16510" b="10160"/>
            <wp:docPr id="33" name="图片 33" descr="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行政区划图"/>
                    <pic:cNvPicPr>
                      <a:picLocks noChangeAspect="1"/>
                    </pic:cNvPicPr>
                  </pic:nvPicPr>
                  <pic:blipFill>
                    <a:blip r:embed="rId12"/>
                    <a:stretch>
                      <a:fillRect/>
                    </a:stretch>
                  </pic:blipFill>
                  <pic:spPr>
                    <a:xfrm>
                      <a:off x="0" y="0"/>
                      <a:ext cx="8174990" cy="4199890"/>
                    </a:xfrm>
                    <a:prstGeom prst="rect">
                      <a:avLst/>
                    </a:prstGeom>
                  </pic:spPr>
                </pic:pic>
              </a:graphicData>
            </a:graphic>
          </wp:inline>
        </w:drawing>
      </w:r>
    </w:p>
    <w:p w14:paraId="271F8ABC">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4"/>
          <w:szCs w:val="24"/>
          <w:lang w:val="en-US" w:eastAsia="zh-CN"/>
        </w:rPr>
        <w:t>附图</w:t>
      </w:r>
      <w:r>
        <w:rPr>
          <w:rFonts w:hint="default" w:ascii="Times New Roman" w:hAnsi="Times New Roman" w:cs="Times New Roman"/>
          <w:b/>
          <w:bCs/>
          <w:color w:val="auto"/>
          <w:sz w:val="24"/>
          <w:szCs w:val="24"/>
          <w:lang w:val="en-US" w:eastAsia="zh-CN"/>
        </w:rPr>
        <w:t>一、</w:t>
      </w:r>
      <w:r>
        <w:rPr>
          <w:rFonts w:hint="default" w:ascii="Times New Roman" w:hAnsi="Times New Roman" w:eastAsia="宋体" w:cs="Times New Roman"/>
          <w:b/>
          <w:bCs/>
          <w:color w:val="auto"/>
          <w:sz w:val="24"/>
          <w:szCs w:val="24"/>
          <w:lang w:val="en-US" w:eastAsia="zh-CN"/>
        </w:rPr>
        <w:t>项目地理位置图</w:t>
      </w:r>
    </w:p>
    <w:p w14:paraId="574A035C">
      <w:pPr>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251687936" behindDoc="0" locked="0" layoutInCell="1" allowOverlap="1">
                <wp:simplePos x="0" y="0"/>
                <wp:positionH relativeFrom="column">
                  <wp:posOffset>5083810</wp:posOffset>
                </wp:positionH>
                <wp:positionV relativeFrom="paragraph">
                  <wp:posOffset>918210</wp:posOffset>
                </wp:positionV>
                <wp:extent cx="1827530" cy="323215"/>
                <wp:effectExtent l="0" t="0" r="1270" b="635"/>
                <wp:wrapNone/>
                <wp:docPr id="57" name="文本框 57"/>
                <wp:cNvGraphicFramePr/>
                <a:graphic xmlns:a="http://schemas.openxmlformats.org/drawingml/2006/main">
                  <a:graphicData uri="http://schemas.microsoft.com/office/word/2010/wordprocessingShape">
                    <wps:wsp>
                      <wps:cNvSpPr txBox="1"/>
                      <wps:spPr>
                        <a:xfrm>
                          <a:off x="0" y="0"/>
                          <a:ext cx="1827530" cy="323215"/>
                        </a:xfrm>
                        <a:prstGeom prst="rect">
                          <a:avLst/>
                        </a:prstGeom>
                        <a:solidFill>
                          <a:schemeClr val="tx1"/>
                        </a:solidFill>
                        <a:ln w="6350">
                          <a:noFill/>
                        </a:ln>
                      </wps:spPr>
                      <wps:style>
                        <a:lnRef idx="0">
                          <a:schemeClr val="accent1"/>
                        </a:lnRef>
                        <a:fillRef idx="0">
                          <a:schemeClr val="accent1"/>
                        </a:fillRef>
                        <a:effectRef idx="0">
                          <a:schemeClr val="accent1"/>
                        </a:effectRef>
                        <a:fontRef idx="minor">
                          <a:schemeClr val="dk1"/>
                        </a:fontRef>
                      </wps:style>
                      <wps:txbx>
                        <w:txbxContent>
                          <w:p w14:paraId="361C1E34">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滑县产业集聚区湘江路小学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3pt;margin-top:72.3pt;height:25.45pt;width:143.9pt;z-index:251687936;mso-width-relative:page;mso-height-relative:page;" fillcolor="#000000 [3213]" filled="t" stroked="f" coordsize="21600,21600" o:gfxdata="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RI8RHWAAAADAEAAA8AAAAA&#10;AAAAAQAgAAAAIgAAAGRycy9kb3ducmV2LnhtbFBLAQIUABQAAAAIAIdO4kDdBKpPTwIAAJEEAAAO&#10;AAAAAAAAAAEAIAAAACUBAABkcnMvZTJvRG9jLnhtbFBLBQYAAAAABgAGAFkBAADmBQAAAAA=&#10;">
                <v:fill on="t" focussize="0,0"/>
                <v:stroke on="f" weight="0.5pt"/>
                <v:imagedata o:title=""/>
                <o:lock v:ext="edit" aspectratio="f"/>
                <v:textbox>
                  <w:txbxContent>
                    <w:p w14:paraId="361C1E34">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滑县产业集聚区湘江路小学</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86912" behindDoc="0" locked="0" layoutInCell="1" allowOverlap="1">
                <wp:simplePos x="0" y="0"/>
                <wp:positionH relativeFrom="column">
                  <wp:posOffset>539115</wp:posOffset>
                </wp:positionH>
                <wp:positionV relativeFrom="paragraph">
                  <wp:posOffset>3845560</wp:posOffset>
                </wp:positionV>
                <wp:extent cx="780415" cy="323215"/>
                <wp:effectExtent l="0" t="0" r="635" b="635"/>
                <wp:wrapNone/>
                <wp:docPr id="55" name="文本框 55"/>
                <wp:cNvGraphicFramePr/>
                <a:graphic xmlns:a="http://schemas.openxmlformats.org/drawingml/2006/main">
                  <a:graphicData uri="http://schemas.microsoft.com/office/word/2010/wordprocessingShape">
                    <wps:wsp>
                      <wps:cNvSpPr txBox="1"/>
                      <wps:spPr>
                        <a:xfrm>
                          <a:off x="0" y="0"/>
                          <a:ext cx="780415" cy="323215"/>
                        </a:xfrm>
                        <a:prstGeom prst="rect">
                          <a:avLst/>
                        </a:prstGeom>
                        <a:solidFill>
                          <a:schemeClr val="tx1"/>
                        </a:solidFill>
                        <a:ln w="6350">
                          <a:noFill/>
                        </a:ln>
                      </wps:spPr>
                      <wps:style>
                        <a:lnRef idx="0">
                          <a:schemeClr val="accent1"/>
                        </a:lnRef>
                        <a:fillRef idx="0">
                          <a:schemeClr val="accent1"/>
                        </a:fillRef>
                        <a:effectRef idx="0">
                          <a:schemeClr val="accent1"/>
                        </a:effectRef>
                        <a:fontRef idx="minor">
                          <a:schemeClr val="dk1"/>
                        </a:fontRef>
                      </wps:style>
                      <wps:txbx>
                        <w:txbxContent>
                          <w:p w14:paraId="1D2B4E7E">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锦和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5pt;margin-top:302.8pt;height:25.45pt;width:61.45pt;z-index:251686912;mso-width-relative:page;mso-height-relative:page;" fillcolor="#000000 [3213]" filled="t" stroked="f" coordsize="21600,21600" o:gfxdata="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0N0SjWAAAACgEAAA8AAAAA&#10;AAAAAQAgAAAAIgAAAGRycy9kb3ducmV2LnhtbFBLAQIUABQAAAAIAIdO4kDCSXyvTwIAAJAEAAAO&#10;AAAAAAAAAAEAIAAAACUBAABkcnMvZTJvRG9jLnhtbFBLBQYAAAAABgAGAFkBAADmBQAAAAA=&#10;">
                <v:fill on="t" focussize="0,0"/>
                <v:stroke on="f" weight="0.5pt"/>
                <v:imagedata o:title=""/>
                <o:lock v:ext="edit" aspectratio="f"/>
                <v:textbox>
                  <w:txbxContent>
                    <w:p w14:paraId="1D2B4E7E">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锦和</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85888" behindDoc="0" locked="0" layoutInCell="1" allowOverlap="1">
                <wp:simplePos x="0" y="0"/>
                <wp:positionH relativeFrom="column">
                  <wp:posOffset>6215380</wp:posOffset>
                </wp:positionH>
                <wp:positionV relativeFrom="paragraph">
                  <wp:posOffset>3653790</wp:posOffset>
                </wp:positionV>
                <wp:extent cx="793750" cy="336550"/>
                <wp:effectExtent l="4445" t="4445" r="20955" b="20955"/>
                <wp:wrapNone/>
                <wp:docPr id="37" name="文本框 37"/>
                <wp:cNvGraphicFramePr/>
                <a:graphic xmlns:a="http://schemas.openxmlformats.org/drawingml/2006/main">
                  <a:graphicData uri="http://schemas.microsoft.com/office/word/2010/wordprocessingShape">
                    <wps:wsp>
                      <wps:cNvSpPr txBox="1"/>
                      <wps:spPr>
                        <a:xfrm>
                          <a:off x="7129780" y="4796790"/>
                          <a:ext cx="793750" cy="3365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93BFD3">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五里铺村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9.4pt;margin-top:287.7pt;height:26.5pt;width:62.5pt;z-index:251685888;mso-width-relative:page;mso-height-relative:page;" filled="f" stroked="t" coordsize="21600,21600" o:gfxdata="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hoUEvcAAAADAEAAA8AAAAAAAAAAQAgAAAAIgAAAGRycy9kb3ducmV2LnhtbFBLAQIUABQAAAAI&#10;AIdO4kDFVD2qWwIAAJsEAAAOAAAAAAAAAAEAIAAAACsBAABkcnMvZTJvRG9jLnhtbFBLBQYAAAAA&#10;BgAGAFkBAAD4BQAAAAA=&#10;">
                <v:fill on="f" focussize="0,0"/>
                <v:stroke weight="0.5pt" color="#000000 [3204]" joinstyle="round"/>
                <v:imagedata o:title=""/>
                <o:lock v:ext="edit" aspectratio="f"/>
                <v:textbox>
                  <w:txbxContent>
                    <w:p w14:paraId="0193BFD3">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五里铺村</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0528" behindDoc="0" locked="0" layoutInCell="1" allowOverlap="1">
                <wp:simplePos x="0" y="0"/>
                <wp:positionH relativeFrom="column">
                  <wp:posOffset>3037205</wp:posOffset>
                </wp:positionH>
                <wp:positionV relativeFrom="paragraph">
                  <wp:posOffset>1929130</wp:posOffset>
                </wp:positionV>
                <wp:extent cx="581025" cy="257175"/>
                <wp:effectExtent l="0" t="0" r="0" b="0"/>
                <wp:wrapNone/>
                <wp:docPr id="18" name="文本框 18"/>
                <wp:cNvGraphicFramePr/>
                <a:graphic xmlns:a="http://schemas.openxmlformats.org/drawingml/2006/main">
                  <a:graphicData uri="http://schemas.microsoft.com/office/word/2010/wordprocessingShape">
                    <wps:wsp>
                      <wps:cNvSpPr txBox="1"/>
                      <wps:spPr>
                        <a:xfrm>
                          <a:off x="4274820" y="3072130"/>
                          <a:ext cx="58102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51CF1">
                            <w:pPr>
                              <w:rPr>
                                <w:rFonts w:hint="default" w:eastAsia="宋体"/>
                                <w:lang w:val="en-US" w:eastAsia="zh-CN"/>
                              </w:rPr>
                            </w:pPr>
                            <w:r>
                              <w:rPr>
                                <w:rFonts w:hint="eastAsia"/>
                                <w:color w:val="FFFF00"/>
                                <w:lang w:val="en-US" w:eastAsia="zh-CN"/>
                              </w:rPr>
                              <w:t>340m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5pt;margin-top:151.9pt;height:20.25pt;width:45.75pt;z-index:251670528;mso-width-relative:page;mso-height-relative:page;" filled="f" stroked="f" coordsize="21600,21600" o:gfxdata="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Bk1Y13AAAAAsBAAAPAAAAAAAA&#10;AAEAIAAAACIAAABkcnMvZG93bnJldi54bWxQSwECFAAUAAAACACHTuJA7bT6XEcCAABzBAAADgAA&#10;AAAAAAABACAAAAArAQAAZHJzL2Uyb0RvYy54bWxQSwUGAAAAAAYABgBZAQAA5AUAAAAA&#10;">
                <v:fill on="f" focussize="0,0"/>
                <v:stroke on="f" weight="0.5pt"/>
                <v:imagedata o:title=""/>
                <o:lock v:ext="edit" aspectratio="f"/>
                <v:textbox>
                  <w:txbxContent>
                    <w:p w14:paraId="26C51CF1">
                      <w:pPr>
                        <w:rPr>
                          <w:rFonts w:hint="default" w:eastAsia="宋体"/>
                          <w:lang w:val="en-US" w:eastAsia="zh-CN"/>
                        </w:rPr>
                      </w:pPr>
                      <w:r>
                        <w:rPr>
                          <w:rFonts w:hint="eastAsia"/>
                          <w:color w:val="FFFF00"/>
                          <w:lang w:val="en-US" w:eastAsia="zh-CN"/>
                        </w:rPr>
                        <w:t>340m</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3600" behindDoc="0" locked="0" layoutInCell="1" allowOverlap="1">
                <wp:simplePos x="0" y="0"/>
                <wp:positionH relativeFrom="column">
                  <wp:posOffset>2408555</wp:posOffset>
                </wp:positionH>
                <wp:positionV relativeFrom="paragraph">
                  <wp:posOffset>2357120</wp:posOffset>
                </wp:positionV>
                <wp:extent cx="633730" cy="23876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33730" cy="238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FDD1A">
                            <w:pPr>
                              <w:rPr>
                                <w:rFonts w:hint="default" w:eastAsia="宋体"/>
                                <w:lang w:val="en-US" w:eastAsia="zh-CN"/>
                              </w:rPr>
                            </w:pPr>
                            <w:r>
                              <w:rPr>
                                <w:rFonts w:hint="eastAsia"/>
                                <w:color w:val="FFFF00"/>
                                <w:lang w:val="en-US" w:eastAsia="zh-CN"/>
                              </w:rPr>
                              <w:t>300m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65pt;margin-top:185.6pt;height:18.8pt;width:49.9pt;z-index:251673600;mso-width-relative:page;mso-height-relative:page;" filled="f" stroked="f" coordsize="21600,21600" o:gfxdata="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l6CC3AAAAAsBAAAPAAAAAAAAAAEAIAAAACIAAABk&#10;cnMvZG93bnJldi54bWxQSwECFAAUAAAACACHTuJAW3GtIjsCAABnBAAADgAAAAAAAAABACAAAAAr&#10;AQAAZHJzL2Uyb0RvYy54bWxQSwUGAAAAAAYABgBZAQAA2AUAAAAA&#10;">
                <v:fill on="f" focussize="0,0"/>
                <v:stroke on="f" weight="0.5pt"/>
                <v:imagedata o:title=""/>
                <o:lock v:ext="edit" aspectratio="f"/>
                <v:textbox>
                  <w:txbxContent>
                    <w:p w14:paraId="554FDD1A">
                      <w:pPr>
                        <w:rPr>
                          <w:rFonts w:hint="default" w:eastAsia="宋体"/>
                          <w:lang w:val="en-US" w:eastAsia="zh-CN"/>
                        </w:rPr>
                      </w:pPr>
                      <w:r>
                        <w:rPr>
                          <w:rFonts w:hint="eastAsia"/>
                          <w:color w:val="FFFF00"/>
                          <w:lang w:val="en-US" w:eastAsia="zh-CN"/>
                        </w:rPr>
                        <w:t>300m</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4624" behindDoc="0" locked="0" layoutInCell="1" allowOverlap="1">
                <wp:simplePos x="0" y="0"/>
                <wp:positionH relativeFrom="column">
                  <wp:posOffset>2265680</wp:posOffset>
                </wp:positionH>
                <wp:positionV relativeFrom="paragraph">
                  <wp:posOffset>2881630</wp:posOffset>
                </wp:positionV>
                <wp:extent cx="612140" cy="25717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61214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1B8CC">
                            <w:pPr>
                              <w:rPr>
                                <w:rFonts w:hint="default" w:eastAsia="宋体"/>
                                <w:lang w:val="en-US" w:eastAsia="zh-CN"/>
                              </w:rPr>
                            </w:pPr>
                            <w:r>
                              <w:rPr>
                                <w:rFonts w:hint="eastAsia"/>
                                <w:color w:val="FFFF00"/>
                                <w:lang w:val="en-US" w:eastAsia="zh-CN"/>
                              </w:rPr>
                              <w:t>320m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pt;margin-top:226.9pt;height:20.25pt;width:48.2pt;z-index:251674624;mso-width-relative:page;mso-height-relative:page;" filled="f" stroked="f" coordsize="21600,21600" o:gfxdata="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hVV552gAAAAsBAAAPAAAAAAAAAAEAIAAAACIAAABkcnMv&#10;ZG93bnJldi54bWxQSwECFAAUAAAACACHTuJAtZVakDoCAABnBAAADgAAAAAAAAABACAAAAApAQAA&#10;ZHJzL2Uyb0RvYy54bWxQSwUGAAAAAAYABgBZAQAA1QUAAAAA&#10;">
                <v:fill on="f" focussize="0,0"/>
                <v:stroke on="f" weight="0.5pt"/>
                <v:imagedata o:title=""/>
                <o:lock v:ext="edit" aspectratio="f"/>
                <v:textbox>
                  <w:txbxContent>
                    <w:p w14:paraId="0A01B8CC">
                      <w:pPr>
                        <w:rPr>
                          <w:rFonts w:hint="default" w:eastAsia="宋体"/>
                          <w:lang w:val="en-US" w:eastAsia="zh-CN"/>
                        </w:rPr>
                      </w:pPr>
                      <w:r>
                        <w:rPr>
                          <w:rFonts w:hint="eastAsia"/>
                          <w:color w:val="FFFF00"/>
                          <w:lang w:val="en-US" w:eastAsia="zh-CN"/>
                        </w:rPr>
                        <w:t>320m</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1552" behindDoc="0" locked="0" layoutInCell="1" allowOverlap="1">
                <wp:simplePos x="0" y="0"/>
                <wp:positionH relativeFrom="column">
                  <wp:posOffset>5056505</wp:posOffset>
                </wp:positionH>
                <wp:positionV relativeFrom="paragraph">
                  <wp:posOffset>2929255</wp:posOffset>
                </wp:positionV>
                <wp:extent cx="707390" cy="2571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0739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BAE91">
                            <w:pPr>
                              <w:rPr>
                                <w:rFonts w:hint="default" w:eastAsia="宋体"/>
                                <w:lang w:val="en-US" w:eastAsia="zh-CN"/>
                              </w:rPr>
                            </w:pPr>
                            <w:r>
                              <w:rPr>
                                <w:rFonts w:hint="eastAsia"/>
                                <w:color w:val="FFFF00"/>
                                <w:lang w:val="en-US" w:eastAsia="zh-CN"/>
                              </w:rPr>
                              <w:t>490m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15pt;margin-top:230.65pt;height:20.25pt;width:55.7pt;z-index:251671552;mso-width-relative:page;mso-height-relative:page;" filled="f" stroked="f" coordsize="21600,21600" o:gfxdata="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aTiUfdAAAACwEAAA8AAAAAAAAAAQAgAAAAIgAA&#10;AGRycy9kb3ducmV2LnhtbFBLAQIUABQAAAAIAIdO4kCx+FeIPAIAAGcEAAAOAAAAAAAAAAEAIAAA&#10;ACwBAABkcnMvZTJvRG9jLnhtbFBLBQYAAAAABgAGAFkBAADaBQAAAAA=&#10;">
                <v:fill on="f" focussize="0,0"/>
                <v:stroke on="f" weight="0.5pt"/>
                <v:imagedata o:title=""/>
                <o:lock v:ext="edit" aspectratio="f"/>
                <v:textbox>
                  <w:txbxContent>
                    <w:p w14:paraId="502BAE91">
                      <w:pPr>
                        <w:rPr>
                          <w:rFonts w:hint="default" w:eastAsia="宋体"/>
                          <w:lang w:val="en-US" w:eastAsia="zh-CN"/>
                        </w:rPr>
                      </w:pPr>
                      <w:r>
                        <w:rPr>
                          <w:rFonts w:hint="eastAsia"/>
                          <w:color w:val="FFFF00"/>
                          <w:lang w:val="en-US" w:eastAsia="zh-CN"/>
                        </w:rPr>
                        <w:t>490m</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5648" behindDoc="0" locked="0" layoutInCell="1" allowOverlap="1">
                <wp:simplePos x="0" y="0"/>
                <wp:positionH relativeFrom="column">
                  <wp:posOffset>3875405</wp:posOffset>
                </wp:positionH>
                <wp:positionV relativeFrom="paragraph">
                  <wp:posOffset>2414905</wp:posOffset>
                </wp:positionV>
                <wp:extent cx="645160" cy="2571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4516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DE284">
                            <w:pPr>
                              <w:rPr>
                                <w:rFonts w:hint="default" w:eastAsia="宋体"/>
                                <w:lang w:val="en-US" w:eastAsia="zh-CN"/>
                              </w:rPr>
                            </w:pPr>
                            <w:r>
                              <w:rPr>
                                <w:rFonts w:hint="eastAsia"/>
                                <w:color w:val="FFFF00"/>
                                <w:lang w:val="en-US" w:eastAsia="zh-CN"/>
                              </w:rPr>
                              <w:t>40m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190.15pt;height:20.25pt;width:50.8pt;z-index:251675648;mso-width-relative:page;mso-height-relative:page;" filled="f" stroked="f" coordsize="21600,21600" o:gfxdata="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A4lyLbAAAACwEAAA8AAAAAAAAAAQAgAAAAIgAAAGRy&#10;cy9kb3ducmV2LnhtbFBLAQIUABQAAAAIAIdO4kArx4VVOwIAAGcEAAAOAAAAAAAAAAEAIAAAACoB&#10;AABkcnMvZTJvRG9jLnhtbFBLBQYAAAAABgAGAFkBAADXBQAAAAA=&#10;">
                <v:fill on="f" focussize="0,0"/>
                <v:stroke on="f" weight="0.5pt"/>
                <v:imagedata o:title=""/>
                <o:lock v:ext="edit" aspectratio="f"/>
                <v:textbox>
                  <w:txbxContent>
                    <w:p w14:paraId="011DE284">
                      <w:pPr>
                        <w:rPr>
                          <w:rFonts w:hint="default" w:eastAsia="宋体"/>
                          <w:lang w:val="en-US" w:eastAsia="zh-CN"/>
                        </w:rPr>
                      </w:pPr>
                      <w:r>
                        <w:rPr>
                          <w:rFonts w:hint="eastAsia"/>
                          <w:color w:val="FFFF00"/>
                          <w:lang w:val="en-US" w:eastAsia="zh-CN"/>
                        </w:rPr>
                        <w:t>40m</w:t>
                      </w:r>
                    </w:p>
                  </w:txbxContent>
                </v:textbox>
              </v:shape>
            </w:pict>
          </mc:Fallback>
        </mc:AlternateContent>
      </w:r>
      <w:r>
        <w:rPr>
          <w:rFonts w:hint="default" w:ascii="Times New Roman" w:hAnsi="Times New Roman" w:eastAsia="宋体" w:cs="Times New Roman"/>
          <w:color w:val="auto"/>
        </w:rPr>
        <w:drawing>
          <wp:inline distT="0" distB="0" distL="114300" distR="114300">
            <wp:extent cx="8860155" cy="4799965"/>
            <wp:effectExtent l="0" t="0" r="1714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8860155" cy="4799965"/>
                    </a:xfrm>
                    <a:prstGeom prst="rect">
                      <a:avLst/>
                    </a:prstGeom>
                    <a:noFill/>
                    <a:ln>
                      <a:noFill/>
                    </a:ln>
                  </pic:spPr>
                </pic:pic>
              </a:graphicData>
            </a:graphic>
          </wp:inline>
        </w:drawing>
      </w:r>
      <w:r>
        <w:rPr>
          <w:rFonts w:hint="default" w:ascii="Times New Roman" w:hAnsi="Times New Roman" w:eastAsia="宋体" w:cs="Times New Roman"/>
          <w:color w:val="auto"/>
          <w:sz w:val="21"/>
        </w:rPr>
        <mc:AlternateContent>
          <mc:Choice Requires="wps">
            <w:drawing>
              <wp:anchor distT="0" distB="0" distL="114300" distR="114300" simplePos="0" relativeHeight="251672576" behindDoc="0" locked="0" layoutInCell="1" allowOverlap="1">
                <wp:simplePos x="0" y="0"/>
                <wp:positionH relativeFrom="column">
                  <wp:posOffset>3770630</wp:posOffset>
                </wp:positionH>
                <wp:positionV relativeFrom="paragraph">
                  <wp:posOffset>1910080</wp:posOffset>
                </wp:positionV>
                <wp:extent cx="728980" cy="2571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72898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C702F">
                            <w:pPr>
                              <w:rPr>
                                <w:rFonts w:hint="default" w:eastAsia="宋体"/>
                                <w:lang w:val="en-US" w:eastAsia="zh-CN"/>
                              </w:rPr>
                            </w:pPr>
                            <w:r>
                              <w:rPr>
                                <w:rFonts w:hint="eastAsia"/>
                                <w:color w:val="FFFF00"/>
                                <w:lang w:val="en-US" w:eastAsia="zh-CN"/>
                              </w:rPr>
                              <w:t>360m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9pt;margin-top:150.4pt;height:20.25pt;width:57.4pt;z-index:251672576;mso-width-relative:page;mso-height-relative:page;" filled="f" stroked="f" coordsize="21600,21600" o:gfxdata="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&#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59PoW3AAAAAsBAAAPAAAAAAAAAAEAIAAAACIAAABk&#10;cnMvZG93bnJldi54bWxQSwECFAAUAAAACACHTuJAYDC3hjsCAABnBAAADgAAAAAAAAABACAAAAAr&#10;AQAAZHJzL2Uyb0RvYy54bWxQSwUGAAAAAAYABgBZAQAA2AUAAAAA&#10;">
                <v:fill on="f" focussize="0,0"/>
                <v:stroke on="f" weight="0.5pt"/>
                <v:imagedata o:title=""/>
                <o:lock v:ext="edit" aspectratio="f"/>
                <v:textbox>
                  <w:txbxContent>
                    <w:p w14:paraId="29DC702F">
                      <w:pPr>
                        <w:rPr>
                          <w:rFonts w:hint="default" w:eastAsia="宋体"/>
                          <w:lang w:val="en-US" w:eastAsia="zh-CN"/>
                        </w:rPr>
                      </w:pPr>
                      <w:r>
                        <w:rPr>
                          <w:rFonts w:hint="eastAsia"/>
                          <w:color w:val="FFFF00"/>
                          <w:lang w:val="en-US" w:eastAsia="zh-CN"/>
                        </w:rPr>
                        <w:t>360m</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9504" behindDoc="0" locked="0" layoutInCell="1" allowOverlap="1">
                <wp:simplePos x="0" y="0"/>
                <wp:positionH relativeFrom="column">
                  <wp:posOffset>2903855</wp:posOffset>
                </wp:positionH>
                <wp:positionV relativeFrom="paragraph">
                  <wp:posOffset>938530</wp:posOffset>
                </wp:positionV>
                <wp:extent cx="1294130" cy="342900"/>
                <wp:effectExtent l="0" t="0" r="1270" b="0"/>
                <wp:wrapNone/>
                <wp:docPr id="17" name="文本框 17"/>
                <wp:cNvGraphicFramePr/>
                <a:graphic xmlns:a="http://schemas.openxmlformats.org/drawingml/2006/main">
                  <a:graphicData uri="http://schemas.microsoft.com/office/word/2010/wordprocessingShape">
                    <wps:wsp>
                      <wps:cNvSpPr txBox="1"/>
                      <wps:spPr>
                        <a:xfrm>
                          <a:off x="0" y="0"/>
                          <a:ext cx="1294130" cy="342900"/>
                        </a:xfrm>
                        <a:prstGeom prst="rect">
                          <a:avLst/>
                        </a:prstGeom>
                        <a:solidFill>
                          <a:schemeClr val="tx1"/>
                        </a:solidFill>
                        <a:ln w="6350">
                          <a:noFill/>
                        </a:ln>
                      </wps:spPr>
                      <wps:style>
                        <a:lnRef idx="0">
                          <a:schemeClr val="accent1"/>
                        </a:lnRef>
                        <a:fillRef idx="0">
                          <a:schemeClr val="accent1"/>
                        </a:fillRef>
                        <a:effectRef idx="0">
                          <a:schemeClr val="accent1"/>
                        </a:effectRef>
                        <a:fontRef idx="minor">
                          <a:schemeClr val="dk1"/>
                        </a:fontRef>
                      </wps:style>
                      <wps:txbx>
                        <w:txbxContent>
                          <w:p w14:paraId="576F4F55">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滑县美好生活家园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65pt;margin-top:73.9pt;height:27pt;width:101.9pt;z-index:251669504;mso-width-relative:page;mso-height-relative:page;" fillcolor="#000000 [3213]" filled="t" stroked="f" coordsize="21600,21600" o:gfxdata="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Hbd5DXAAAACwEAAA8A&#10;AAAAAAAAAQAgAAAAIgAAAGRycy9kb3ducmV2LnhtbFBLAQIUABQAAAAIAIdO4kBnZLUgUQIAAJEE&#10;AAAOAAAAAAAAAAEAIAAAACYBAABkcnMvZTJvRG9jLnhtbFBLBQYAAAAABgAGAFkBAADpBQAAAAA=&#10;">
                <v:fill on="t" focussize="0,0"/>
                <v:stroke on="f" weight="0.5pt"/>
                <v:imagedata o:title=""/>
                <o:lock v:ext="edit" aspectratio="f"/>
                <v:textbox>
                  <w:txbxContent>
                    <w:p w14:paraId="576F4F55">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滑县美好生活家园</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8480" behindDoc="0" locked="0" layoutInCell="1" allowOverlap="1">
                <wp:simplePos x="0" y="0"/>
                <wp:positionH relativeFrom="column">
                  <wp:posOffset>4342130</wp:posOffset>
                </wp:positionH>
                <wp:positionV relativeFrom="paragraph">
                  <wp:posOffset>2338705</wp:posOffset>
                </wp:positionV>
                <wp:extent cx="1294130" cy="276225"/>
                <wp:effectExtent l="0" t="0" r="1270" b="9525"/>
                <wp:wrapNone/>
                <wp:docPr id="16" name="文本框 16"/>
                <wp:cNvGraphicFramePr/>
                <a:graphic xmlns:a="http://schemas.openxmlformats.org/drawingml/2006/main">
                  <a:graphicData uri="http://schemas.microsoft.com/office/word/2010/wordprocessingShape">
                    <wps:wsp>
                      <wps:cNvSpPr txBox="1"/>
                      <wps:spPr>
                        <a:xfrm>
                          <a:off x="0" y="0"/>
                          <a:ext cx="1294130" cy="276225"/>
                        </a:xfrm>
                        <a:prstGeom prst="rect">
                          <a:avLst/>
                        </a:prstGeom>
                        <a:solidFill>
                          <a:schemeClr val="tx1"/>
                        </a:solidFill>
                        <a:ln w="6350">
                          <a:noFill/>
                        </a:ln>
                      </wps:spPr>
                      <wps:style>
                        <a:lnRef idx="0">
                          <a:schemeClr val="accent1"/>
                        </a:lnRef>
                        <a:fillRef idx="0">
                          <a:schemeClr val="accent1"/>
                        </a:fillRef>
                        <a:effectRef idx="0">
                          <a:schemeClr val="accent1"/>
                        </a:effectRef>
                        <a:fontRef idx="minor">
                          <a:schemeClr val="dk1"/>
                        </a:fontRef>
                      </wps:style>
                      <wps:txbx>
                        <w:txbxContent>
                          <w:p w14:paraId="5B8356E1">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美好生活家园二期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9pt;margin-top:184.15pt;height:21.75pt;width:101.9pt;z-index:251668480;mso-width-relative:page;mso-height-relative:page;" fillcolor="#000000 [3213]" filled="t" stroked="f" coordsize="21600,21600" o:gfxdata="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PRU7nXAAAACwEAAA8AAAAA&#10;AAAAAQAgAAAAIgAAAGRycy9kb3ducmV2LnhtbFBLAQIUABQAAAAIAIdO4kB0ip05TgIAAJEEAAAO&#10;AAAAAAAAAAEAIAAAACYBAABkcnMvZTJvRG9jLnhtbFBLBQYAAAAABgAGAFkBAADmBQAAAAA=&#10;">
                <v:fill on="t" focussize="0,0"/>
                <v:stroke on="f" weight="0.5pt"/>
                <v:imagedata o:title=""/>
                <o:lock v:ext="edit" aspectratio="f"/>
                <v:textbox>
                  <w:txbxContent>
                    <w:p w14:paraId="5B8356E1">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美好生活家园二期</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7456" behindDoc="0" locked="0" layoutInCell="1" allowOverlap="1">
                <wp:simplePos x="0" y="0"/>
                <wp:positionH relativeFrom="column">
                  <wp:posOffset>1360170</wp:posOffset>
                </wp:positionH>
                <wp:positionV relativeFrom="paragraph">
                  <wp:posOffset>2052955</wp:posOffset>
                </wp:positionV>
                <wp:extent cx="780415" cy="323215"/>
                <wp:effectExtent l="0" t="0" r="635" b="635"/>
                <wp:wrapNone/>
                <wp:docPr id="15" name="文本框 15"/>
                <wp:cNvGraphicFramePr/>
                <a:graphic xmlns:a="http://schemas.openxmlformats.org/drawingml/2006/main">
                  <a:graphicData uri="http://schemas.microsoft.com/office/word/2010/wordprocessingShape">
                    <wps:wsp>
                      <wps:cNvSpPr txBox="1"/>
                      <wps:spPr>
                        <a:xfrm>
                          <a:off x="2436495" y="3710305"/>
                          <a:ext cx="780415" cy="323215"/>
                        </a:xfrm>
                        <a:prstGeom prst="rect">
                          <a:avLst/>
                        </a:prstGeom>
                        <a:solidFill>
                          <a:schemeClr val="tx1"/>
                        </a:solidFill>
                        <a:ln w="6350">
                          <a:noFill/>
                        </a:ln>
                      </wps:spPr>
                      <wps:style>
                        <a:lnRef idx="0">
                          <a:schemeClr val="accent1"/>
                        </a:lnRef>
                        <a:fillRef idx="0">
                          <a:schemeClr val="accent1"/>
                        </a:fillRef>
                        <a:effectRef idx="0">
                          <a:schemeClr val="accent1"/>
                        </a:effectRef>
                        <a:fontRef idx="minor">
                          <a:schemeClr val="dk1"/>
                        </a:fontRef>
                      </wps:style>
                      <wps:txbx>
                        <w:txbxContent>
                          <w:p w14:paraId="276F33ED">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水木春天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1pt;margin-top:161.65pt;height:25.45pt;width:61.45pt;z-index:251667456;mso-width-relative:page;mso-height-relative:page;" fillcolor="#000000 [3213]" filled="t" stroked="f" coordsize="21600,21600" o:gfxdata="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6+i&#10;UtcAAAALAQAADwAAAAAAAAABACAAAAAiAAAAZHJzL2Rvd25yZXYueG1sUEsBAhQAFAAAAAgAh07i&#10;QPDLu51cAgAAnAQAAA4AAAAAAAAAAQAgAAAAJgEAAGRycy9lMm9Eb2MueG1sUEsFBgAAAAAGAAYA&#10;WQEAAPQFAAAAAA==&#10;">
                <v:fill on="t" focussize="0,0"/>
                <v:stroke on="f" weight="0.5pt"/>
                <v:imagedata o:title=""/>
                <o:lock v:ext="edit" aspectratio="f"/>
                <v:textbox>
                  <w:txbxContent>
                    <w:p w14:paraId="276F33ED">
                      <w:pPr>
                        <w:rPr>
                          <w:rFonts w:hint="eastAsia" w:eastAsia="宋体"/>
                          <w:color w:val="EE822F" w:themeColor="accent2"/>
                          <w:lang w:eastAsia="zh-CN"/>
                          <w14:textFill>
                            <w14:solidFill>
                              <w14:schemeClr w14:val="accent2"/>
                            </w14:solidFill>
                          </w14:textFill>
                        </w:rPr>
                      </w:pPr>
                      <w:r>
                        <w:rPr>
                          <w:rFonts w:hint="eastAsia"/>
                          <w:color w:val="EE822F" w:themeColor="accent2"/>
                          <w:lang w:eastAsia="zh-CN"/>
                          <w14:textFill>
                            <w14:solidFill>
                              <w14:schemeClr w14:val="accent2"/>
                            </w14:solidFill>
                          </w14:textFill>
                        </w:rPr>
                        <w:t>水木春天</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6432" behindDoc="0" locked="0" layoutInCell="1" allowOverlap="1">
                <wp:simplePos x="0" y="0"/>
                <wp:positionH relativeFrom="column">
                  <wp:posOffset>3903345</wp:posOffset>
                </wp:positionH>
                <wp:positionV relativeFrom="paragraph">
                  <wp:posOffset>2776855</wp:posOffset>
                </wp:positionV>
                <wp:extent cx="1981200" cy="695325"/>
                <wp:effectExtent l="1905" t="5715" r="17145" b="22860"/>
                <wp:wrapNone/>
                <wp:docPr id="14" name="直接箭头连接符 14"/>
                <wp:cNvGraphicFramePr/>
                <a:graphic xmlns:a="http://schemas.openxmlformats.org/drawingml/2006/main">
                  <a:graphicData uri="http://schemas.microsoft.com/office/word/2010/wordprocessingShape">
                    <wps:wsp>
                      <wps:cNvCnPr/>
                      <wps:spPr>
                        <a:xfrm>
                          <a:off x="4817745" y="3919855"/>
                          <a:ext cx="1981200" cy="69532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07.35pt;margin-top:218.65pt;height:54.75pt;width:156pt;z-index:251666432;mso-width-relative:page;mso-height-relative:page;" filled="f" stroked="t" coordsize="21600,21600" o:gfxdata="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aVNB2AAAAAsBAAAP&#10;AAAAAAAAAAEAIAAAACIAAABkcnMvZG93bnJldi54bWxQSwECFAAUAAAACACHTuJAH+n/FhgCAADy&#10;AwAADgAAAAAAAAABACAAAAAnAQAAZHJzL2Uyb0RvYy54bWxQSwUGAAAAAAYABgBZAQAAsQUAAAAA&#10;">
                <v:fill on="f" focussize="0,0"/>
                <v:stroke weight="1pt" color="#FFFF00 [3204]" miterlimit="8" joinstyle="miter" endarrow="open"/>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5408" behindDoc="0" locked="0" layoutInCell="1" allowOverlap="1">
                <wp:simplePos x="0" y="0"/>
                <wp:positionH relativeFrom="column">
                  <wp:posOffset>3865245</wp:posOffset>
                </wp:positionH>
                <wp:positionV relativeFrom="paragraph">
                  <wp:posOffset>2633980</wp:posOffset>
                </wp:positionV>
                <wp:extent cx="257175" cy="0"/>
                <wp:effectExtent l="0" t="50800" r="9525" b="63500"/>
                <wp:wrapNone/>
                <wp:docPr id="13" name="直接箭头连接符 13"/>
                <wp:cNvGraphicFramePr/>
                <a:graphic xmlns:a="http://schemas.openxmlformats.org/drawingml/2006/main">
                  <a:graphicData uri="http://schemas.microsoft.com/office/word/2010/wordprocessingShape">
                    <wps:wsp>
                      <wps:cNvCnPr>
                        <a:stCxn id="8" idx="3"/>
                      </wps:cNvCnPr>
                      <wps:spPr>
                        <a:xfrm>
                          <a:off x="4779645" y="3776980"/>
                          <a:ext cx="257175" cy="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04.35pt;margin-top:207.4pt;height:0pt;width:20.25pt;z-index:251665408;mso-width-relative:page;mso-height-relative:page;" filled="f" stroked="t" coordsize="21600,21600" o:gfxdata="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bq3&#10;dNYAAAALAQAADwAAAAAAAAABACAAAAAiAAAAZHJzL2Rvd25yZXYueG1sUEsBAhQAFAAAAAgAh07i&#10;QFbKPV8kAgAAEgQAAA4AAAAAAAAAAQAgAAAAJQEAAGRycy9lMm9Eb2MueG1sUEsFBgAAAAAGAAYA&#10;WQEAALsFAAAAAA==&#10;">
                <v:fill on="f" focussize="0,0"/>
                <v:stroke weight="1pt" color="#FFFF00 [3204]" miterlimit="8" joinstyle="miter" endarrow="open"/>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3941445</wp:posOffset>
                </wp:positionH>
                <wp:positionV relativeFrom="paragraph">
                  <wp:posOffset>1481455</wp:posOffset>
                </wp:positionV>
                <wp:extent cx="495300" cy="1038225"/>
                <wp:effectExtent l="5715" t="0" r="13335" b="9525"/>
                <wp:wrapNone/>
                <wp:docPr id="12" name="直接箭头连接符 12"/>
                <wp:cNvGraphicFramePr/>
                <a:graphic xmlns:a="http://schemas.openxmlformats.org/drawingml/2006/main">
                  <a:graphicData uri="http://schemas.microsoft.com/office/word/2010/wordprocessingShape">
                    <wps:wsp>
                      <wps:cNvCnPr/>
                      <wps:spPr>
                        <a:xfrm flipV="1">
                          <a:off x="4855845" y="2624455"/>
                          <a:ext cx="495300" cy="103822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0.35pt;margin-top:116.65pt;height:81.75pt;width:39pt;z-index:251664384;mso-width-relative:page;mso-height-relative:page;" filled="f" stroked="t" coordsize="21600,21600" o:gfxdata="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2KIIdcAAAAL&#10;AQAADwAAAAAAAAABACAAAAAiAAAAZHJzL2Rvd25yZXYueG1sUEsBAhQAFAAAAAgAh07iQNu86G0d&#10;AgAA/AMAAA4AAAAAAAAAAQAgAAAAJgEAAGRycy9lMm9Eb2MueG1sUEsFBgAAAAAGAAYAWQEAALUF&#10;AAAAAA==&#10;">
                <v:fill on="f" focussize="0,0"/>
                <v:stroke weight="1pt" color="#FFFF00 [3204]" miterlimit="8" joinstyle="miter" endarrow="open"/>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3360" behindDoc="0" locked="0" layoutInCell="1" allowOverlap="1">
                <wp:simplePos x="0" y="0"/>
                <wp:positionH relativeFrom="column">
                  <wp:posOffset>3550920</wp:posOffset>
                </wp:positionH>
                <wp:positionV relativeFrom="paragraph">
                  <wp:posOffset>1490980</wp:posOffset>
                </wp:positionV>
                <wp:extent cx="19050" cy="1019175"/>
                <wp:effectExtent l="33655" t="0" r="61595" b="9525"/>
                <wp:wrapNone/>
                <wp:docPr id="11" name="直接箭头连接符 11"/>
                <wp:cNvGraphicFramePr/>
                <a:graphic xmlns:a="http://schemas.openxmlformats.org/drawingml/2006/main">
                  <a:graphicData uri="http://schemas.microsoft.com/office/word/2010/wordprocessingShape">
                    <wps:wsp>
                      <wps:cNvCnPr>
                        <a:stCxn id="8" idx="0"/>
                      </wps:cNvCnPr>
                      <wps:spPr>
                        <a:xfrm flipV="1">
                          <a:off x="4465320" y="2633980"/>
                          <a:ext cx="19050" cy="101917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79.6pt;margin-top:117.4pt;height:80.25pt;width:1.5pt;z-index:251663360;mso-width-relative:page;mso-height-relative:page;" filled="f" stroked="t" coordsize="21600,21600" o:gfxdata="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t1xXDXAAAACwEAAA8AAAAAAAAAAQAgAAAAIgAAAGRycy9kb3ducmV2LnhtbFBLAQIU&#10;ABQAAAAIAIdO4kBXeg8VLQIAACEEAAAOAAAAAAAAAAEAIAAAACYBAABkcnMvZTJvRG9jLnhtbFBL&#10;BQYAAAAABgAGAFkBAADFBQAAAAA=&#10;">
                <v:fill on="f" focussize="0,0"/>
                <v:stroke weight="1pt" color="#FFFF00 [3204]" miterlimit="8" joinstyle="miter" endarrow="open"/>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2122170</wp:posOffset>
                </wp:positionH>
                <wp:positionV relativeFrom="paragraph">
                  <wp:posOffset>2624455</wp:posOffset>
                </wp:positionV>
                <wp:extent cx="1047750" cy="28575"/>
                <wp:effectExtent l="0" t="24765" r="0" b="60960"/>
                <wp:wrapNone/>
                <wp:docPr id="10" name="直接箭头连接符 10"/>
                <wp:cNvGraphicFramePr/>
                <a:graphic xmlns:a="http://schemas.openxmlformats.org/drawingml/2006/main">
                  <a:graphicData uri="http://schemas.microsoft.com/office/word/2010/wordprocessingShape">
                    <wps:wsp>
                      <wps:cNvCnPr/>
                      <wps:spPr>
                        <a:xfrm flipH="1">
                          <a:off x="3036570" y="3767455"/>
                          <a:ext cx="1047750" cy="2857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67.1pt;margin-top:206.65pt;height:2.25pt;width:82.5pt;z-index:251662336;mso-width-relative:page;mso-height-relative:page;" filled="f" stroked="t" coordsize="21600,21600" o:gfxdata="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G0FHLWAAAACwEA&#10;AA8AAAAAAAAAAQAgAAAAIgAAAGRycy9kb3ducmV2LnhtbFBLAQIUABQAAAAIAIdO4kAuc5vPHAIA&#10;APsDAAAOAAAAAAAAAAEAIAAAACUBAABkcnMvZTJvRG9jLnhtbFBLBQYAAAAABgAGAFkBAACzBQAA&#10;AAA=&#10;">
                <v:fill on="f" focussize="0,0"/>
                <v:stroke weight="1pt" color="#FFFF00 [3204]" miterlimit="8" joinstyle="miter" endarrow="open"/>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1312" behindDoc="0" locked="0" layoutInCell="1" allowOverlap="1">
                <wp:simplePos x="0" y="0"/>
                <wp:positionH relativeFrom="column">
                  <wp:posOffset>2074545</wp:posOffset>
                </wp:positionH>
                <wp:positionV relativeFrom="paragraph">
                  <wp:posOffset>2757805</wp:posOffset>
                </wp:positionV>
                <wp:extent cx="1085850" cy="609600"/>
                <wp:effectExtent l="0" t="5715" r="19050" b="13335"/>
                <wp:wrapNone/>
                <wp:docPr id="9" name="直接箭头连接符 9"/>
                <wp:cNvGraphicFramePr/>
                <a:graphic xmlns:a="http://schemas.openxmlformats.org/drawingml/2006/main">
                  <a:graphicData uri="http://schemas.microsoft.com/office/word/2010/wordprocessingShape">
                    <wps:wsp>
                      <wps:cNvCnPr/>
                      <wps:spPr>
                        <a:xfrm flipH="1">
                          <a:off x="2988945" y="3900805"/>
                          <a:ext cx="1085850" cy="60960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63.35pt;margin-top:217.15pt;height:48pt;width:85.5pt;z-index:251661312;mso-width-relative:page;mso-height-relative:page;" filled="f" stroked="t" coordsize="21600,21600" o:gfxdata="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xMDzdgA&#10;AAALAQAADwAAAAAAAAABACAAAAAiAAAAZHJzL2Rvd25yZXYueG1sUEsBAhQAFAAAAAgAh07iQF+x&#10;0p0fAgAA+gMAAA4AAAAAAAAAAQAgAAAAJwEAAGRycy9lMm9Eb2MueG1sUEsFBgAAAAAGAAYAWQEA&#10;ALgFAAAAAA==&#10;">
                <v:fill on="f" focussize="0,0"/>
                <v:stroke weight="1pt" color="#FFFF00 [3204]" miterlimit="8" joinstyle="miter" endarrow="open"/>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0288" behindDoc="0" locked="0" layoutInCell="1" allowOverlap="1">
                <wp:simplePos x="0" y="0"/>
                <wp:positionH relativeFrom="column">
                  <wp:posOffset>3236595</wp:posOffset>
                </wp:positionH>
                <wp:positionV relativeFrom="paragraph">
                  <wp:posOffset>2510155</wp:posOffset>
                </wp:positionV>
                <wp:extent cx="628650" cy="247015"/>
                <wp:effectExtent l="0" t="0" r="0" b="635"/>
                <wp:wrapNone/>
                <wp:docPr id="8" name="文本框 8"/>
                <wp:cNvGraphicFramePr/>
                <a:graphic xmlns:a="http://schemas.openxmlformats.org/drawingml/2006/main">
                  <a:graphicData uri="http://schemas.microsoft.com/office/word/2010/wordprocessingShape">
                    <wps:wsp>
                      <wps:cNvSpPr txBox="1"/>
                      <wps:spPr>
                        <a:xfrm>
                          <a:off x="4246245" y="3710305"/>
                          <a:ext cx="628650" cy="247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ED4D58">
                            <w:pPr>
                              <w:rPr>
                                <w:rFonts w:hint="eastAsia" w:eastAsia="宋体"/>
                                <w:color w:val="auto"/>
                                <w:lang w:eastAsia="zh-CN"/>
                              </w:rPr>
                            </w:pPr>
                            <w:r>
                              <w:rPr>
                                <w:rFonts w:hint="eastAsia"/>
                                <w:color w:val="auto"/>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85pt;margin-top:197.65pt;height:19.45pt;width:49.5pt;z-index:251660288;mso-width-relative:page;mso-height-relative:page;" fillcolor="#FFFFFF [3201]" filled="t" stroked="f" coordsize="21600,21600" o:gfxdata="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z7&#10;9/HYAAAACwEAAA8AAAAAAAAAAQAgAAAAIgAAAGRycy9kb3ducmV2LnhtbFBLAQIUABQAAAAIAIdO&#10;4kCsH18/XAIAAJoEAAAOAAAAAAAAAAEAIAAAACcBAABkcnMvZTJvRG9jLnhtbFBLBQYAAAAABgAG&#10;AFkBAAD1BQAAAAA=&#10;">
                <v:fill on="t" focussize="0,0"/>
                <v:stroke on="f" weight="0.5pt"/>
                <v:imagedata o:title=""/>
                <o:lock v:ext="edit" aspectratio="f"/>
                <v:textbox>
                  <w:txbxContent>
                    <w:p w14:paraId="2FED4D58">
                      <w:pPr>
                        <w:rPr>
                          <w:rFonts w:hint="eastAsia" w:eastAsia="宋体"/>
                          <w:color w:val="auto"/>
                          <w:lang w:eastAsia="zh-CN"/>
                        </w:rPr>
                      </w:pPr>
                      <w:r>
                        <w:rPr>
                          <w:rFonts w:hint="eastAsia"/>
                          <w:color w:val="auto"/>
                          <w:lang w:eastAsia="zh-CN"/>
                        </w:rPr>
                        <w:t>本项目</w:t>
                      </w:r>
                    </w:p>
                  </w:txbxContent>
                </v:textbox>
              </v:shape>
            </w:pict>
          </mc:Fallback>
        </mc:AlternateContent>
      </w:r>
    </w:p>
    <w:p w14:paraId="15C7F5CD">
      <w:pPr>
        <w:bidi w:val="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kern w:val="2"/>
          <w:sz w:val="21"/>
          <w:szCs w:val="24"/>
          <w:lang w:val="en-US" w:eastAsia="zh-CN" w:bidi="ar-SA"/>
        </w:rPr>
        <w:tab/>
      </w:r>
      <w:r>
        <w:rPr>
          <w:rFonts w:hint="default" w:ascii="Times New Roman" w:hAnsi="Times New Roman" w:eastAsia="宋体" w:cs="Times New Roman"/>
          <w:b/>
          <w:bCs/>
          <w:color w:val="auto"/>
          <w:sz w:val="24"/>
          <w:szCs w:val="24"/>
          <w:lang w:val="en-US" w:eastAsia="zh-CN"/>
        </w:rPr>
        <w:t>附图</w:t>
      </w:r>
      <w:r>
        <w:rPr>
          <w:rFonts w:hint="default" w:ascii="Times New Roman" w:hAnsi="Times New Roman" w:cs="Times New Roman"/>
          <w:b/>
          <w:bCs/>
          <w:color w:val="auto"/>
          <w:sz w:val="24"/>
          <w:szCs w:val="24"/>
          <w:lang w:val="en-US" w:eastAsia="zh-CN"/>
        </w:rPr>
        <w:t>二、</w:t>
      </w:r>
      <w:r>
        <w:rPr>
          <w:rFonts w:hint="default" w:ascii="Times New Roman" w:hAnsi="Times New Roman" w:eastAsia="宋体" w:cs="Times New Roman"/>
          <w:b/>
          <w:bCs/>
          <w:color w:val="auto"/>
          <w:sz w:val="24"/>
          <w:szCs w:val="24"/>
          <w:lang w:val="en-US" w:eastAsia="zh-CN"/>
        </w:rPr>
        <w:t>项目周边环境示意图</w:t>
      </w:r>
    </w:p>
    <w:p w14:paraId="01E65FEB">
      <w:pPr>
        <w:pStyle w:val="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697152" behindDoc="0" locked="0" layoutInCell="1" allowOverlap="1">
                <wp:simplePos x="0" y="0"/>
                <wp:positionH relativeFrom="column">
                  <wp:posOffset>8370570</wp:posOffset>
                </wp:positionH>
                <wp:positionV relativeFrom="paragraph">
                  <wp:posOffset>-109855</wp:posOffset>
                </wp:positionV>
                <wp:extent cx="314960" cy="285750"/>
                <wp:effectExtent l="4445" t="4445" r="23495" b="14605"/>
                <wp:wrapNone/>
                <wp:docPr id="68" name="文本框 68"/>
                <wp:cNvGraphicFramePr/>
                <a:graphic xmlns:a="http://schemas.openxmlformats.org/drawingml/2006/main">
                  <a:graphicData uri="http://schemas.microsoft.com/office/word/2010/wordprocessingShape">
                    <wps:wsp>
                      <wps:cNvSpPr txBox="1"/>
                      <wps:spPr>
                        <a:xfrm>
                          <a:off x="0" y="0"/>
                          <a:ext cx="31496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D9EAF3">
                            <w:pPr>
                              <w:bidi w:val="0"/>
                            </w:pPr>
                            <w:r>
                              <w:rPr>
                                <w:rFonts w:hint="eastAsia"/>
                                <w:lang w:eastAsia="zh-CN"/>
                              </w:rPr>
                              <w:t>北</w:t>
                            </w: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9.1pt;margin-top:-8.65pt;height:22.5pt;width:24.8pt;z-index:251697152;mso-width-relative:page;mso-height-relative:page;" fillcolor="#FFFFFF [3201]" filled="t" stroked="t" coordsize="21600,21600" o:gfxdata="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u/qM1wAA&#10;AAwBAAAPAAAAAAAAAAEAIAAAACIAAABkcnMvZG93bnJldi54bWxQSwECFAAUAAAACACHTuJA+faW&#10;UFgCAAC4BAAADgAAAAAAAAABACAAAAAmAQAAZHJzL2Uyb0RvYy54bWxQSwUGAAAAAAYABgBZAQAA&#10;8AUAAAAA&#10;">
                <v:fill on="t" focussize="0,0"/>
                <v:stroke weight="0.5pt" color="#000000 [3204]" joinstyle="round"/>
                <v:imagedata o:title=""/>
                <o:lock v:ext="edit" aspectratio="f"/>
                <v:textbox>
                  <w:txbxContent>
                    <w:p w14:paraId="51D9EAF3">
                      <w:pPr>
                        <w:bidi w:val="0"/>
                      </w:pPr>
                      <w:r>
                        <w:rPr>
                          <w:rFonts w:hint="eastAsia"/>
                          <w:lang w:eastAsia="zh-CN"/>
                        </w:rPr>
                        <w:t>北</w:t>
                      </w:r>
                      <w:r>
                        <w:rPr>
                          <w:rFonts w:hint="eastAsia"/>
                          <w:lang w:val="en-US" w:eastAsia="zh-CN"/>
                        </w:rPr>
                        <w:t xml:space="preserve"> </w:t>
                      </w:r>
                    </w:p>
                  </w:txbxContent>
                </v:textbox>
              </v:shape>
            </w:pict>
          </mc:Fallback>
        </mc:AlternateContent>
      </w:r>
      <w:r>
        <w:rPr>
          <w:rFonts w:hint="default" w:ascii="Times New Roman" w:hAnsi="Times New Roman" w:cs="Times New Roman"/>
          <w:sz w:val="20"/>
        </w:rPr>
        <mc:AlternateContent>
          <mc:Choice Requires="wps">
            <w:drawing>
              <wp:anchor distT="0" distB="0" distL="114300" distR="114300" simplePos="0" relativeHeight="251696128" behindDoc="0" locked="0" layoutInCell="1" allowOverlap="1">
                <wp:simplePos x="0" y="0"/>
                <wp:positionH relativeFrom="column">
                  <wp:posOffset>8326755</wp:posOffset>
                </wp:positionH>
                <wp:positionV relativeFrom="paragraph">
                  <wp:posOffset>-249555</wp:posOffset>
                </wp:positionV>
                <wp:extent cx="0" cy="317500"/>
                <wp:effectExtent l="50800" t="0" r="63500" b="6350"/>
                <wp:wrapNone/>
                <wp:docPr id="67" name="直接箭头连接符 67"/>
                <wp:cNvGraphicFramePr/>
                <a:graphic xmlns:a="http://schemas.openxmlformats.org/drawingml/2006/main">
                  <a:graphicData uri="http://schemas.microsoft.com/office/word/2010/wordprocessingShape">
                    <wps:wsp>
                      <wps:cNvCnPr/>
                      <wps:spPr>
                        <a:xfrm flipV="1">
                          <a:off x="9241155" y="893445"/>
                          <a:ext cx="0" cy="3175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55.65pt;margin-top:-19.65pt;height:25pt;width:0pt;z-index:251696128;mso-width-relative:page;mso-height-relative:page;" filled="f" stroked="t" coordsize="21600,21600" o:gfxdata="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fVbnXAAAA&#10;DAEAAA8AAAAAAAAAAQAgAAAAIgAAAGRycy9kb3ducmV2LnhtbFBLAQIUABQAAAAIAIdO4kDKtX6r&#10;HgIAAPUDAAAOAAAAAAAAAAEAIAAAACYBAABkcnMvZTJvRG9jLnhtbFBLBQYAAAAABgAGAFkBAAC2&#10;BQAAAAA=&#10;">
                <v:fill on="f" focussize="0,0"/>
                <v:stroke weight="1pt" color="#4874CB [3204]" miterlimit="8" joinstyle="miter" endarrow="open"/>
                <v:imagedata o:title=""/>
                <o:lock v:ext="edit" aspectratio="f"/>
              </v:shape>
            </w:pict>
          </mc:Fallback>
        </mc:AlternateContent>
      </w:r>
    </w:p>
    <w:p w14:paraId="67A1F2E3">
      <w:pPr>
        <w:rPr>
          <w:rFonts w:hint="default" w:ascii="Times New Roman" w:hAnsi="Times New Roman" w:eastAsia="宋体" w:cs="Times New Roman"/>
          <w:color w:val="auto"/>
          <w:lang w:val="en-US" w:eastAsia="zh-CN"/>
        </w:rPr>
      </w:pPr>
      <w:r>
        <w:rPr>
          <w:rFonts w:hint="default" w:ascii="Times New Roman" w:hAnsi="Times New Roman" w:cs="Times New Roman"/>
          <w:sz w:val="21"/>
        </w:rPr>
        <mc:AlternateContent>
          <mc:Choice Requires="wps">
            <w:drawing>
              <wp:anchor distT="0" distB="0" distL="114300" distR="114300" simplePos="0" relativeHeight="251688960" behindDoc="0" locked="0" layoutInCell="1" allowOverlap="1">
                <wp:simplePos x="0" y="0"/>
                <wp:positionH relativeFrom="column">
                  <wp:posOffset>50165</wp:posOffset>
                </wp:positionH>
                <wp:positionV relativeFrom="paragraph">
                  <wp:posOffset>20955</wp:posOffset>
                </wp:positionV>
                <wp:extent cx="8530590" cy="3810000"/>
                <wp:effectExtent l="4445" t="4445" r="18415" b="14605"/>
                <wp:wrapNone/>
                <wp:docPr id="58" name="文本框 58"/>
                <wp:cNvGraphicFramePr/>
                <a:graphic xmlns:a="http://schemas.openxmlformats.org/drawingml/2006/main">
                  <a:graphicData uri="http://schemas.microsoft.com/office/word/2010/wordprocessingShape">
                    <wps:wsp>
                      <wps:cNvSpPr txBox="1"/>
                      <wps:spPr>
                        <a:xfrm>
                          <a:off x="964565" y="1391285"/>
                          <a:ext cx="8530590" cy="3810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FC1743">
                            <w:pPr>
                              <w:rPr>
                                <w:rFonts w:hint="eastAsia"/>
                              </w:rPr>
                            </w:pPr>
                          </w:p>
                          <w:p w14:paraId="1AA9A1C6">
                            <w:pPr>
                              <w:rPr>
                                <w:rFonts w:hint="eastAsia"/>
                              </w:rPr>
                            </w:pPr>
                          </w:p>
                          <w:p w14:paraId="399EB36B">
                            <w:pPr>
                              <w:rPr>
                                <w:rFonts w:hint="eastAsia"/>
                              </w:rPr>
                            </w:pPr>
                          </w:p>
                          <w:p w14:paraId="60025A66">
                            <w:pPr>
                              <w:rPr>
                                <w:rFonts w:hint="eastAsia"/>
                              </w:rPr>
                            </w:pPr>
                          </w:p>
                          <w:p w14:paraId="350A9748">
                            <w:pPr>
                              <w:rPr>
                                <w:rFonts w:hint="eastAsia"/>
                              </w:rPr>
                            </w:pPr>
                          </w:p>
                          <w:p w14:paraId="4F0B7E75">
                            <w:pPr>
                              <w:rPr>
                                <w:rFonts w:hint="eastAsia"/>
                              </w:rPr>
                            </w:pPr>
                          </w:p>
                          <w:p w14:paraId="6DEE54A5">
                            <w:pPr>
                              <w:rPr>
                                <w:rFonts w:hint="eastAsia"/>
                              </w:rPr>
                            </w:pPr>
                          </w:p>
                          <w:p w14:paraId="7ABCA39E">
                            <w:pPr>
                              <w:rPr>
                                <w:rFonts w:hint="eastAsia"/>
                              </w:rPr>
                            </w:pPr>
                          </w:p>
                          <w:p w14:paraId="0D61EBC0">
                            <w:pPr>
                              <w:rPr>
                                <w:rFonts w:hint="eastAsia"/>
                              </w:rPr>
                            </w:pPr>
                          </w:p>
                          <w:p w14:paraId="0D25C6F5">
                            <w:pPr>
                              <w:rPr>
                                <w:rFonts w:hint="eastAsia"/>
                              </w:rPr>
                            </w:pPr>
                          </w:p>
                          <w:p w14:paraId="295F1A8F">
                            <w:pPr>
                              <w:rPr>
                                <w:rFonts w:hint="eastAsia"/>
                              </w:rPr>
                            </w:pPr>
                          </w:p>
                          <w:p w14:paraId="733940C1">
                            <w:pPr>
                              <w:rPr>
                                <w:rFonts w:hint="eastAsia"/>
                              </w:rPr>
                            </w:pPr>
                          </w:p>
                          <w:p w14:paraId="0A0CA4D6">
                            <w:pPr>
                              <w:rPr>
                                <w:rFonts w:hint="eastAsia"/>
                              </w:rPr>
                            </w:pPr>
                          </w:p>
                          <w:p w14:paraId="699C0D70">
                            <w:pPr>
                              <w:rPr>
                                <w:rFonts w:hint="eastAsia"/>
                              </w:rPr>
                            </w:pPr>
                          </w:p>
                          <w:p w14:paraId="7141E057">
                            <w:pPr>
                              <w:rPr>
                                <w:rFonts w:hint="eastAsia"/>
                              </w:rPr>
                            </w:pPr>
                          </w:p>
                          <w:p w14:paraId="32BAF994">
                            <w:pPr>
                              <w:rPr>
                                <w:rFonts w:hint="eastAsia"/>
                              </w:rPr>
                            </w:pPr>
                          </w:p>
                          <w:p w14:paraId="35FF0697">
                            <w:pPr>
                              <w:rPr>
                                <w:rFonts w:hint="eastAsia"/>
                              </w:rPr>
                            </w:pPr>
                          </w:p>
                          <w:p w14:paraId="0E19C99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1.65pt;height:300pt;width:671.7pt;z-index:251688960;mso-width-relative:page;mso-height-relative:page;" fillcolor="#FFFFFF [3201]" filled="t" stroked="t" coordsize="21600,21600" o:gfxdata="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5NTI9QAAAAIAQAADwAAAAAAAAABACAAAAAiAAAAZHJzL2Rvd25yZXYueG1sUEsBAhQAFAAA&#10;AAgAh07iQEehbdNlAgAAxQQAAA4AAAAAAAAAAQAgAAAAIwEAAGRycy9lMm9Eb2MueG1sUEsFBgAA&#10;AAAGAAYAWQEAAPoFAAAAAA==&#10;">
                <v:fill on="t" focussize="0,0"/>
                <v:stroke weight="0.5pt" color="#000000 [3204]" joinstyle="round"/>
                <v:imagedata o:title=""/>
                <o:lock v:ext="edit" aspectratio="f"/>
                <v:textbox>
                  <w:txbxContent>
                    <w:p w14:paraId="63FC1743">
                      <w:pPr>
                        <w:rPr>
                          <w:rFonts w:hint="eastAsia"/>
                        </w:rPr>
                      </w:pPr>
                    </w:p>
                    <w:p w14:paraId="1AA9A1C6">
                      <w:pPr>
                        <w:rPr>
                          <w:rFonts w:hint="eastAsia"/>
                        </w:rPr>
                      </w:pPr>
                    </w:p>
                    <w:p w14:paraId="399EB36B">
                      <w:pPr>
                        <w:rPr>
                          <w:rFonts w:hint="eastAsia"/>
                        </w:rPr>
                      </w:pPr>
                    </w:p>
                    <w:p w14:paraId="60025A66">
                      <w:pPr>
                        <w:rPr>
                          <w:rFonts w:hint="eastAsia"/>
                        </w:rPr>
                      </w:pPr>
                    </w:p>
                    <w:p w14:paraId="350A9748">
                      <w:pPr>
                        <w:rPr>
                          <w:rFonts w:hint="eastAsia"/>
                        </w:rPr>
                      </w:pPr>
                    </w:p>
                    <w:p w14:paraId="4F0B7E75">
                      <w:pPr>
                        <w:rPr>
                          <w:rFonts w:hint="eastAsia"/>
                        </w:rPr>
                      </w:pPr>
                    </w:p>
                    <w:p w14:paraId="6DEE54A5">
                      <w:pPr>
                        <w:rPr>
                          <w:rFonts w:hint="eastAsia"/>
                        </w:rPr>
                      </w:pPr>
                    </w:p>
                    <w:p w14:paraId="7ABCA39E">
                      <w:pPr>
                        <w:rPr>
                          <w:rFonts w:hint="eastAsia"/>
                        </w:rPr>
                      </w:pPr>
                    </w:p>
                    <w:p w14:paraId="0D61EBC0">
                      <w:pPr>
                        <w:rPr>
                          <w:rFonts w:hint="eastAsia"/>
                        </w:rPr>
                      </w:pPr>
                    </w:p>
                    <w:p w14:paraId="0D25C6F5">
                      <w:pPr>
                        <w:rPr>
                          <w:rFonts w:hint="eastAsia"/>
                        </w:rPr>
                      </w:pPr>
                    </w:p>
                    <w:p w14:paraId="295F1A8F">
                      <w:pPr>
                        <w:rPr>
                          <w:rFonts w:hint="eastAsia"/>
                        </w:rPr>
                      </w:pPr>
                    </w:p>
                    <w:p w14:paraId="733940C1">
                      <w:pPr>
                        <w:rPr>
                          <w:rFonts w:hint="eastAsia"/>
                        </w:rPr>
                      </w:pPr>
                    </w:p>
                    <w:p w14:paraId="0A0CA4D6">
                      <w:pPr>
                        <w:rPr>
                          <w:rFonts w:hint="eastAsia"/>
                        </w:rPr>
                      </w:pPr>
                    </w:p>
                    <w:p w14:paraId="699C0D70">
                      <w:pPr>
                        <w:rPr>
                          <w:rFonts w:hint="eastAsia"/>
                        </w:rPr>
                      </w:pPr>
                    </w:p>
                    <w:p w14:paraId="7141E057">
                      <w:pPr>
                        <w:rPr>
                          <w:rFonts w:hint="eastAsia"/>
                        </w:rPr>
                      </w:pPr>
                    </w:p>
                    <w:p w14:paraId="32BAF994">
                      <w:pPr>
                        <w:rPr>
                          <w:rFonts w:hint="eastAsia"/>
                        </w:rPr>
                      </w:pPr>
                    </w:p>
                    <w:p w14:paraId="35FF0697">
                      <w:pPr>
                        <w:rPr>
                          <w:rFonts w:hint="eastAsia"/>
                        </w:rPr>
                      </w:pPr>
                    </w:p>
                    <w:p w14:paraId="0E19C99A"/>
                  </w:txbxContent>
                </v:textbox>
              </v:shape>
            </w:pict>
          </mc:Fallback>
        </mc:AlternateContent>
      </w:r>
    </w:p>
    <w:p w14:paraId="475C7FC5">
      <w:pPr>
        <w:tabs>
          <w:tab w:val="left" w:pos="522"/>
        </w:tabs>
        <w:bidi w:val="0"/>
        <w:jc w:val="left"/>
        <w:rPr>
          <w:rFonts w:hint="default" w:ascii="Times New Roman" w:hAnsi="Times New Roman" w:eastAsia="宋体" w:cs="Times New Roman"/>
          <w:color w:val="auto"/>
          <w:sz w:val="21"/>
        </w:rPr>
      </w:pPr>
      <w:r>
        <w:rPr>
          <w:rFonts w:hint="default" w:ascii="Times New Roman" w:hAnsi="Times New Roman" w:cs="Times New Roman"/>
          <w:sz w:val="21"/>
        </w:rPr>
        <mc:AlternateContent>
          <mc:Choice Requires="wps">
            <w:drawing>
              <wp:anchor distT="0" distB="0" distL="114300" distR="114300" simplePos="0" relativeHeight="251698176" behindDoc="0" locked="0" layoutInCell="1" allowOverlap="1">
                <wp:simplePos x="0" y="0"/>
                <wp:positionH relativeFrom="column">
                  <wp:posOffset>6400165</wp:posOffset>
                </wp:positionH>
                <wp:positionV relativeFrom="paragraph">
                  <wp:posOffset>33020</wp:posOffset>
                </wp:positionV>
                <wp:extent cx="497840" cy="382270"/>
                <wp:effectExtent l="4445" t="4445" r="12065" b="13335"/>
                <wp:wrapNone/>
                <wp:docPr id="70" name="文本框 70"/>
                <wp:cNvGraphicFramePr/>
                <a:graphic xmlns:a="http://schemas.openxmlformats.org/drawingml/2006/main">
                  <a:graphicData uri="http://schemas.microsoft.com/office/word/2010/wordprocessingShape">
                    <wps:wsp>
                      <wps:cNvSpPr txBox="1"/>
                      <wps:spPr>
                        <a:xfrm>
                          <a:off x="7547610" y="1591310"/>
                          <a:ext cx="497840" cy="382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9AD2AD">
                            <w:pPr>
                              <w:rPr>
                                <w:rFonts w:hint="default" w:eastAsia="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95pt;margin-top:2.6pt;height:30.1pt;width:39.2pt;z-index:251698176;mso-width-relative:page;mso-height-relative:page;" fillcolor="#FFFFFF [3201]" filled="t" stroked="t" coordsize="21600,21600" o:gfxdata="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CHm/1wAAAAoBAAAPAAAAAAAAAAEAIAAAACIAAABkcnMvZG93bnJldi54bWxQSwECFAAU&#10;AAAACACHTuJArDaIuWQCAADEBAAADgAAAAAAAAABACAAAAAmAQAAZHJzL2Uyb0RvYy54bWxQSwUG&#10;AAAAAAYABgBZAQAA/AUAAAAA&#10;">
                <v:fill on="t" focussize="0,0"/>
                <v:stroke weight="0.5pt" color="#000000 [3204]" joinstyle="round"/>
                <v:imagedata o:title=""/>
                <o:lock v:ext="edit" aspectratio="f"/>
                <v:textbox>
                  <w:txbxContent>
                    <w:p w14:paraId="569AD2AD">
                      <w:pPr>
                        <w:rPr>
                          <w:rFonts w:hint="default" w:eastAsia="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P1</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92032" behindDoc="0" locked="0" layoutInCell="1" allowOverlap="1">
                <wp:simplePos x="0" y="0"/>
                <wp:positionH relativeFrom="column">
                  <wp:posOffset>6898005</wp:posOffset>
                </wp:positionH>
                <wp:positionV relativeFrom="paragraph">
                  <wp:posOffset>13335</wp:posOffset>
                </wp:positionV>
                <wp:extent cx="1094105" cy="3199765"/>
                <wp:effectExtent l="4445" t="4445" r="6350" b="15240"/>
                <wp:wrapNone/>
                <wp:docPr id="61" name="文本框 61"/>
                <wp:cNvGraphicFramePr/>
                <a:graphic xmlns:a="http://schemas.openxmlformats.org/drawingml/2006/main">
                  <a:graphicData uri="http://schemas.microsoft.com/office/word/2010/wordprocessingShape">
                    <wps:wsp>
                      <wps:cNvSpPr txBox="1"/>
                      <wps:spPr>
                        <a:xfrm>
                          <a:off x="7812405" y="1581785"/>
                          <a:ext cx="1094105" cy="3199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309243">
                            <w:pPr>
                              <w:rPr>
                                <w:rFonts w:hint="default" w:eastAsia="宋体"/>
                                <w:lang w:val="en-US" w:eastAsia="zh-CN"/>
                              </w:rPr>
                            </w:pPr>
                            <w:r>
                              <w:rPr>
                                <w:rFonts w:hint="eastAsia"/>
                                <w:lang w:val="en-US" w:eastAsia="zh-CN"/>
                              </w:rPr>
                              <w:t>2#厂房（D1消防水池泵房，污水处理用房等配套基础设施）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3.15pt;margin-top:1.05pt;height:251.95pt;width:86.15pt;z-index:251692032;mso-width-relative:page;mso-height-relative:page;" fillcolor="#FFFFFF [3201]" filled="t" stroked="t" coordsize="21600,21600" o:gfxdata="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Vvi3dYAAAALAQAADwAAAAAAAAABACAAAAAiAAAAZHJzL2Rvd25yZXYueG1sUEsBAhQA&#10;FAAAAAgAh07iQGT8vJdmAgAAxgQAAA4AAAAAAAAAAQAgAAAAJQEAAGRycy9lMm9Eb2MueG1sUEsF&#10;BgAAAAAGAAYAWQEAAP0FAAAAAA==&#10;">
                <v:fill on="t" focussize="0,0"/>
                <v:stroke weight="0.5pt" color="#000000 [3204]" joinstyle="round"/>
                <v:imagedata o:title=""/>
                <o:lock v:ext="edit" aspectratio="f"/>
                <v:textbox>
                  <w:txbxContent>
                    <w:p w14:paraId="6D309243">
                      <w:pPr>
                        <w:rPr>
                          <w:rFonts w:hint="default" w:eastAsia="宋体"/>
                          <w:lang w:val="en-US" w:eastAsia="zh-CN"/>
                        </w:rPr>
                      </w:pPr>
                      <w:r>
                        <w:rPr>
                          <w:rFonts w:hint="eastAsia"/>
                          <w:lang w:val="en-US" w:eastAsia="zh-CN"/>
                        </w:rPr>
                        <w:t>2#厂房（D1消防水池泵房，污水处理用房等配套基础设施）</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91008" behindDoc="0" locked="0" layoutInCell="1" allowOverlap="1">
                <wp:simplePos x="0" y="0"/>
                <wp:positionH relativeFrom="column">
                  <wp:posOffset>2219960</wp:posOffset>
                </wp:positionH>
                <wp:positionV relativeFrom="paragraph">
                  <wp:posOffset>118745</wp:posOffset>
                </wp:positionV>
                <wp:extent cx="3778250" cy="1122045"/>
                <wp:effectExtent l="4445" t="5080" r="8255" b="15875"/>
                <wp:wrapNone/>
                <wp:docPr id="60" name="文本框 60"/>
                <wp:cNvGraphicFramePr/>
                <a:graphic xmlns:a="http://schemas.openxmlformats.org/drawingml/2006/main">
                  <a:graphicData uri="http://schemas.microsoft.com/office/word/2010/wordprocessingShape">
                    <wps:wsp>
                      <wps:cNvSpPr txBox="1"/>
                      <wps:spPr>
                        <a:xfrm>
                          <a:off x="3134360" y="1687195"/>
                          <a:ext cx="3778250" cy="1122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5F2591">
                            <w:pPr>
                              <w:rPr>
                                <w:rFonts w:hint="default" w:eastAsia="宋体"/>
                                <w:lang w:val="en-US" w:eastAsia="zh-CN"/>
                              </w:rPr>
                            </w:pPr>
                            <w:r>
                              <w:rPr>
                                <w:rFonts w:hint="eastAsia"/>
                                <w:lang w:val="en-US" w:eastAsia="zh-CN"/>
                              </w:rPr>
                              <w:t>1#厂房（生产车间）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8pt;margin-top:9.35pt;height:88.35pt;width:297.5pt;z-index:251691008;mso-width-relative:page;mso-height-relative:page;" fillcolor="#FFFFFF [3201]" filled="t" stroked="t" coordsize="21600,21600" o:gfxdata="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qOCI9YAAAAKAQAADwAAAAAAAAABACAAAAAiAAAAZHJzL2Rvd25yZXYueG1sUEsBAhQAFAAA&#10;AAgAh07iQHI08w1jAgAAxgQAAA4AAAAAAAAAAQAgAAAAJQEAAGRycy9lMm9Eb2MueG1sUEsFBgAA&#10;AAAGAAYAWQEAAPoFAAAAAA==&#10;">
                <v:fill on="t" focussize="0,0"/>
                <v:stroke weight="0.5pt" color="#000000 [3204]" joinstyle="round"/>
                <v:imagedata o:title=""/>
                <o:lock v:ext="edit" aspectratio="f"/>
                <v:textbox>
                  <w:txbxContent>
                    <w:p w14:paraId="045F2591">
                      <w:pPr>
                        <w:rPr>
                          <w:rFonts w:hint="default" w:eastAsia="宋体"/>
                          <w:lang w:val="en-US" w:eastAsia="zh-CN"/>
                        </w:rPr>
                      </w:pPr>
                      <w:r>
                        <w:rPr>
                          <w:rFonts w:hint="eastAsia"/>
                          <w:lang w:val="en-US" w:eastAsia="zh-CN"/>
                        </w:rPr>
                        <w:t>1#厂房（生产车间）</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89984" behindDoc="0" locked="0" layoutInCell="1" allowOverlap="1">
                <wp:simplePos x="0" y="0"/>
                <wp:positionH relativeFrom="column">
                  <wp:posOffset>283210</wp:posOffset>
                </wp:positionH>
                <wp:positionV relativeFrom="paragraph">
                  <wp:posOffset>23495</wp:posOffset>
                </wp:positionV>
                <wp:extent cx="1598295" cy="3143250"/>
                <wp:effectExtent l="4445" t="4445" r="16510" b="14605"/>
                <wp:wrapNone/>
                <wp:docPr id="59" name="文本框 59"/>
                <wp:cNvGraphicFramePr/>
                <a:graphic xmlns:a="http://schemas.openxmlformats.org/drawingml/2006/main">
                  <a:graphicData uri="http://schemas.microsoft.com/office/word/2010/wordprocessingShape">
                    <wps:wsp>
                      <wps:cNvSpPr txBox="1"/>
                      <wps:spPr>
                        <a:xfrm>
                          <a:off x="1197610" y="1591945"/>
                          <a:ext cx="1598295" cy="3143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D18A75">
                            <w:pPr>
                              <w:rPr>
                                <w:rFonts w:hint="default" w:eastAsia="宋体"/>
                                <w:lang w:val="en-US" w:eastAsia="zh-CN"/>
                              </w:rPr>
                            </w:pPr>
                            <w:r>
                              <w:rPr>
                                <w:rFonts w:hint="eastAsia"/>
                                <w:lang w:val="en-US" w:eastAsia="zh-CN"/>
                              </w:rPr>
                              <w:t>3#厂房（仓库）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pt;margin-top:1.85pt;height:247.5pt;width:125.85pt;z-index:251689984;mso-width-relative:page;mso-height-relative:page;" fillcolor="#FFFFFF [3201]" filled="t" stroked="t" coordsize="21600,21600" o:gfxdata="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qFEQ9YAAAAIAQAADwAAAAAAAAABACAAAAAiAAAAZHJzL2Rvd25yZXYueG1sUEsBAhQA&#10;FAAAAAgAh07iQD8iOWNmAgAAxgQAAA4AAAAAAAAAAQAgAAAAJQEAAGRycy9lMm9Eb2MueG1sUEsF&#10;BgAAAAAGAAYAWQEAAP0FAAAAAA==&#10;">
                <v:fill on="t" focussize="0,0"/>
                <v:stroke weight="0.5pt" color="#000000 [3204]" joinstyle="round"/>
                <v:imagedata o:title=""/>
                <o:lock v:ext="edit" aspectratio="f"/>
                <v:textbox>
                  <w:txbxContent>
                    <w:p w14:paraId="4AD18A75">
                      <w:pPr>
                        <w:rPr>
                          <w:rFonts w:hint="default" w:eastAsia="宋体"/>
                          <w:lang w:val="en-US" w:eastAsia="zh-CN"/>
                        </w:rPr>
                      </w:pPr>
                      <w:r>
                        <w:rPr>
                          <w:rFonts w:hint="eastAsia"/>
                          <w:lang w:val="en-US" w:eastAsia="zh-CN"/>
                        </w:rPr>
                        <w:t>3#厂房（仓库）</w:t>
                      </w:r>
                    </w:p>
                  </w:txbxContent>
                </v:textbox>
              </v:shape>
            </w:pict>
          </mc:Fallback>
        </mc:AlternateContent>
      </w:r>
    </w:p>
    <w:p w14:paraId="68812714">
      <w:pPr>
        <w:bidi w:val="0"/>
        <w:rPr>
          <w:rFonts w:hint="default" w:ascii="Times New Roman" w:hAnsi="Times New Roman" w:eastAsia="宋体" w:cs="Times New Roman"/>
          <w:color w:val="auto"/>
          <w:kern w:val="2"/>
          <w:sz w:val="21"/>
          <w:szCs w:val="24"/>
          <w:lang w:val="en-US" w:eastAsia="zh-CN" w:bidi="ar-SA"/>
        </w:rPr>
      </w:pPr>
    </w:p>
    <w:p w14:paraId="265957D1">
      <w:pPr>
        <w:bidi w:val="0"/>
        <w:rPr>
          <w:rFonts w:hint="default" w:ascii="Times New Roman" w:hAnsi="Times New Roman" w:eastAsia="宋体" w:cs="Times New Roman"/>
          <w:color w:val="auto"/>
          <w:lang w:val="en-US" w:eastAsia="zh-CN"/>
        </w:rPr>
      </w:pPr>
    </w:p>
    <w:p w14:paraId="2CBA4303">
      <w:pPr>
        <w:bidi w:val="0"/>
        <w:rPr>
          <w:rFonts w:hint="default" w:ascii="Times New Roman" w:hAnsi="Times New Roman" w:eastAsia="宋体" w:cs="Times New Roman"/>
          <w:color w:val="auto"/>
          <w:lang w:val="en-US" w:eastAsia="zh-CN"/>
        </w:rPr>
      </w:pPr>
    </w:p>
    <w:p w14:paraId="6467DA30">
      <w:pPr>
        <w:bidi w:val="0"/>
        <w:rPr>
          <w:rFonts w:hint="default" w:ascii="Times New Roman" w:hAnsi="Times New Roman" w:eastAsia="宋体" w:cs="Times New Roman"/>
          <w:color w:val="auto"/>
          <w:lang w:val="en-US" w:eastAsia="zh-CN"/>
        </w:rPr>
      </w:pPr>
    </w:p>
    <w:p w14:paraId="2A5F38A6">
      <w:pPr>
        <w:pStyle w:val="2"/>
        <w:rPr>
          <w:rFonts w:hint="default" w:ascii="Times New Roman" w:hAnsi="Times New Roman" w:eastAsia="宋体" w:cs="Times New Roman"/>
          <w:color w:val="auto"/>
          <w:lang w:val="en-US" w:eastAsia="zh-CN"/>
        </w:rPr>
      </w:pPr>
    </w:p>
    <w:p w14:paraId="1F1A3E68">
      <w:pPr>
        <w:rPr>
          <w:rFonts w:hint="default" w:ascii="Times New Roman" w:hAnsi="Times New Roman" w:eastAsia="宋体" w:cs="Times New Roman"/>
          <w:color w:val="auto"/>
          <w:lang w:val="en-US" w:eastAsia="zh-CN"/>
        </w:rPr>
      </w:pPr>
    </w:p>
    <w:p w14:paraId="0AD57C61">
      <w:pPr>
        <w:pStyle w:val="2"/>
        <w:rPr>
          <w:rFonts w:hint="default" w:ascii="Times New Roman" w:hAnsi="Times New Roman" w:eastAsia="宋体" w:cs="Times New Roman"/>
          <w:color w:val="auto"/>
          <w:lang w:val="en-US" w:eastAsia="zh-CN"/>
        </w:rPr>
      </w:pPr>
    </w:p>
    <w:p w14:paraId="1D4C9951">
      <w:pPr>
        <w:rPr>
          <w:rFonts w:hint="default" w:ascii="Times New Roman" w:hAnsi="Times New Roman" w:eastAsia="宋体" w:cs="Times New Roman"/>
          <w:color w:val="auto"/>
          <w:lang w:val="en-US" w:eastAsia="zh-CN"/>
        </w:rPr>
      </w:pPr>
    </w:p>
    <w:p w14:paraId="46EA3C5A">
      <w:pPr>
        <w:pStyle w:val="2"/>
        <w:rPr>
          <w:rFonts w:hint="default" w:ascii="Times New Roman" w:hAnsi="Times New Roman" w:cs="Times New Roman"/>
          <w:lang w:val="en-US" w:eastAsia="zh-CN"/>
        </w:rPr>
      </w:pPr>
      <w:r>
        <w:rPr>
          <w:rFonts w:hint="default" w:ascii="Times New Roman" w:hAnsi="Times New Roman" w:cs="Times New Roman"/>
          <w:sz w:val="21"/>
        </w:rPr>
        <mc:AlternateContent>
          <mc:Choice Requires="wps">
            <w:drawing>
              <wp:anchor distT="0" distB="0" distL="114300" distR="114300" simplePos="0" relativeHeight="251694080" behindDoc="0" locked="0" layoutInCell="1" allowOverlap="1">
                <wp:simplePos x="0" y="0"/>
                <wp:positionH relativeFrom="column">
                  <wp:posOffset>2738755</wp:posOffset>
                </wp:positionH>
                <wp:positionV relativeFrom="paragraph">
                  <wp:posOffset>325120</wp:posOffset>
                </wp:positionV>
                <wp:extent cx="941070" cy="304165"/>
                <wp:effectExtent l="4445" t="4445" r="6985" b="15240"/>
                <wp:wrapNone/>
                <wp:docPr id="64" name="文本框 64"/>
                <wp:cNvGraphicFramePr/>
                <a:graphic xmlns:a="http://schemas.openxmlformats.org/drawingml/2006/main">
                  <a:graphicData uri="http://schemas.microsoft.com/office/word/2010/wordprocessingShape">
                    <wps:wsp>
                      <wps:cNvSpPr txBox="1"/>
                      <wps:spPr>
                        <a:xfrm>
                          <a:off x="3653155" y="4058285"/>
                          <a:ext cx="941070" cy="304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AD12AE">
                            <w:pPr>
                              <w:rPr>
                                <w:rFonts w:hint="eastAsia" w:eastAsia="宋体"/>
                                <w:lang w:eastAsia="zh-CN"/>
                              </w:rPr>
                            </w:pPr>
                            <w:r>
                              <w:rPr>
                                <w:rFonts w:hint="eastAsia"/>
                                <w:lang w:eastAsia="zh-CN"/>
                              </w:rPr>
                              <w:t>一般固废间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65pt;margin-top:25.6pt;height:23.95pt;width:74.1pt;z-index:251694080;mso-width-relative:page;mso-height-relative:page;" fillcolor="#FFFFFF [3201]" filled="t" stroked="t" coordsize="21600,21600" o:gfxdata="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iNc9NcAAAAJAQAADwAAAAAAAAABACAAAAAiAAAAZHJzL2Rvd25yZXYueG1sUEsB&#10;AhQAFAAAAAgAh07iQER/QS9oAgAAxAQAAA4AAAAAAAAAAQAgAAAAJgEAAGRycy9lMm9Eb2MueG1s&#10;UEsFBgAAAAAGAAYAWQEAAAAGAAAAAA==&#10;">
                <v:fill on="t" focussize="0,0"/>
                <v:stroke weight="0.5pt" color="#000000 [3204]" joinstyle="round"/>
                <v:imagedata o:title=""/>
                <o:lock v:ext="edit" aspectratio="f"/>
                <v:textbox>
                  <w:txbxContent>
                    <w:p w14:paraId="53AD12AE">
                      <w:pPr>
                        <w:rPr>
                          <w:rFonts w:hint="eastAsia" w:eastAsia="宋体"/>
                          <w:lang w:eastAsia="zh-CN"/>
                        </w:rPr>
                      </w:pPr>
                      <w:r>
                        <w:rPr>
                          <w:rFonts w:hint="eastAsia"/>
                          <w:lang w:eastAsia="zh-CN"/>
                        </w:rPr>
                        <w:t>一般固废间</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9744" behindDoc="0" locked="0" layoutInCell="1" allowOverlap="1">
                <wp:simplePos x="0" y="0"/>
                <wp:positionH relativeFrom="column">
                  <wp:posOffset>8456930</wp:posOffset>
                </wp:positionH>
                <wp:positionV relativeFrom="paragraph">
                  <wp:posOffset>188595</wp:posOffset>
                </wp:positionV>
                <wp:extent cx="514985" cy="266700"/>
                <wp:effectExtent l="5080" t="5080" r="13970" b="13335"/>
                <wp:wrapNone/>
                <wp:docPr id="4" name="文本框 4"/>
                <wp:cNvGraphicFramePr/>
                <a:graphic xmlns:a="http://schemas.openxmlformats.org/drawingml/2006/main">
                  <a:graphicData uri="http://schemas.microsoft.com/office/word/2010/wordprocessingShape">
                    <wps:wsp>
                      <wps:cNvSpPr txBox="1"/>
                      <wps:spPr>
                        <a:xfrm rot="16200000">
                          <a:off x="0" y="0"/>
                          <a:ext cx="51498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56BAA4">
                            <w:pPr>
                              <w:rPr>
                                <w:rFonts w:hint="eastAsia" w:eastAsia="宋体"/>
                                <w:color w:val="auto"/>
                                <w:lang w:eastAsia="zh-CN"/>
                              </w:rPr>
                            </w:pPr>
                            <w:r>
                              <w:rPr>
                                <w:rFonts w:hint="eastAsia"/>
                                <w:color w:val="auto"/>
                                <w:lang w:eastAsia="zh-CN"/>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9pt;margin-top:14.85pt;height:21pt;width:40.55pt;rotation:-5898240f;z-index:251679744;mso-width-relative:page;mso-height-relative:page;" fillcolor="#FFFFFF [3201]" filled="t" stroked="t" coordsize="21600,21600" o:gfxdata="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SCTpPYAAAACwEAAA8AAAAAAAAAAQAgAAAAIgAAAGRycy9kb3ducmV2LnhtbFBLAQIUABQAAAAI&#10;AIdO4kBYiH5AXwIAAMUEAAAOAAAAAAAAAAEAIAAAACcBAABkcnMvZTJvRG9jLnhtbFBLBQYAAAAA&#10;BgAGAFkBAAD4BQAAAAA=&#10;">
                <v:fill on="t" focussize="0,0"/>
                <v:stroke weight="0.5pt" color="#000000 [3204]" joinstyle="round"/>
                <v:imagedata o:title=""/>
                <o:lock v:ext="edit" aspectratio="f"/>
                <v:textbox>
                  <w:txbxContent>
                    <w:p w14:paraId="6156BAA4">
                      <w:pPr>
                        <w:rPr>
                          <w:rFonts w:hint="eastAsia" w:eastAsia="宋体"/>
                          <w:color w:val="auto"/>
                          <w:lang w:eastAsia="zh-CN"/>
                        </w:rPr>
                      </w:pPr>
                      <w:r>
                        <w:rPr>
                          <w:rFonts w:hint="eastAsia"/>
                          <w:color w:val="auto"/>
                          <w:lang w:eastAsia="zh-CN"/>
                        </w:rPr>
                        <w:t>大门</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6672" behindDoc="0" locked="0" layoutInCell="1" allowOverlap="1">
                <wp:simplePos x="0" y="0"/>
                <wp:positionH relativeFrom="column">
                  <wp:posOffset>2759075</wp:posOffset>
                </wp:positionH>
                <wp:positionV relativeFrom="paragraph">
                  <wp:posOffset>307340</wp:posOffset>
                </wp:positionV>
                <wp:extent cx="875665" cy="333375"/>
                <wp:effectExtent l="4445" t="4445" r="15240" b="5080"/>
                <wp:wrapNone/>
                <wp:docPr id="25" name="文本框 25"/>
                <wp:cNvGraphicFramePr/>
                <a:graphic xmlns:a="http://schemas.openxmlformats.org/drawingml/2006/main">
                  <a:graphicData uri="http://schemas.microsoft.com/office/word/2010/wordprocessingShape">
                    <wps:wsp>
                      <wps:cNvSpPr txBox="1"/>
                      <wps:spPr>
                        <a:xfrm>
                          <a:off x="3970020" y="2609215"/>
                          <a:ext cx="875665"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732C13">
                            <w:pPr>
                              <w:rPr>
                                <w:rFonts w:hint="eastAsia" w:eastAsia="宋体"/>
                                <w:lang w:eastAsia="zh-CN"/>
                              </w:rPr>
                            </w:pPr>
                            <w:r>
                              <w:rPr>
                                <w:rFonts w:hint="eastAsia"/>
                                <w:lang w:eastAsia="zh-CN"/>
                              </w:rPr>
                              <w:t>一般固废间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25pt;margin-top:24.2pt;height:26.25pt;width:68.95pt;z-index:251676672;mso-width-relative:page;mso-height-relative:page;" fillcolor="#FFFFFF [3201]" filled="t" stroked="t" coordsize="21600,21600" o:gfxdata="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nJNs9YAAAAKAQAADwAAAAAAAAABACAAAAAiAAAAZHJzL2Rvd25yZXYueG1sUEsBAhQA&#10;FAAAAAgAh07iQOGgEXxmAgAAxAQAAA4AAAAAAAAAAQAgAAAAJQEAAGRycy9lMm9Eb2MueG1sUEsF&#10;BgAAAAAGAAYAWQEAAP0FAAAAAA==&#10;">
                <v:fill on="t" focussize="0,0"/>
                <v:stroke weight="0.5pt" color="#000000 [3204]" joinstyle="round"/>
                <v:imagedata o:title=""/>
                <o:lock v:ext="edit" aspectratio="f"/>
                <v:textbox>
                  <w:txbxContent>
                    <w:p w14:paraId="57732C13">
                      <w:pPr>
                        <w:rPr>
                          <w:rFonts w:hint="eastAsia" w:eastAsia="宋体"/>
                          <w:lang w:eastAsia="zh-CN"/>
                        </w:rPr>
                      </w:pPr>
                      <w:r>
                        <w:rPr>
                          <w:rFonts w:hint="eastAsia"/>
                          <w:lang w:eastAsia="zh-CN"/>
                        </w:rPr>
                        <w:t>一般固废间</w:t>
                      </w:r>
                    </w:p>
                  </w:txbxContent>
                </v:textbox>
              </v:shape>
            </w:pict>
          </mc:Fallback>
        </mc:AlternateContent>
      </w:r>
    </w:p>
    <w:p w14:paraId="18D6989D">
      <w:pPr>
        <w:rPr>
          <w:rFonts w:hint="default" w:ascii="Times New Roman" w:hAnsi="Times New Roman" w:eastAsia="宋体" w:cs="Times New Roman"/>
          <w:color w:val="auto"/>
          <w:lang w:val="en-US" w:eastAsia="zh-CN"/>
        </w:rPr>
      </w:pPr>
    </w:p>
    <w:p w14:paraId="1AD7970B">
      <w:pPr>
        <w:pStyle w:val="2"/>
        <w:rPr>
          <w:rFonts w:hint="default" w:ascii="Times New Roman" w:hAnsi="Times New Roman" w:eastAsia="宋体" w:cs="Times New Roman"/>
          <w:color w:val="auto"/>
          <w:lang w:val="en-US" w:eastAsia="zh-CN"/>
        </w:rPr>
      </w:pPr>
      <w:r>
        <w:rPr>
          <w:rFonts w:hint="default" w:ascii="Times New Roman" w:hAnsi="Times New Roman" w:cs="Times New Roman"/>
          <w:sz w:val="28"/>
        </w:rPr>
        <mc:AlternateContent>
          <mc:Choice Requires="wps">
            <w:drawing>
              <wp:anchor distT="0" distB="0" distL="114300" distR="114300" simplePos="0" relativeHeight="251693056" behindDoc="0" locked="0" layoutInCell="1" allowOverlap="1">
                <wp:simplePos x="0" y="0"/>
                <wp:positionH relativeFrom="column">
                  <wp:posOffset>2748915</wp:posOffset>
                </wp:positionH>
                <wp:positionV relativeFrom="paragraph">
                  <wp:posOffset>102235</wp:posOffset>
                </wp:positionV>
                <wp:extent cx="2667000" cy="539750"/>
                <wp:effectExtent l="4445" t="4445" r="14605" b="8255"/>
                <wp:wrapNone/>
                <wp:docPr id="62" name="文本框 62"/>
                <wp:cNvGraphicFramePr/>
                <a:graphic xmlns:a="http://schemas.openxmlformats.org/drawingml/2006/main">
                  <a:graphicData uri="http://schemas.microsoft.com/office/word/2010/wordprocessingShape">
                    <wps:wsp>
                      <wps:cNvSpPr txBox="1"/>
                      <wps:spPr>
                        <a:xfrm>
                          <a:off x="3663315" y="4280535"/>
                          <a:ext cx="2667000" cy="539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3BC3BB">
                            <w:pPr>
                              <w:rPr>
                                <w:rFonts w:hint="eastAsia" w:eastAsia="宋体"/>
                                <w:lang w:val="en-US" w:eastAsia="zh-CN"/>
                              </w:rPr>
                            </w:pPr>
                            <w:r>
                              <w:rPr>
                                <w:rFonts w:hint="eastAsia"/>
                                <w:lang w:val="en-US" w:eastAsia="zh-CN"/>
                              </w:rPr>
                              <w:t>5#厂房（配套辅助用房）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45pt;margin-top:8.05pt;height:42.5pt;width:210pt;z-index:251693056;mso-width-relative:page;mso-height-relative:page;" fillcolor="#FFFFFF [3201]" filled="t" stroked="t" coordsize="21600,21600" o:gfxdata="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kPnptUAAAAKAQAADwAAAAAAAAABACAAAAAiAAAAZHJzL2Rvd25yZXYueG1sUEsBAhQA&#10;FAAAAAgAh07iQMD9bKRnAgAAxQQAAA4AAAAAAAAAAQAgAAAAJAEAAGRycy9lMm9Eb2MueG1sUEsF&#10;BgAAAAAGAAYAWQEAAP0FAAAAAA==&#10;">
                <v:fill on="t" focussize="0,0"/>
                <v:stroke weight="0.5pt" color="#000000 [3204]" joinstyle="round"/>
                <v:imagedata o:title=""/>
                <o:lock v:ext="edit" aspectratio="f"/>
                <v:textbox>
                  <w:txbxContent>
                    <w:p w14:paraId="203BC3BB">
                      <w:pPr>
                        <w:rPr>
                          <w:rFonts w:hint="eastAsia" w:eastAsia="宋体"/>
                          <w:lang w:val="en-US" w:eastAsia="zh-CN"/>
                        </w:rPr>
                      </w:pPr>
                      <w:r>
                        <w:rPr>
                          <w:rFonts w:hint="eastAsia"/>
                          <w:lang w:val="en-US" w:eastAsia="zh-CN"/>
                        </w:rPr>
                        <w:t>5#厂房（配套辅助用房）</w:t>
                      </w:r>
                    </w:p>
                  </w:txbxContent>
                </v:textbox>
              </v:shape>
            </w:pict>
          </mc:Fallback>
        </mc:AlternateContent>
      </w:r>
    </w:p>
    <w:p w14:paraId="3014E1A4">
      <w:pPr>
        <w:rPr>
          <w:rFonts w:hint="default" w:ascii="Times New Roman" w:hAnsi="Times New Roman" w:cs="Times New Roman"/>
          <w:lang w:val="en-US" w:eastAsia="zh-CN"/>
        </w:rPr>
      </w:pPr>
    </w:p>
    <w:p w14:paraId="1665FD98">
      <w:pPr>
        <w:bidi w:val="0"/>
        <w:rPr>
          <w:rFonts w:hint="default" w:ascii="Times New Roman" w:hAnsi="Times New Roman" w:eastAsia="宋体" w:cs="Times New Roman"/>
          <w:color w:val="auto"/>
          <w:lang w:val="en-US" w:eastAsia="zh-CN"/>
        </w:rPr>
      </w:pPr>
    </w:p>
    <w:p w14:paraId="0D88F1B3">
      <w:pPr>
        <w:bidi w:val="0"/>
        <w:rPr>
          <w:rFonts w:hint="default" w:ascii="Times New Roman" w:hAnsi="Times New Roman" w:eastAsia="宋体" w:cs="Times New Roman"/>
          <w:color w:val="auto"/>
          <w:lang w:val="en-US" w:eastAsia="zh-CN"/>
        </w:rPr>
      </w:pPr>
    </w:p>
    <w:p w14:paraId="0BF56B29">
      <w:pPr>
        <w:bidi w:val="0"/>
        <w:rPr>
          <w:rFonts w:hint="default" w:ascii="Times New Roman" w:hAnsi="Times New Roman" w:eastAsia="宋体" w:cs="Times New Roman"/>
          <w:color w:val="auto"/>
          <w:lang w:val="en-US" w:eastAsia="zh-CN"/>
        </w:rPr>
      </w:pPr>
      <w:r>
        <w:rPr>
          <w:rFonts w:hint="default" w:ascii="Times New Roman" w:hAnsi="Times New Roman" w:cs="Times New Roman"/>
          <w:sz w:val="21"/>
        </w:rPr>
        <mc:AlternateContent>
          <mc:Choice Requires="wps">
            <w:drawing>
              <wp:anchor distT="0" distB="0" distL="114300" distR="114300" simplePos="0" relativeHeight="251695104" behindDoc="0" locked="0" layoutInCell="1" allowOverlap="1">
                <wp:simplePos x="0" y="0"/>
                <wp:positionH relativeFrom="column">
                  <wp:posOffset>5695950</wp:posOffset>
                </wp:positionH>
                <wp:positionV relativeFrom="paragraph">
                  <wp:posOffset>92075</wp:posOffset>
                </wp:positionV>
                <wp:extent cx="592455" cy="304165"/>
                <wp:effectExtent l="4445" t="4445" r="12700" b="15240"/>
                <wp:wrapNone/>
                <wp:docPr id="65" name="文本框 65"/>
                <wp:cNvGraphicFramePr/>
                <a:graphic xmlns:a="http://schemas.openxmlformats.org/drawingml/2006/main">
                  <a:graphicData uri="http://schemas.microsoft.com/office/word/2010/wordprocessingShape">
                    <wps:wsp>
                      <wps:cNvSpPr txBox="1"/>
                      <wps:spPr>
                        <a:xfrm>
                          <a:off x="0" y="0"/>
                          <a:ext cx="592455" cy="304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989344">
                            <w:pPr>
                              <w:rPr>
                                <w:rFonts w:hint="eastAsia" w:eastAsia="宋体"/>
                                <w:lang w:eastAsia="zh-CN"/>
                              </w:rPr>
                            </w:pPr>
                            <w:r>
                              <w:rPr>
                                <w:rFonts w:hint="eastAsia"/>
                                <w:lang w:eastAsia="zh-CN"/>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5pt;margin-top:7.25pt;height:23.95pt;width:46.65pt;z-index:251695104;mso-width-relative:page;mso-height-relative:page;" fillcolor="#FFFFFF [3201]" filled="t" stroked="t" coordsize="21600,21600" o:gfxdata="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xHUu1gAA&#10;AAkBAAAPAAAAAAAAAAEAIAAAACIAAABkcnMvZG93bnJldi54bWxQSwECFAAUAAAACACHTuJAOtPu&#10;UlkCAAC4BAAADgAAAAAAAAABACAAAAAlAQAAZHJzL2Uyb0RvYy54bWxQSwUGAAAAAAYABgBZAQAA&#10;8AUAAAAA&#10;">
                <v:fill on="t" focussize="0,0"/>
                <v:stroke weight="0.5pt" color="#000000 [3204]" joinstyle="round"/>
                <v:imagedata o:title=""/>
                <o:lock v:ext="edit" aspectratio="f"/>
                <v:textbox>
                  <w:txbxContent>
                    <w:p w14:paraId="42989344">
                      <w:pPr>
                        <w:rPr>
                          <w:rFonts w:hint="eastAsia" w:eastAsia="宋体"/>
                          <w:lang w:eastAsia="zh-CN"/>
                        </w:rPr>
                      </w:pPr>
                      <w:r>
                        <w:rPr>
                          <w:rFonts w:hint="eastAsia"/>
                          <w:lang w:eastAsia="zh-CN"/>
                        </w:rPr>
                        <w:t>大门</w:t>
                      </w:r>
                    </w:p>
                  </w:txbxContent>
                </v:textbox>
              </v:shape>
            </w:pict>
          </mc:Fallback>
        </mc:AlternateContent>
      </w:r>
    </w:p>
    <w:p w14:paraId="6F86E46E">
      <w:pPr>
        <w:bidi w:val="0"/>
        <w:rPr>
          <w:rFonts w:hint="default" w:ascii="Times New Roman" w:hAnsi="Times New Roman" w:eastAsia="宋体" w:cs="Times New Roman"/>
          <w:color w:val="auto"/>
          <w:lang w:val="en-US" w:eastAsia="zh-CN"/>
        </w:rPr>
      </w:pPr>
    </w:p>
    <w:p w14:paraId="7AFB47DF">
      <w:pPr>
        <w:bidi w:val="0"/>
        <w:rPr>
          <w:rFonts w:hint="default" w:ascii="Times New Roman" w:hAnsi="Times New Roman" w:eastAsia="宋体" w:cs="Times New Roman"/>
          <w:color w:val="auto"/>
          <w:lang w:val="en-US" w:eastAsia="zh-CN"/>
        </w:rPr>
      </w:pPr>
    </w:p>
    <w:p w14:paraId="72A33996">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注：P1为排气筒具体位置</w:t>
      </w:r>
    </w:p>
    <w:p w14:paraId="65A02E3A">
      <w:pPr>
        <w:bidi w:val="0"/>
        <w:rPr>
          <w:rFonts w:hint="default" w:ascii="Times New Roman" w:hAnsi="Times New Roman" w:eastAsia="宋体" w:cs="Times New Roman"/>
          <w:color w:val="auto"/>
          <w:lang w:val="en-US" w:eastAsia="zh-CN"/>
        </w:rPr>
      </w:pPr>
    </w:p>
    <w:p w14:paraId="50456051">
      <w:pPr>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z w:val="24"/>
          <w:szCs w:val="24"/>
          <w:lang w:val="en-US" w:eastAsia="zh-CN"/>
        </w:rPr>
        <w:t>附图</w:t>
      </w:r>
      <w:r>
        <w:rPr>
          <w:rFonts w:hint="default" w:ascii="Times New Roman" w:hAnsi="Times New Roman" w:cs="Times New Roman"/>
          <w:b/>
          <w:bCs/>
          <w:color w:val="auto"/>
          <w:sz w:val="24"/>
          <w:szCs w:val="24"/>
          <w:lang w:val="en-US" w:eastAsia="zh-CN"/>
        </w:rPr>
        <w:t>三、</w:t>
      </w:r>
      <w:r>
        <w:rPr>
          <w:rFonts w:hint="default" w:ascii="Times New Roman" w:hAnsi="Times New Roman" w:eastAsia="宋体" w:cs="Times New Roman"/>
          <w:b/>
          <w:bCs/>
          <w:color w:val="auto"/>
          <w:sz w:val="24"/>
          <w:szCs w:val="24"/>
          <w:lang w:val="en-US" w:eastAsia="zh-CN"/>
        </w:rPr>
        <w:t>项目平面布置图</w:t>
      </w:r>
      <w:r>
        <w:rPr>
          <w:rFonts w:hint="default" w:ascii="Times New Roman" w:hAnsi="Times New Roman" w:cs="Times New Roman"/>
          <w:color w:val="auto"/>
          <w:sz w:val="21"/>
        </w:rPr>
        <mc:AlternateContent>
          <mc:Choice Requires="wps">
            <w:drawing>
              <wp:anchor distT="0" distB="0" distL="114300" distR="114300" simplePos="0" relativeHeight="251684864" behindDoc="0" locked="0" layoutInCell="1" allowOverlap="1">
                <wp:simplePos x="0" y="0"/>
                <wp:positionH relativeFrom="column">
                  <wp:posOffset>5498465</wp:posOffset>
                </wp:positionH>
                <wp:positionV relativeFrom="paragraph">
                  <wp:posOffset>1123315</wp:posOffset>
                </wp:positionV>
                <wp:extent cx="713740" cy="438150"/>
                <wp:effectExtent l="951230" t="6350" r="11430" b="889000"/>
                <wp:wrapNone/>
                <wp:docPr id="54" name="矩形标注 54"/>
                <wp:cNvGraphicFramePr/>
                <a:graphic xmlns:a="http://schemas.openxmlformats.org/drawingml/2006/main">
                  <a:graphicData uri="http://schemas.microsoft.com/office/word/2010/wordprocessingShape">
                    <wps:wsp>
                      <wps:cNvSpPr/>
                      <wps:spPr>
                        <a:xfrm>
                          <a:off x="0" y="0"/>
                          <a:ext cx="713740" cy="438150"/>
                        </a:xfrm>
                        <a:prstGeom prst="wedgeRectCallout">
                          <a:avLst>
                            <a:gd name="adj1" fmla="val -177246"/>
                            <a:gd name="adj2" fmla="val 242898"/>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7625F505">
                            <w:pPr>
                              <w:jc w:val="center"/>
                              <w:rPr>
                                <w:rFonts w:hint="eastAsia" w:eastAsia="宋体"/>
                                <w:color w:val="FF0000"/>
                                <w:lang w:eastAsia="zh-CN"/>
                              </w:rPr>
                            </w:pPr>
                            <w:r>
                              <w:rPr>
                                <w:rFonts w:hint="eastAsia"/>
                                <w:color w:val="FF0000"/>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32.95pt;margin-top:88.45pt;height:34.5pt;width:56.2pt;z-index:251684864;v-text-anchor:middle;mso-width-relative:page;mso-height-relative:page;" filled="f" stroked="t" coordsize="21600,21600" o:gfxdata="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IpRPXYAAAACwEAAA8AAAAAAAAA&#10;AQAgAAAAIgAAAGRycy9kb3ducmV2LnhtbFBLAQIUABQAAAAIAIdO4kBN1sLCvAIAAF8FAAAOAAAA&#10;AAAAAAEAIAAAACcBAABkcnMvZTJvRG9jLnhtbFBLBQYAAAAABgAGAFkBAABVBgAAAAA=&#10;" adj="-27485,63266">
                <v:fill on="f" focussize="0,0"/>
                <v:stroke weight="1pt" color="#2E54A1 [2404]" miterlimit="8" joinstyle="miter"/>
                <v:imagedata o:title=""/>
                <o:lock v:ext="edit" aspectratio="f"/>
                <v:textbox>
                  <w:txbxContent>
                    <w:p w14:paraId="7625F505">
                      <w:pPr>
                        <w:jc w:val="center"/>
                        <w:rPr>
                          <w:rFonts w:hint="eastAsia" w:eastAsia="宋体"/>
                          <w:color w:val="FF0000"/>
                          <w:lang w:eastAsia="zh-CN"/>
                        </w:rPr>
                      </w:pPr>
                      <w:r>
                        <w:rPr>
                          <w:rFonts w:hint="eastAsia"/>
                          <w:color w:val="FF0000"/>
                          <w:lang w:eastAsia="zh-CN"/>
                        </w:rPr>
                        <w:t>本项目</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7937500" cy="4745355"/>
            <wp:effectExtent l="0" t="0" r="6350" b="17145"/>
            <wp:docPr id="49" name="图片 49" descr="0f12a95ee92a441f3d8a55f96fc8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f12a95ee92a441f3d8a55f96fc8e4c"/>
                    <pic:cNvPicPr>
                      <a:picLocks noChangeAspect="1"/>
                    </pic:cNvPicPr>
                  </pic:nvPicPr>
                  <pic:blipFill>
                    <a:blip r:embed="rId14"/>
                    <a:stretch>
                      <a:fillRect/>
                    </a:stretch>
                  </pic:blipFill>
                  <pic:spPr>
                    <a:xfrm>
                      <a:off x="0" y="0"/>
                      <a:ext cx="7937500" cy="4745355"/>
                    </a:xfrm>
                    <a:prstGeom prst="rect">
                      <a:avLst/>
                    </a:prstGeom>
                  </pic:spPr>
                </pic:pic>
              </a:graphicData>
            </a:graphic>
          </wp:inline>
        </w:drawing>
      </w:r>
    </w:p>
    <w:p w14:paraId="0A2A37E1">
      <w:pPr>
        <w:bidi w:val="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附图</w:t>
      </w:r>
      <w:r>
        <w:rPr>
          <w:rFonts w:hint="default" w:ascii="Times New Roman" w:hAnsi="Times New Roman" w:cs="Times New Roman"/>
          <w:b/>
          <w:bCs/>
          <w:color w:val="auto"/>
          <w:sz w:val="24"/>
          <w:szCs w:val="24"/>
          <w:lang w:val="en-US" w:eastAsia="zh-CN"/>
        </w:rPr>
        <w:t>四、</w:t>
      </w:r>
      <w:r>
        <w:rPr>
          <w:rFonts w:hint="default" w:ascii="Times New Roman" w:hAnsi="Times New Roman" w:eastAsia="宋体" w:cs="Times New Roman"/>
          <w:b/>
          <w:bCs/>
          <w:color w:val="auto"/>
          <w:sz w:val="24"/>
          <w:szCs w:val="24"/>
          <w:lang w:val="en-US" w:eastAsia="zh-CN"/>
        </w:rPr>
        <w:t xml:space="preserve"> 滑县先进制造业开发区总体发展规划（2022-2035）-土地使用规划图</w:t>
      </w:r>
      <w:r>
        <w:rPr>
          <w:rFonts w:hint="default" w:ascii="Times New Roman" w:hAnsi="Times New Roman" w:cs="Times New Roman"/>
          <w:color w:val="auto"/>
          <w:sz w:val="21"/>
        </w:rPr>
        <mc:AlternateContent>
          <mc:Choice Requires="wps">
            <w:drawing>
              <wp:anchor distT="0" distB="0" distL="114300" distR="114300" simplePos="0" relativeHeight="251683840" behindDoc="0" locked="0" layoutInCell="1" allowOverlap="1">
                <wp:simplePos x="0" y="0"/>
                <wp:positionH relativeFrom="column">
                  <wp:posOffset>5498465</wp:posOffset>
                </wp:positionH>
                <wp:positionV relativeFrom="paragraph">
                  <wp:posOffset>1233805</wp:posOffset>
                </wp:positionV>
                <wp:extent cx="713740" cy="438150"/>
                <wp:effectExtent l="951230" t="6350" r="11430" b="889000"/>
                <wp:wrapNone/>
                <wp:docPr id="52" name="矩形标注 52"/>
                <wp:cNvGraphicFramePr/>
                <a:graphic xmlns:a="http://schemas.openxmlformats.org/drawingml/2006/main">
                  <a:graphicData uri="http://schemas.microsoft.com/office/word/2010/wordprocessingShape">
                    <wps:wsp>
                      <wps:cNvSpPr/>
                      <wps:spPr>
                        <a:xfrm>
                          <a:off x="5412740" y="3142615"/>
                          <a:ext cx="713740" cy="438150"/>
                        </a:xfrm>
                        <a:prstGeom prst="wedgeRectCallout">
                          <a:avLst>
                            <a:gd name="adj1" fmla="val -177246"/>
                            <a:gd name="adj2" fmla="val 242898"/>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6478F34D">
                            <w:pPr>
                              <w:jc w:val="center"/>
                              <w:rPr>
                                <w:rFonts w:hint="eastAsia" w:eastAsia="宋体"/>
                                <w:color w:val="FF0000"/>
                                <w:lang w:eastAsia="zh-CN"/>
                              </w:rPr>
                            </w:pPr>
                            <w:r>
                              <w:rPr>
                                <w:rFonts w:hint="eastAsia"/>
                                <w:color w:val="FF0000"/>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32.95pt;margin-top:97.15pt;height:34.5pt;width:56.2pt;z-index:251683840;v-text-anchor:middle;mso-width-relative:page;mso-height-relative:page;" filled="f" stroked="t" coordsize="21600,21600" o:gfxdata="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Vr59S9kA&#10;AAALAQAADwAAAAAAAAABACAAAAAiAAAAZHJzL2Rvd25yZXYueG1sUEsBAhQAFAAAAAgAh07iQDmY&#10;PTjJAgAAawUAAA4AAAAAAAAAAQAgAAAAKAEAAGRycy9lMm9Eb2MueG1sUEsFBgAAAAAGAAYAWQEA&#10;AGMGAAAAAA==&#10;" adj="-27485,63266">
                <v:fill on="f" focussize="0,0"/>
                <v:stroke weight="1pt" color="#2E54A1 [2404]" miterlimit="8" joinstyle="miter"/>
                <v:imagedata o:title=""/>
                <o:lock v:ext="edit" aspectratio="f"/>
                <v:textbox>
                  <w:txbxContent>
                    <w:p w14:paraId="6478F34D">
                      <w:pPr>
                        <w:jc w:val="center"/>
                        <w:rPr>
                          <w:rFonts w:hint="eastAsia" w:eastAsia="宋体"/>
                          <w:color w:val="FF0000"/>
                          <w:lang w:eastAsia="zh-CN"/>
                        </w:rPr>
                      </w:pPr>
                      <w:r>
                        <w:rPr>
                          <w:rFonts w:hint="eastAsia"/>
                          <w:color w:val="FF0000"/>
                          <w:lang w:eastAsia="zh-CN"/>
                        </w:rPr>
                        <w:t>本项目</w:t>
                      </w:r>
                    </w:p>
                  </w:txbxContent>
                </v:textbox>
              </v:shape>
            </w:pict>
          </mc:Fallback>
        </mc:AlternateContent>
      </w:r>
      <w:r>
        <w:rPr>
          <w:rFonts w:hint="default" w:ascii="Times New Roman" w:hAnsi="Times New Roman" w:cs="Times New Roman"/>
          <w:color w:val="auto"/>
          <w:sz w:val="21"/>
        </w:rPr>
        <w:drawing>
          <wp:inline distT="0" distB="0" distL="114300" distR="114300">
            <wp:extent cx="8493760" cy="4950460"/>
            <wp:effectExtent l="0" t="0" r="2540" b="2540"/>
            <wp:docPr id="51" name="图片 51" descr="7686d1cfdcea48e6957d9164acb8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686d1cfdcea48e6957d9164acb80aa"/>
                    <pic:cNvPicPr>
                      <a:picLocks noChangeAspect="1"/>
                    </pic:cNvPicPr>
                  </pic:nvPicPr>
                  <pic:blipFill>
                    <a:blip r:embed="rId15"/>
                    <a:stretch>
                      <a:fillRect/>
                    </a:stretch>
                  </pic:blipFill>
                  <pic:spPr>
                    <a:xfrm>
                      <a:off x="0" y="0"/>
                      <a:ext cx="8493760" cy="4950460"/>
                    </a:xfrm>
                    <a:prstGeom prst="rect">
                      <a:avLst/>
                    </a:prstGeom>
                  </pic:spPr>
                </pic:pic>
              </a:graphicData>
            </a:graphic>
          </wp:inline>
        </w:drawing>
      </w:r>
    </w:p>
    <w:p w14:paraId="713F566E">
      <w:pPr>
        <w:bidi w:val="0"/>
        <w:jc w:val="center"/>
        <w:rPr>
          <w:rFonts w:hint="default" w:ascii="Times New Roman" w:hAnsi="Times New Roman" w:eastAsia="宋体" w:cs="Times New Roman"/>
          <w:b/>
          <w:bCs/>
          <w:color w:val="auto"/>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color w:val="auto"/>
          <w:sz w:val="24"/>
          <w:szCs w:val="24"/>
          <w:lang w:val="en-US" w:eastAsia="zh-CN"/>
        </w:rPr>
        <w:t>附图</w:t>
      </w:r>
      <w:r>
        <w:rPr>
          <w:rFonts w:hint="default" w:ascii="Times New Roman" w:hAnsi="Times New Roman" w:cs="Times New Roman"/>
          <w:b/>
          <w:bCs/>
          <w:color w:val="auto"/>
          <w:sz w:val="24"/>
          <w:szCs w:val="24"/>
          <w:lang w:val="en-US" w:eastAsia="zh-CN"/>
        </w:rPr>
        <w:t>五、</w:t>
      </w:r>
      <w:r>
        <w:rPr>
          <w:rFonts w:hint="default" w:ascii="Times New Roman" w:hAnsi="Times New Roman" w:eastAsia="宋体" w:cs="Times New Roman"/>
          <w:b/>
          <w:bCs/>
          <w:color w:val="auto"/>
          <w:sz w:val="24"/>
          <w:szCs w:val="24"/>
          <w:lang w:val="en-US" w:eastAsia="zh-CN"/>
        </w:rPr>
        <w:t>滑县先进制造业开发区总体发展规划（2022-2035）-产业空间布局规划图</w:t>
      </w:r>
      <w:r>
        <w:rPr>
          <w:rFonts w:hint="default" w:ascii="Times New Roman" w:hAnsi="Times New Roman" w:eastAsia="宋体" w:cs="Times New Roman"/>
          <w:color w:val="auto"/>
          <w:sz w:val="21"/>
        </w:rPr>
        <mc:AlternateContent>
          <mc:Choice Requires="wps">
            <w:drawing>
              <wp:anchor distT="0" distB="0" distL="114300" distR="114300" simplePos="0" relativeHeight="251681792" behindDoc="0" locked="0" layoutInCell="1" allowOverlap="1">
                <wp:simplePos x="0" y="0"/>
                <wp:positionH relativeFrom="column">
                  <wp:posOffset>5567680</wp:posOffset>
                </wp:positionH>
                <wp:positionV relativeFrom="paragraph">
                  <wp:posOffset>627380</wp:posOffset>
                </wp:positionV>
                <wp:extent cx="714375" cy="286385"/>
                <wp:effectExtent l="485140" t="6350" r="19685" b="1040765"/>
                <wp:wrapNone/>
                <wp:docPr id="44" name="圆角矩形标注 44"/>
                <wp:cNvGraphicFramePr/>
                <a:graphic xmlns:a="http://schemas.openxmlformats.org/drawingml/2006/main">
                  <a:graphicData uri="http://schemas.microsoft.com/office/word/2010/wordprocessingShape">
                    <wps:wsp>
                      <wps:cNvSpPr/>
                      <wps:spPr>
                        <a:xfrm>
                          <a:off x="0" y="0"/>
                          <a:ext cx="714375" cy="286385"/>
                        </a:xfrm>
                        <a:prstGeom prst="wedgeRoundRectCallout">
                          <a:avLst>
                            <a:gd name="adj1" fmla="val -113571"/>
                            <a:gd name="adj2" fmla="val 393333"/>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5BE78E4">
                            <w:pPr>
                              <w:jc w:val="center"/>
                              <w:rPr>
                                <w:rFonts w:hint="eastAsia" w:eastAsia="宋体"/>
                                <w:lang w:eastAsia="zh-CN"/>
                              </w:rPr>
                            </w:pPr>
                            <w:r>
                              <w:rPr>
                                <w:rFonts w:hint="eastAsia"/>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38.4pt;margin-top:49.4pt;height:22.55pt;width:56.25pt;z-index:251681792;v-text-anchor:middle;mso-width-relative:page;mso-height-relative:page;" fillcolor="#4874CB [3204]" filled="t" stroked="t" coordsize="21600,21600" o:gfxdata="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gmEec2QAAAAoBAAAPAAAAAAAAAAEAIAAAACIAAABkcnMvZG93bnJl&#10;di54bWxQSwECFAAUAAAACACHTuJAZTFejeACAAC3BQAADgAAAAAAAAABACAAAAAoAQAAZHJzL2Uy&#10;b0RvYy54bWxQSwUGAAAAAAYABgBZAQAAegYAAAAA&#10;" adj="-13731,95760,14400">
                <v:fill on="t" focussize="0,0"/>
                <v:stroke weight="1pt" color="#2E54A1 [2404]" miterlimit="8" joinstyle="miter"/>
                <v:imagedata o:title=""/>
                <o:lock v:ext="edit" aspectratio="f"/>
                <v:textbox>
                  <w:txbxContent>
                    <w:p w14:paraId="15BE78E4">
                      <w:pPr>
                        <w:jc w:val="center"/>
                        <w:rPr>
                          <w:rFonts w:hint="eastAsia" w:eastAsia="宋体"/>
                          <w:lang w:eastAsia="zh-CN"/>
                        </w:rPr>
                      </w:pPr>
                      <w:r>
                        <w:rPr>
                          <w:rFonts w:hint="eastAsia"/>
                          <w:lang w:eastAsia="zh-CN"/>
                        </w:rPr>
                        <w:t>本项目</w:t>
                      </w:r>
                    </w:p>
                  </w:txbxContent>
                </v:textbox>
              </v:shape>
            </w:pict>
          </mc:Fallback>
        </mc:AlternateContent>
      </w:r>
      <w:r>
        <w:rPr>
          <w:rFonts w:hint="default" w:ascii="Times New Roman" w:hAnsi="Times New Roman" w:cs="Times New Roman"/>
        </w:rPr>
        <w:drawing>
          <wp:inline distT="0" distB="0" distL="114300" distR="114300">
            <wp:extent cx="8851900" cy="4784090"/>
            <wp:effectExtent l="0" t="0" r="6350" b="1651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6"/>
                    <a:stretch>
                      <a:fillRect/>
                    </a:stretch>
                  </pic:blipFill>
                  <pic:spPr>
                    <a:xfrm>
                      <a:off x="0" y="0"/>
                      <a:ext cx="8851900" cy="4784090"/>
                    </a:xfrm>
                    <a:prstGeom prst="rect">
                      <a:avLst/>
                    </a:prstGeom>
                    <a:noFill/>
                    <a:ln>
                      <a:noFill/>
                    </a:ln>
                  </pic:spPr>
                </pic:pic>
              </a:graphicData>
            </a:graphic>
          </wp:inline>
        </w:drawing>
      </w:r>
      <w:r>
        <w:rPr>
          <w:rFonts w:hint="default" w:ascii="Times New Roman" w:hAnsi="Times New Roman" w:eastAsia="宋体" w:cs="Times New Roman"/>
          <w:b/>
          <w:bCs/>
          <w:color w:val="auto"/>
          <w:sz w:val="24"/>
          <w:szCs w:val="24"/>
          <w:lang w:val="en-US" w:eastAsia="zh-CN"/>
        </w:rPr>
        <w:t>附图</w:t>
      </w:r>
      <w:r>
        <w:rPr>
          <w:rFonts w:hint="default" w:ascii="Times New Roman" w:hAnsi="Times New Roman" w:cs="Times New Roman"/>
          <w:b/>
          <w:bCs/>
          <w:color w:val="auto"/>
          <w:sz w:val="24"/>
          <w:szCs w:val="24"/>
          <w:lang w:val="en-US" w:eastAsia="zh-CN"/>
        </w:rPr>
        <w:t>六、</w:t>
      </w:r>
      <w:r>
        <w:rPr>
          <w:rFonts w:hint="default" w:ascii="Times New Roman" w:hAnsi="Times New Roman" w:eastAsia="宋体" w:cs="Times New Roman"/>
          <w:b/>
          <w:bCs/>
          <w:color w:val="auto"/>
          <w:sz w:val="24"/>
          <w:szCs w:val="24"/>
          <w:lang w:val="en-US" w:eastAsia="zh-CN"/>
        </w:rPr>
        <w:t>项目“三线一单”管控图</w:t>
      </w:r>
    </w:p>
    <w:p w14:paraId="55C31585">
      <w:pPr>
        <w:pStyle w:val="2"/>
        <w:rPr>
          <w:rFonts w:hint="default" w:ascii="Times New Roman" w:hAnsi="Times New Roman" w:eastAsia="宋体" w:cs="Times New Roman"/>
          <w:color w:val="auto"/>
          <w:lang w:val="en-US" w:eastAsia="zh-CN"/>
        </w:rPr>
      </w:pPr>
    </w:p>
    <w:p w14:paraId="5E04F8E2">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anchor distT="0" distB="0" distL="114300" distR="114300" simplePos="0" relativeHeight="251677696" behindDoc="0" locked="0" layoutInCell="1" allowOverlap="1">
            <wp:simplePos x="0" y="0"/>
            <wp:positionH relativeFrom="column">
              <wp:posOffset>3133725</wp:posOffset>
            </wp:positionH>
            <wp:positionV relativeFrom="paragraph">
              <wp:posOffset>53340</wp:posOffset>
            </wp:positionV>
            <wp:extent cx="2942590" cy="2456180"/>
            <wp:effectExtent l="0" t="0" r="10160" b="1270"/>
            <wp:wrapSquare wrapText="bothSides"/>
            <wp:docPr id="28" name="图片 28" descr="南侧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南侧企业"/>
                    <pic:cNvPicPr>
                      <a:picLocks noChangeAspect="1"/>
                    </pic:cNvPicPr>
                  </pic:nvPicPr>
                  <pic:blipFill>
                    <a:blip r:embed="rId17"/>
                    <a:stretch>
                      <a:fillRect/>
                    </a:stretch>
                  </pic:blipFill>
                  <pic:spPr>
                    <a:xfrm>
                      <a:off x="0" y="0"/>
                      <a:ext cx="2942590" cy="2456180"/>
                    </a:xfrm>
                    <a:prstGeom prst="rect">
                      <a:avLst/>
                    </a:prstGeom>
                  </pic:spPr>
                </pic:pic>
              </a:graphicData>
            </a:graphic>
          </wp:anchor>
        </w:drawing>
      </w:r>
      <w:r>
        <w:rPr>
          <w:rFonts w:hint="default" w:ascii="Times New Roman" w:hAnsi="Times New Roman" w:eastAsia="宋体" w:cs="Times New Roman"/>
          <w:color w:val="auto"/>
          <w:lang w:val="en-US" w:eastAsia="zh-CN"/>
        </w:rPr>
        <w:drawing>
          <wp:inline distT="0" distB="0" distL="114300" distR="114300">
            <wp:extent cx="3075305" cy="2464435"/>
            <wp:effectExtent l="0" t="0" r="10795" b="12065"/>
            <wp:docPr id="27" name="图片 27" descr="厂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厂区-2"/>
                    <pic:cNvPicPr>
                      <a:picLocks noChangeAspect="1"/>
                    </pic:cNvPicPr>
                  </pic:nvPicPr>
                  <pic:blipFill>
                    <a:blip r:embed="rId18"/>
                    <a:stretch>
                      <a:fillRect/>
                    </a:stretch>
                  </pic:blipFill>
                  <pic:spPr>
                    <a:xfrm>
                      <a:off x="0" y="0"/>
                      <a:ext cx="3075305" cy="2464435"/>
                    </a:xfrm>
                    <a:prstGeom prst="rect">
                      <a:avLst/>
                    </a:prstGeom>
                  </pic:spPr>
                </pic:pic>
              </a:graphicData>
            </a:graphic>
          </wp:inline>
        </w:drawing>
      </w:r>
    </w:p>
    <w:p w14:paraId="36A59046">
      <w:pPr>
        <w:tabs>
          <w:tab w:val="right" w:pos="13958"/>
        </w:tabs>
        <w:bidi w:val="0"/>
        <w:ind w:firstLine="2310" w:firstLineChars="11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anchor distT="0" distB="0" distL="114300" distR="114300" simplePos="0" relativeHeight="251678720" behindDoc="0" locked="0" layoutInCell="1" allowOverlap="1">
            <wp:simplePos x="0" y="0"/>
            <wp:positionH relativeFrom="column">
              <wp:posOffset>3171825</wp:posOffset>
            </wp:positionH>
            <wp:positionV relativeFrom="paragraph">
              <wp:posOffset>227330</wp:posOffset>
            </wp:positionV>
            <wp:extent cx="2912745" cy="2131695"/>
            <wp:effectExtent l="0" t="0" r="1905" b="1905"/>
            <wp:wrapSquare wrapText="bothSides"/>
            <wp:docPr id="30" name="图片 30" descr="厂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厂区-1"/>
                    <pic:cNvPicPr>
                      <a:picLocks noChangeAspect="1"/>
                    </pic:cNvPicPr>
                  </pic:nvPicPr>
                  <pic:blipFill>
                    <a:blip r:embed="rId19"/>
                    <a:stretch>
                      <a:fillRect/>
                    </a:stretch>
                  </pic:blipFill>
                  <pic:spPr>
                    <a:xfrm>
                      <a:off x="0" y="0"/>
                      <a:ext cx="2912745" cy="2131695"/>
                    </a:xfrm>
                    <a:prstGeom prst="rect">
                      <a:avLst/>
                    </a:prstGeom>
                  </pic:spPr>
                </pic:pic>
              </a:graphicData>
            </a:graphic>
          </wp:anchor>
        </w:drawing>
      </w:r>
      <w:r>
        <w:rPr>
          <w:rFonts w:hint="default" w:ascii="Times New Roman" w:hAnsi="Times New Roman" w:eastAsia="宋体" w:cs="Times New Roman"/>
          <w:color w:val="auto"/>
          <w:lang w:val="en-US" w:eastAsia="zh-CN"/>
        </w:rPr>
        <w:t>项目厂区                                     项目南侧</w:t>
      </w:r>
      <w:r>
        <w:rPr>
          <w:rFonts w:hint="default" w:ascii="Times New Roman" w:hAnsi="Times New Roman" w:eastAsia="宋体" w:cs="Times New Roman"/>
          <w:color w:val="auto"/>
          <w:lang w:val="en-US" w:eastAsia="zh-CN"/>
        </w:rPr>
        <w:drawing>
          <wp:inline distT="0" distB="0" distL="114300" distR="114300">
            <wp:extent cx="3007360" cy="2125980"/>
            <wp:effectExtent l="0" t="0" r="2540" b="7620"/>
            <wp:docPr id="29" name="图片 29" descr="项目东侧-美好生活小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项目东侧-美好生活小区"/>
                    <pic:cNvPicPr>
                      <a:picLocks noChangeAspect="1"/>
                    </pic:cNvPicPr>
                  </pic:nvPicPr>
                  <pic:blipFill>
                    <a:blip r:embed="rId20"/>
                    <a:stretch>
                      <a:fillRect/>
                    </a:stretch>
                  </pic:blipFill>
                  <pic:spPr>
                    <a:xfrm>
                      <a:off x="0" y="0"/>
                      <a:ext cx="3007360" cy="2125980"/>
                    </a:xfrm>
                    <a:prstGeom prst="rect">
                      <a:avLst/>
                    </a:prstGeom>
                  </pic:spPr>
                </pic:pic>
              </a:graphicData>
            </a:graphic>
          </wp:inline>
        </w:drawing>
      </w:r>
      <w:r>
        <w:rPr>
          <w:rFonts w:hint="default" w:ascii="Times New Roman" w:hAnsi="Times New Roman" w:eastAsia="宋体" w:cs="Times New Roman"/>
          <w:color w:val="auto"/>
          <w:lang w:val="en-US" w:eastAsia="zh-CN"/>
        </w:rPr>
        <w:t xml:space="preserve">                 </w:t>
      </w:r>
    </w:p>
    <w:p w14:paraId="29178E65">
      <w:pPr>
        <w:tabs>
          <w:tab w:val="right" w:pos="13958"/>
        </w:tabs>
        <w:bidi w:val="0"/>
        <w:ind w:firstLine="1680" w:firstLineChars="8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项目东侧                                           项目北侧空地</w:t>
      </w:r>
      <w:r>
        <w:rPr>
          <w:rFonts w:hint="default" w:ascii="Times New Roman" w:hAnsi="Times New Roman" w:eastAsia="宋体" w:cs="Times New Roman"/>
          <w:color w:val="auto"/>
          <w:lang w:val="en-US" w:eastAsia="zh-CN"/>
        </w:rPr>
        <w:drawing>
          <wp:inline distT="0" distB="0" distL="114300" distR="114300">
            <wp:extent cx="2988310" cy="2379980"/>
            <wp:effectExtent l="0" t="0" r="2540" b="1270"/>
            <wp:docPr id="31" name="图片 31" descr="厂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厂区-3"/>
                    <pic:cNvPicPr>
                      <a:picLocks noChangeAspect="1"/>
                    </pic:cNvPicPr>
                  </pic:nvPicPr>
                  <pic:blipFill>
                    <a:blip r:embed="rId21"/>
                    <a:stretch>
                      <a:fillRect/>
                    </a:stretch>
                  </pic:blipFill>
                  <pic:spPr>
                    <a:xfrm>
                      <a:off x="0" y="0"/>
                      <a:ext cx="2988310" cy="2379980"/>
                    </a:xfrm>
                    <a:prstGeom prst="rect">
                      <a:avLst/>
                    </a:prstGeom>
                  </pic:spPr>
                </pic:pic>
              </a:graphicData>
            </a:graphic>
          </wp:inline>
        </w:drawing>
      </w:r>
    </w:p>
    <w:p w14:paraId="1784CEAF">
      <w:pPr>
        <w:tabs>
          <w:tab w:val="right" w:pos="13958"/>
        </w:tabs>
        <w:bidi w:val="0"/>
        <w:ind w:firstLine="1260" w:firstLineChars="6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项目西侧空地                                      </w:t>
      </w:r>
    </w:p>
    <w:p w14:paraId="7E7A06D4">
      <w:pPr>
        <w:pStyle w:val="2"/>
        <w:rPr>
          <w:rFonts w:hint="default" w:ascii="Times New Roman" w:hAnsi="Times New Roman" w:eastAsia="宋体" w:cs="Times New Roman"/>
          <w:color w:val="auto"/>
          <w:lang w:val="en-US" w:eastAsia="zh-CN"/>
        </w:rPr>
      </w:pPr>
    </w:p>
    <w:p w14:paraId="766B65F5">
      <w:pPr>
        <w:jc w:val="center"/>
        <w:rPr>
          <w:rFonts w:hint="default" w:ascii="Times New Roman" w:hAnsi="Times New Roman" w:eastAsia="宋体" w:cs="Times New Roman"/>
          <w:b/>
          <w:bCs/>
          <w:color w:val="auto"/>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color w:val="auto"/>
          <w:sz w:val="24"/>
          <w:szCs w:val="24"/>
          <w:lang w:val="en-US" w:eastAsia="zh-CN"/>
        </w:rPr>
        <w:t>附图</w:t>
      </w:r>
      <w:r>
        <w:rPr>
          <w:rFonts w:hint="default" w:ascii="Times New Roman" w:hAnsi="Times New Roman" w:cs="Times New Roman"/>
          <w:b/>
          <w:bCs/>
          <w:color w:val="auto"/>
          <w:sz w:val="24"/>
          <w:szCs w:val="24"/>
          <w:lang w:val="en-US" w:eastAsia="zh-CN"/>
        </w:rPr>
        <w:t>七、</w:t>
      </w:r>
      <w:r>
        <w:rPr>
          <w:rFonts w:hint="default" w:ascii="Times New Roman" w:hAnsi="Times New Roman" w:eastAsia="宋体" w:cs="Times New Roman"/>
          <w:b/>
          <w:bCs/>
          <w:color w:val="auto"/>
          <w:sz w:val="24"/>
          <w:szCs w:val="24"/>
          <w:lang w:val="en-US" w:eastAsia="zh-CN"/>
        </w:rPr>
        <w:t>现场踏勘照片</w:t>
      </w:r>
    </w:p>
    <w:p w14:paraId="0590B81B">
      <w:pPr>
        <w:jc w:val="left"/>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z w:val="24"/>
          <w:szCs w:val="24"/>
          <w:lang w:eastAsia="zh-CN"/>
        </w:rPr>
        <w:t>附件一</w:t>
      </w:r>
      <w:r>
        <w:rPr>
          <w:rFonts w:hint="default" w:ascii="Times New Roman" w:hAnsi="Times New Roman" w:cs="Times New Roman"/>
          <w:b/>
          <w:bCs/>
          <w:color w:val="auto"/>
          <w:sz w:val="24"/>
          <w:szCs w:val="24"/>
          <w:lang w:eastAsia="zh-CN"/>
        </w:rPr>
        <w:t>、</w:t>
      </w:r>
      <w:r>
        <w:rPr>
          <w:rFonts w:hint="default" w:ascii="Times New Roman" w:hAnsi="Times New Roman" w:eastAsia="宋体" w:cs="Times New Roman"/>
          <w:b/>
          <w:bCs/>
          <w:color w:val="auto"/>
          <w:sz w:val="24"/>
          <w:szCs w:val="24"/>
          <w:lang w:eastAsia="zh-CN"/>
        </w:rPr>
        <w:t>委托书</w:t>
      </w:r>
      <w:r>
        <w:rPr>
          <w:rFonts w:hint="default" w:ascii="Times New Roman" w:hAnsi="Times New Roman" w:eastAsia="宋体" w:cs="Times New Roman"/>
          <w:color w:val="auto"/>
          <w:lang w:eastAsia="zh-CN"/>
        </w:rPr>
        <w:drawing>
          <wp:inline distT="0" distB="0" distL="114300" distR="114300">
            <wp:extent cx="5194935" cy="7303135"/>
            <wp:effectExtent l="0" t="0" r="0" b="0"/>
            <wp:docPr id="32" name="图片 32"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委托书"/>
                    <pic:cNvPicPr>
                      <a:picLocks noChangeAspect="1"/>
                    </pic:cNvPicPr>
                  </pic:nvPicPr>
                  <pic:blipFill>
                    <a:blip r:embed="rId22"/>
                    <a:srcRect r="1481" b="165"/>
                    <a:stretch>
                      <a:fillRect/>
                    </a:stretch>
                  </pic:blipFill>
                  <pic:spPr>
                    <a:xfrm>
                      <a:off x="0" y="0"/>
                      <a:ext cx="5194935" cy="7303135"/>
                    </a:xfrm>
                    <a:prstGeom prst="rect">
                      <a:avLst/>
                    </a:prstGeom>
                  </pic:spPr>
                </pic:pic>
              </a:graphicData>
            </a:graphic>
          </wp:inline>
        </w:drawing>
      </w:r>
      <w:r>
        <w:rPr>
          <w:rFonts w:hint="default" w:ascii="Times New Roman" w:hAnsi="Times New Roman" w:eastAsia="宋体" w:cs="Times New Roman"/>
          <w:color w:val="auto"/>
          <w:lang w:eastAsia="zh-CN"/>
        </w:rPr>
        <w:br w:type="page"/>
      </w:r>
    </w:p>
    <w:p w14:paraId="204CA695">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附</w:t>
      </w:r>
      <w:r>
        <w:rPr>
          <w:rFonts w:hint="default" w:ascii="Times New Roman" w:hAnsi="Times New Roman" w:cs="Times New Roman"/>
          <w:b/>
          <w:bCs/>
          <w:color w:val="auto"/>
          <w:lang w:eastAsia="zh-CN"/>
        </w:rPr>
        <w:t>件</w:t>
      </w:r>
      <w:r>
        <w:rPr>
          <w:rFonts w:hint="default" w:ascii="Times New Roman" w:hAnsi="Times New Roman" w:eastAsia="宋体" w:cs="Times New Roman"/>
          <w:b/>
          <w:bCs/>
          <w:color w:val="auto"/>
          <w:lang w:eastAsia="zh-CN"/>
        </w:rPr>
        <w:t>二</w:t>
      </w:r>
      <w:r>
        <w:rPr>
          <w:rFonts w:hint="default" w:ascii="Times New Roman" w:hAnsi="Times New Roman" w:cs="Times New Roman"/>
          <w:b/>
          <w:bCs/>
          <w:color w:val="auto"/>
          <w:lang w:eastAsia="zh-CN"/>
        </w:rPr>
        <w:t>、</w:t>
      </w:r>
      <w:r>
        <w:rPr>
          <w:rFonts w:hint="default" w:ascii="Times New Roman" w:hAnsi="Times New Roman" w:eastAsia="宋体" w:cs="Times New Roman"/>
          <w:b/>
          <w:bCs/>
          <w:color w:val="auto"/>
          <w:lang w:eastAsia="zh-CN"/>
        </w:rPr>
        <w:t>项目备案</w:t>
      </w:r>
      <w:r>
        <w:rPr>
          <w:rFonts w:hint="default" w:ascii="Times New Roman" w:hAnsi="Times New Roman" w:eastAsia="宋体" w:cs="Times New Roman"/>
          <w:b/>
          <w:bCs/>
          <w:color w:val="auto"/>
          <w:lang w:eastAsia="zh-CN"/>
        </w:rPr>
        <w:drawing>
          <wp:inline distT="0" distB="0" distL="114300" distR="114300">
            <wp:extent cx="4392295" cy="7903210"/>
            <wp:effectExtent l="0" t="0" r="0" b="0"/>
            <wp:docPr id="43" name="图片 43" descr="2302ff92dccf021de82af7811e4a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302ff92dccf021de82af7811e4a444"/>
                    <pic:cNvPicPr>
                      <a:picLocks noChangeAspect="1"/>
                    </pic:cNvPicPr>
                  </pic:nvPicPr>
                  <pic:blipFill>
                    <a:blip r:embed="rId23"/>
                    <a:srcRect l="4343" t="2802" r="3234" b="8005"/>
                    <a:stretch>
                      <a:fillRect/>
                    </a:stretch>
                  </pic:blipFill>
                  <pic:spPr>
                    <a:xfrm>
                      <a:off x="0" y="0"/>
                      <a:ext cx="4392295" cy="7903210"/>
                    </a:xfrm>
                    <a:prstGeom prst="rect">
                      <a:avLst/>
                    </a:prstGeom>
                  </pic:spPr>
                </pic:pic>
              </a:graphicData>
            </a:graphic>
          </wp:inline>
        </w:drawing>
      </w:r>
    </w:p>
    <w:p w14:paraId="2B74E641">
      <w:pPr>
        <w:pStyle w:val="23"/>
        <w:numPr>
          <w:ilvl w:val="0"/>
          <w:numId w:val="0"/>
        </w:numPr>
        <w:ind w:leftChars="0"/>
        <w:jc w:val="both"/>
        <w:rPr>
          <w:rFonts w:hint="default" w:ascii="Times New Roman" w:hAnsi="Times New Roman" w:eastAsia="宋体" w:cs="Times New Roman"/>
          <w:b/>
          <w:bCs/>
          <w:color w:val="auto"/>
          <w:lang w:eastAsia="zh-CN"/>
        </w:rPr>
      </w:pPr>
    </w:p>
    <w:p w14:paraId="583AB23D">
      <w:pPr>
        <w:pStyle w:val="23"/>
        <w:numPr>
          <w:ilvl w:val="0"/>
          <w:numId w:val="0"/>
        </w:numPr>
        <w:ind w:leftChars="0"/>
        <w:jc w:val="both"/>
        <w:rPr>
          <w:rFonts w:hint="default" w:ascii="Times New Roman" w:hAnsi="Times New Roman" w:eastAsia="宋体" w:cs="Times New Roman"/>
          <w:b/>
          <w:bCs/>
          <w:color w:val="auto"/>
          <w:lang w:eastAsia="zh-CN"/>
        </w:rPr>
      </w:pPr>
    </w:p>
    <w:p w14:paraId="2A8CD544">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附件三、情况说明</w:t>
      </w:r>
      <w:r>
        <w:rPr>
          <w:rFonts w:hint="default" w:ascii="Times New Roman" w:hAnsi="Times New Roman" w:cs="Times New Roman"/>
          <w:b/>
          <w:bCs/>
          <w:color w:val="auto"/>
          <w:lang w:eastAsia="zh-CN"/>
        </w:rPr>
        <w:drawing>
          <wp:inline distT="0" distB="0" distL="114300" distR="114300">
            <wp:extent cx="5269865" cy="7237730"/>
            <wp:effectExtent l="0" t="0" r="6985" b="1270"/>
            <wp:docPr id="35" name="图片 35" descr="80534165050f48d601fafa67d712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0534165050f48d601fafa67d712a8b"/>
                    <pic:cNvPicPr>
                      <a:picLocks noChangeAspect="1"/>
                    </pic:cNvPicPr>
                  </pic:nvPicPr>
                  <pic:blipFill>
                    <a:blip r:embed="rId24"/>
                    <a:stretch>
                      <a:fillRect/>
                    </a:stretch>
                  </pic:blipFill>
                  <pic:spPr>
                    <a:xfrm>
                      <a:off x="0" y="0"/>
                      <a:ext cx="5269865" cy="7237730"/>
                    </a:xfrm>
                    <a:prstGeom prst="rect">
                      <a:avLst/>
                    </a:prstGeom>
                  </pic:spPr>
                </pic:pic>
              </a:graphicData>
            </a:graphic>
          </wp:inline>
        </w:drawing>
      </w:r>
    </w:p>
    <w:p w14:paraId="004F71F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方正小标宋简体" w:cs="Times New Roman"/>
          <w:sz w:val="44"/>
          <w:szCs w:val="44"/>
          <w:lang w:val="en-US" w:eastAsia="zh-CN"/>
        </w:rPr>
      </w:pPr>
    </w:p>
    <w:p w14:paraId="48664BB8">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drawing>
          <wp:anchor distT="0" distB="0" distL="114300" distR="114300" simplePos="0" relativeHeight="251682816" behindDoc="0" locked="0" layoutInCell="1" allowOverlap="1">
            <wp:simplePos x="0" y="0"/>
            <wp:positionH relativeFrom="column">
              <wp:posOffset>-1323340</wp:posOffset>
            </wp:positionH>
            <wp:positionV relativeFrom="paragraph">
              <wp:posOffset>1341120</wp:posOffset>
            </wp:positionV>
            <wp:extent cx="7524750" cy="5586095"/>
            <wp:effectExtent l="0" t="0" r="14605" b="0"/>
            <wp:wrapSquare wrapText="bothSides"/>
            <wp:docPr id="48" name="图片 48"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营业执照"/>
                    <pic:cNvPicPr>
                      <a:picLocks noChangeAspect="1"/>
                    </pic:cNvPicPr>
                  </pic:nvPicPr>
                  <pic:blipFill>
                    <a:blip r:embed="rId25"/>
                    <a:srcRect l="1120" t="1320" r="771" b="1554"/>
                    <a:stretch>
                      <a:fillRect/>
                    </a:stretch>
                  </pic:blipFill>
                  <pic:spPr>
                    <a:xfrm rot="16200000">
                      <a:off x="0" y="0"/>
                      <a:ext cx="7524750" cy="5586095"/>
                    </a:xfrm>
                    <a:prstGeom prst="rect">
                      <a:avLst/>
                    </a:prstGeom>
                  </pic:spPr>
                </pic:pic>
              </a:graphicData>
            </a:graphic>
          </wp:anchor>
        </w:drawing>
      </w:r>
      <w:r>
        <w:rPr>
          <w:rFonts w:hint="default" w:ascii="Times New Roman" w:hAnsi="Times New Roman" w:cs="Times New Roman"/>
          <w:b/>
          <w:bCs/>
          <w:color w:val="auto"/>
          <w:lang w:eastAsia="zh-CN"/>
        </w:rPr>
        <w:t>附件四、营业执照</w:t>
      </w:r>
    </w:p>
    <w:p w14:paraId="6D60EC55">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p>
    <w:p w14:paraId="0E1CA8EC">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p>
    <w:p w14:paraId="3A534007">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p>
    <w:p w14:paraId="59648B38">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p>
    <w:p w14:paraId="1D28C634">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r>
        <w:rPr>
          <w:rFonts w:hint="default" w:ascii="Times New Roman" w:hAnsi="Times New Roman" w:eastAsia="宋体" w:cs="Times New Roman"/>
          <w:b/>
          <w:bCs/>
          <w:color w:val="auto"/>
          <w:lang w:eastAsia="zh-CN"/>
        </w:rPr>
        <w:t>附件</w:t>
      </w:r>
      <w:r>
        <w:rPr>
          <w:rFonts w:hint="default" w:ascii="Times New Roman" w:hAnsi="Times New Roman" w:cs="Times New Roman"/>
          <w:b/>
          <w:bCs/>
          <w:color w:val="auto"/>
          <w:lang w:eastAsia="zh-CN"/>
        </w:rPr>
        <w:t>五、土地规划许可证</w:t>
      </w:r>
    </w:p>
    <w:p w14:paraId="5DBD6568">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default" w:ascii="Times New Roman" w:hAnsi="Times New Roman" w:cs="Times New Roman"/>
          <w:b/>
          <w:bCs/>
          <w:color w:val="auto"/>
          <w:lang w:eastAsia="zh-CN"/>
        </w:rPr>
      </w:pPr>
    </w:p>
    <w:p w14:paraId="13646FE8">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drawing>
          <wp:inline distT="0" distB="0" distL="114300" distR="114300">
            <wp:extent cx="4743450" cy="6740525"/>
            <wp:effectExtent l="0" t="0" r="0" b="3175"/>
            <wp:docPr id="1" name="图片 1" descr="24cd2175f146ec2d774b8685a03b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cd2175f146ec2d774b8685a03b141"/>
                    <pic:cNvPicPr>
                      <a:picLocks noChangeAspect="1"/>
                    </pic:cNvPicPr>
                  </pic:nvPicPr>
                  <pic:blipFill>
                    <a:blip r:embed="rId26"/>
                    <a:srcRect l="3328" t="1962" r="6607" b="2053"/>
                    <a:stretch>
                      <a:fillRect/>
                    </a:stretch>
                  </pic:blipFill>
                  <pic:spPr>
                    <a:xfrm rot="10800000">
                      <a:off x="0" y="0"/>
                      <a:ext cx="4743450" cy="6740525"/>
                    </a:xfrm>
                    <a:prstGeom prst="rect">
                      <a:avLst/>
                    </a:prstGeom>
                  </pic:spPr>
                </pic:pic>
              </a:graphicData>
            </a:graphic>
          </wp:inline>
        </w:drawing>
      </w:r>
    </w:p>
    <w:p w14:paraId="1C26AF80">
      <w:pPr>
        <w:pStyle w:val="23"/>
        <w:numPr>
          <w:ilvl w:val="0"/>
          <w:numId w:val="0"/>
        </w:numPr>
        <w:ind w:leftChars="0"/>
        <w:jc w:val="both"/>
        <w:rPr>
          <w:rFonts w:hint="default" w:ascii="Times New Roman" w:hAnsi="Times New Roman" w:eastAsia="宋体" w:cs="Times New Roman"/>
          <w:b/>
          <w:bCs/>
          <w:color w:val="auto"/>
          <w:lang w:val="en-US" w:eastAsia="zh-CN"/>
        </w:rPr>
      </w:pPr>
    </w:p>
    <w:p w14:paraId="52D2E7DC">
      <w:pPr>
        <w:pStyle w:val="23"/>
        <w:numPr>
          <w:ilvl w:val="0"/>
          <w:numId w:val="0"/>
        </w:numPr>
        <w:ind w:leftChars="0"/>
        <w:jc w:val="both"/>
        <w:rPr>
          <w:rFonts w:hint="default" w:ascii="Times New Roman" w:hAnsi="Times New Roman" w:eastAsia="宋体" w:cs="Times New Roman"/>
          <w:b/>
          <w:bCs/>
          <w:color w:val="auto"/>
          <w:lang w:eastAsia="zh-CN"/>
        </w:rPr>
      </w:pPr>
    </w:p>
    <w:p w14:paraId="100CE6B4">
      <w:pPr>
        <w:pStyle w:val="23"/>
        <w:numPr>
          <w:ilvl w:val="0"/>
          <w:numId w:val="0"/>
        </w:numPr>
        <w:ind w:leftChars="0"/>
        <w:jc w:val="both"/>
        <w:rPr>
          <w:rFonts w:hint="default" w:ascii="Times New Roman" w:hAnsi="Times New Roman" w:eastAsia="宋体" w:cs="Times New Roman"/>
          <w:b/>
          <w:bCs/>
          <w:color w:val="auto"/>
          <w:lang w:eastAsia="zh-CN"/>
        </w:rPr>
      </w:pPr>
    </w:p>
    <w:p w14:paraId="4538A7F2">
      <w:pPr>
        <w:pStyle w:val="23"/>
        <w:numPr>
          <w:ilvl w:val="0"/>
          <w:numId w:val="0"/>
        </w:numPr>
        <w:ind w:leftChars="0"/>
        <w:jc w:val="both"/>
        <w:rPr>
          <w:rFonts w:hint="default" w:ascii="Times New Roman" w:hAnsi="Times New Roman" w:eastAsia="宋体" w:cs="Times New Roman"/>
          <w:b/>
          <w:bCs/>
          <w:color w:val="auto"/>
          <w:lang w:eastAsia="zh-CN"/>
        </w:rPr>
      </w:pPr>
    </w:p>
    <w:p w14:paraId="4A4AD280">
      <w:pPr>
        <w:pStyle w:val="23"/>
        <w:numPr>
          <w:ilvl w:val="0"/>
          <w:numId w:val="0"/>
        </w:numPr>
        <w:ind w:leftChars="0"/>
        <w:jc w:val="both"/>
        <w:rPr>
          <w:rFonts w:hint="default" w:ascii="Times New Roman" w:hAnsi="Times New Roman" w:eastAsia="宋体" w:cs="Times New Roman"/>
          <w:b/>
          <w:bCs/>
          <w:color w:val="auto"/>
          <w:lang w:eastAsia="zh-CN"/>
        </w:rPr>
      </w:pPr>
    </w:p>
    <w:p w14:paraId="7FA58576">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r>
        <w:rPr>
          <w:rFonts w:hint="default" w:ascii="Times New Roman" w:hAnsi="Times New Roman" w:eastAsia="宋体" w:cs="Times New Roman"/>
          <w:b/>
          <w:bCs/>
          <w:color w:val="auto"/>
          <w:lang w:eastAsia="zh-CN"/>
        </w:rPr>
        <w:t>附件</w:t>
      </w:r>
      <w:r>
        <w:rPr>
          <w:rFonts w:hint="default" w:ascii="Times New Roman" w:hAnsi="Times New Roman" w:cs="Times New Roman"/>
          <w:b/>
          <w:bCs/>
          <w:color w:val="auto"/>
          <w:lang w:eastAsia="zh-CN"/>
        </w:rPr>
        <w:t>六、声环境质量现状监测报告</w:t>
      </w:r>
    </w:p>
    <w:p w14:paraId="56465C40">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r>
        <w:rPr>
          <w:rFonts w:hint="default" w:ascii="Times New Roman" w:hAnsi="Times New Roman" w:cs="Times New Roman"/>
        </w:rPr>
        <w:drawing>
          <wp:inline distT="0" distB="0" distL="114300" distR="114300">
            <wp:extent cx="5271135" cy="7487920"/>
            <wp:effectExtent l="0" t="0" r="5715" b="1778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7"/>
                    <a:stretch>
                      <a:fillRect/>
                    </a:stretch>
                  </pic:blipFill>
                  <pic:spPr>
                    <a:xfrm>
                      <a:off x="0" y="0"/>
                      <a:ext cx="5271135" cy="748792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5269865" cy="7242810"/>
            <wp:effectExtent l="0" t="0" r="6985" b="1524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8"/>
                    <a:stretch>
                      <a:fillRect/>
                    </a:stretch>
                  </pic:blipFill>
                  <pic:spPr>
                    <a:xfrm>
                      <a:off x="0" y="0"/>
                      <a:ext cx="5269865" cy="724281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5205730" cy="7376160"/>
            <wp:effectExtent l="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9"/>
                    <a:srcRect l="1241" b="667"/>
                    <a:stretch>
                      <a:fillRect/>
                    </a:stretch>
                  </pic:blipFill>
                  <pic:spPr>
                    <a:xfrm>
                      <a:off x="0" y="0"/>
                      <a:ext cx="5205730" cy="737616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5161280" cy="7357110"/>
            <wp:effectExtent l="0" t="0" r="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0"/>
                    <a:srcRect l="699" t="690" r="1385" b="588"/>
                    <a:stretch>
                      <a:fillRect/>
                    </a:stretch>
                  </pic:blipFill>
                  <pic:spPr>
                    <a:xfrm>
                      <a:off x="0" y="0"/>
                      <a:ext cx="5161280" cy="735711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5218430" cy="7124700"/>
            <wp:effectExtent l="0" t="0" r="0" b="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31"/>
                    <a:srcRect t="1415" r="1036" b="594"/>
                    <a:stretch>
                      <a:fillRect/>
                    </a:stretch>
                  </pic:blipFill>
                  <pic:spPr>
                    <a:xfrm>
                      <a:off x="0" y="0"/>
                      <a:ext cx="5218430" cy="712470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5133975" cy="7362825"/>
            <wp:effectExtent l="0" t="0" r="0" b="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32"/>
                    <a:srcRect l="1603" t="585" r="976" b="1136"/>
                    <a:stretch>
                      <a:fillRect/>
                    </a:stretch>
                  </pic:blipFill>
                  <pic:spPr>
                    <a:xfrm>
                      <a:off x="0" y="0"/>
                      <a:ext cx="5133975" cy="7362825"/>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5199380" cy="7328535"/>
            <wp:effectExtent l="0" t="0" r="0" b="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33"/>
                    <a:srcRect l="699" t="640" r="663" b="904"/>
                    <a:stretch>
                      <a:fillRect/>
                    </a:stretch>
                  </pic:blipFill>
                  <pic:spPr>
                    <a:xfrm>
                      <a:off x="0" y="0"/>
                      <a:ext cx="5199380" cy="7328535"/>
                    </a:xfrm>
                    <a:prstGeom prst="rect">
                      <a:avLst/>
                    </a:prstGeom>
                    <a:noFill/>
                    <a:ln>
                      <a:noFill/>
                    </a:ln>
                  </pic:spPr>
                </pic:pic>
              </a:graphicData>
            </a:graphic>
          </wp:inline>
        </w:drawing>
      </w:r>
    </w:p>
    <w:p w14:paraId="5E8F8E49">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eastAsia="宋体" w:cs="Times New Roman"/>
          <w:b/>
          <w:bCs/>
          <w:color w:val="auto"/>
          <w:lang w:eastAsia="zh-CN"/>
        </w:rPr>
      </w:pPr>
    </w:p>
    <w:p w14:paraId="53E456E6">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eastAsia="宋体" w:cs="Times New Roman"/>
          <w:b/>
          <w:bCs/>
          <w:color w:val="auto"/>
          <w:lang w:eastAsia="zh-CN"/>
        </w:rPr>
      </w:pPr>
    </w:p>
    <w:p w14:paraId="0B58B0D5">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eastAsia="宋体" w:cs="Times New Roman"/>
          <w:b/>
          <w:bCs/>
          <w:color w:val="auto"/>
          <w:lang w:eastAsia="zh-CN"/>
        </w:rPr>
      </w:pPr>
    </w:p>
    <w:p w14:paraId="26DF4667">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eastAsia="宋体" w:cs="Times New Roman"/>
          <w:b/>
          <w:bCs/>
          <w:color w:val="auto"/>
          <w:lang w:eastAsia="zh-CN"/>
        </w:rPr>
      </w:pPr>
    </w:p>
    <w:p w14:paraId="0329D387">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eastAsia="宋体" w:cs="Times New Roman"/>
          <w:b/>
          <w:bCs/>
          <w:color w:val="auto"/>
          <w:lang w:eastAsia="zh-CN"/>
        </w:rPr>
      </w:pPr>
    </w:p>
    <w:p w14:paraId="4D565C2B">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r>
        <w:rPr>
          <w:rFonts w:hint="default" w:ascii="Times New Roman" w:hAnsi="Times New Roman" w:eastAsia="宋体" w:cs="Times New Roman"/>
          <w:b/>
          <w:bCs/>
          <w:color w:val="auto"/>
          <w:lang w:eastAsia="zh-CN"/>
        </w:rPr>
        <w:t>附件</w:t>
      </w:r>
      <w:r>
        <w:rPr>
          <w:rFonts w:hint="default" w:ascii="Times New Roman" w:hAnsi="Times New Roman" w:cs="Times New Roman"/>
          <w:b/>
          <w:bCs/>
          <w:color w:val="auto"/>
          <w:lang w:eastAsia="zh-CN"/>
        </w:rPr>
        <w:t>七</w:t>
      </w:r>
      <w:r>
        <w:rPr>
          <w:rFonts w:hint="default" w:ascii="Times New Roman" w:hAnsi="Times New Roman" w:eastAsia="宋体" w:cs="Times New Roman"/>
          <w:b/>
          <w:bCs/>
          <w:color w:val="auto"/>
          <w:lang w:eastAsia="zh-CN"/>
        </w:rPr>
        <w:t>、</w:t>
      </w:r>
      <w:r>
        <w:rPr>
          <w:rFonts w:hint="default" w:ascii="Times New Roman" w:hAnsi="Times New Roman" w:cs="Times New Roman"/>
          <w:b/>
          <w:bCs/>
          <w:color w:val="auto"/>
          <w:lang w:eastAsia="zh-CN"/>
        </w:rPr>
        <w:t>承诺书</w:t>
      </w:r>
    </w:p>
    <w:p w14:paraId="2FB77D9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8"/>
          <w:szCs w:val="28"/>
        </w:rPr>
        <w:drawing>
          <wp:inline distT="0" distB="0" distL="114300" distR="114300">
            <wp:extent cx="5210810" cy="7378700"/>
            <wp:effectExtent l="0" t="0" r="8890" b="12700"/>
            <wp:docPr id="26" name="图片 26" descr="b83379d2d417947147529c6b4d05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83379d2d417947147529c6b4d05e96"/>
                    <pic:cNvPicPr>
                      <a:picLocks noChangeAspect="1"/>
                    </pic:cNvPicPr>
                  </pic:nvPicPr>
                  <pic:blipFill>
                    <a:blip r:embed="rId34"/>
                    <a:srcRect l="1180" t="425"/>
                    <a:stretch>
                      <a:fillRect/>
                    </a:stretch>
                  </pic:blipFill>
                  <pic:spPr>
                    <a:xfrm>
                      <a:off x="0" y="0"/>
                      <a:ext cx="5210810" cy="7378700"/>
                    </a:xfrm>
                    <a:prstGeom prst="rect">
                      <a:avLst/>
                    </a:prstGeom>
                  </pic:spPr>
                </pic:pic>
              </a:graphicData>
            </a:graphic>
          </wp:inline>
        </w:drawing>
      </w:r>
    </w:p>
    <w:p w14:paraId="2EC1397E">
      <w:pPr>
        <w:pStyle w:val="23"/>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imes New Roman" w:hAnsi="Times New Roman" w:cs="Times New Roman"/>
          <w:b/>
          <w:bCs/>
          <w:color w:val="auto"/>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2010601030101010101"/>
    <w:charset w:val="86"/>
    <w:family w:val="auto"/>
    <w:pitch w:val="default"/>
    <w:sig w:usb0="00000000" w:usb1="00000000" w:usb2="00000000" w:usb3="00000000" w:csb0="00040000" w:csb1="00000000"/>
  </w:font>
  <w:font w:name="Kingsoft U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4A4D3">
    <w:pPr>
      <w:pStyle w:val="15"/>
      <w:ind w:right="360"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3EAF1">
    <w:pPr>
      <w:pStyle w:val="15"/>
      <w:tabs>
        <w:tab w:val="clear" w:pos="4153"/>
      </w:tabs>
      <w:jc w:val="center"/>
      <w:rPr>
        <w:rFonts w:hint="eastAsia"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FEB23">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1C4FEB23">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2DA481"/>
    <w:multiLevelType w:val="singleLevel"/>
    <w:tmpl w:val="AC2DA481"/>
    <w:lvl w:ilvl="0" w:tentative="0">
      <w:start w:val="1"/>
      <w:numFmt w:val="decimal"/>
      <w:suff w:val="nothing"/>
      <w:lvlText w:val="（%1）"/>
      <w:lvlJc w:val="left"/>
    </w:lvl>
  </w:abstractNum>
  <w:abstractNum w:abstractNumId="1">
    <w:nsid w:val="B54BD590"/>
    <w:multiLevelType w:val="singleLevel"/>
    <w:tmpl w:val="B54BD590"/>
    <w:lvl w:ilvl="0" w:tentative="0">
      <w:start w:val="1"/>
      <w:numFmt w:val="decimal"/>
      <w:suff w:val="nothing"/>
      <w:lvlText w:val="（%1）"/>
      <w:lvlJc w:val="left"/>
    </w:lvl>
  </w:abstractNum>
  <w:abstractNum w:abstractNumId="2">
    <w:nsid w:val="D4F347B4"/>
    <w:multiLevelType w:val="singleLevel"/>
    <w:tmpl w:val="D4F347B4"/>
    <w:lvl w:ilvl="0" w:tentative="0">
      <w:start w:val="2"/>
      <w:numFmt w:val="decimal"/>
      <w:suff w:val="nothing"/>
      <w:lvlText w:val="%1、"/>
      <w:lvlJc w:val="left"/>
    </w:lvl>
  </w:abstractNum>
  <w:abstractNum w:abstractNumId="3">
    <w:nsid w:val="1EFF50C0"/>
    <w:multiLevelType w:val="multilevel"/>
    <w:tmpl w:val="1EFF50C0"/>
    <w:lvl w:ilvl="0" w:tentative="0">
      <w:start w:val="1"/>
      <w:numFmt w:val="decimal"/>
      <w:pStyle w:val="31"/>
      <w:lvlText w:val="表%1. "/>
      <w:lvlJc w:val="left"/>
      <w:pPr>
        <w:ind w:left="2116"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1502D5C"/>
    <w:multiLevelType w:val="singleLevel"/>
    <w:tmpl w:val="61502D5C"/>
    <w:lvl w:ilvl="0" w:tentative="0">
      <w:start w:val="1"/>
      <w:numFmt w:val="decimal"/>
      <w:suff w:val="nothing"/>
      <w:lvlText w:val="（%1）"/>
      <w:lvlJc w:val="left"/>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1NTRjNzNmODI1OGQyNmI1YWU5MWI4NWM0YTgyMzcifQ=="/>
  </w:docVars>
  <w:rsids>
    <w:rsidRoot w:val="00000000"/>
    <w:rsid w:val="000E7463"/>
    <w:rsid w:val="00207852"/>
    <w:rsid w:val="00247343"/>
    <w:rsid w:val="002610D4"/>
    <w:rsid w:val="002D5EA2"/>
    <w:rsid w:val="003F417C"/>
    <w:rsid w:val="004F3CB2"/>
    <w:rsid w:val="00541301"/>
    <w:rsid w:val="00553601"/>
    <w:rsid w:val="00563274"/>
    <w:rsid w:val="005A0FB6"/>
    <w:rsid w:val="005A7830"/>
    <w:rsid w:val="00920750"/>
    <w:rsid w:val="009F2E6D"/>
    <w:rsid w:val="00A41E1A"/>
    <w:rsid w:val="00B06E28"/>
    <w:rsid w:val="00B170C8"/>
    <w:rsid w:val="00BC3A1F"/>
    <w:rsid w:val="00BE7797"/>
    <w:rsid w:val="00BF0E19"/>
    <w:rsid w:val="00EA3316"/>
    <w:rsid w:val="00F941FA"/>
    <w:rsid w:val="010923F9"/>
    <w:rsid w:val="010A29DC"/>
    <w:rsid w:val="013C06BC"/>
    <w:rsid w:val="01410F36"/>
    <w:rsid w:val="016F3463"/>
    <w:rsid w:val="01973B44"/>
    <w:rsid w:val="019830EB"/>
    <w:rsid w:val="01A26771"/>
    <w:rsid w:val="01A87AFF"/>
    <w:rsid w:val="01AC5842"/>
    <w:rsid w:val="01C0753F"/>
    <w:rsid w:val="01C17A5F"/>
    <w:rsid w:val="01C95207"/>
    <w:rsid w:val="01D620C3"/>
    <w:rsid w:val="01F36FCC"/>
    <w:rsid w:val="01F80A87"/>
    <w:rsid w:val="01FA47FF"/>
    <w:rsid w:val="01FF1E15"/>
    <w:rsid w:val="021B0976"/>
    <w:rsid w:val="025D08EA"/>
    <w:rsid w:val="02747DBF"/>
    <w:rsid w:val="02CE5CF7"/>
    <w:rsid w:val="02E37041"/>
    <w:rsid w:val="034A3564"/>
    <w:rsid w:val="035D39A0"/>
    <w:rsid w:val="036B5288"/>
    <w:rsid w:val="0374413D"/>
    <w:rsid w:val="03761548"/>
    <w:rsid w:val="03822CFE"/>
    <w:rsid w:val="03981F66"/>
    <w:rsid w:val="03A06FA8"/>
    <w:rsid w:val="03C01190"/>
    <w:rsid w:val="03C377B9"/>
    <w:rsid w:val="03C74BB5"/>
    <w:rsid w:val="03D33559"/>
    <w:rsid w:val="03DB6B51"/>
    <w:rsid w:val="03DD4B8B"/>
    <w:rsid w:val="04187EF1"/>
    <w:rsid w:val="041D6BC9"/>
    <w:rsid w:val="041E7C93"/>
    <w:rsid w:val="042C2C6A"/>
    <w:rsid w:val="04395ECC"/>
    <w:rsid w:val="0442423B"/>
    <w:rsid w:val="04904FA7"/>
    <w:rsid w:val="04932CE9"/>
    <w:rsid w:val="04A722F0"/>
    <w:rsid w:val="04B70785"/>
    <w:rsid w:val="04BB7F4A"/>
    <w:rsid w:val="04DA4474"/>
    <w:rsid w:val="04E66DC0"/>
    <w:rsid w:val="04E92909"/>
    <w:rsid w:val="04FD0162"/>
    <w:rsid w:val="04FD7047"/>
    <w:rsid w:val="050339CA"/>
    <w:rsid w:val="05092FAB"/>
    <w:rsid w:val="05094D59"/>
    <w:rsid w:val="050B6D23"/>
    <w:rsid w:val="050D4546"/>
    <w:rsid w:val="0519657D"/>
    <w:rsid w:val="05212B27"/>
    <w:rsid w:val="05377B18"/>
    <w:rsid w:val="0575419C"/>
    <w:rsid w:val="0577271C"/>
    <w:rsid w:val="05917228"/>
    <w:rsid w:val="05990A6F"/>
    <w:rsid w:val="05B87FA5"/>
    <w:rsid w:val="05D71325"/>
    <w:rsid w:val="05DB04A3"/>
    <w:rsid w:val="05E03D0C"/>
    <w:rsid w:val="05EF3F4F"/>
    <w:rsid w:val="05F07090"/>
    <w:rsid w:val="06023C82"/>
    <w:rsid w:val="06102AD0"/>
    <w:rsid w:val="06112117"/>
    <w:rsid w:val="061672A6"/>
    <w:rsid w:val="061B33AB"/>
    <w:rsid w:val="0624227E"/>
    <w:rsid w:val="06755470"/>
    <w:rsid w:val="06A50AB1"/>
    <w:rsid w:val="06A9433A"/>
    <w:rsid w:val="06C07699"/>
    <w:rsid w:val="06D21BAA"/>
    <w:rsid w:val="07013F3A"/>
    <w:rsid w:val="07381226"/>
    <w:rsid w:val="07434552"/>
    <w:rsid w:val="075311D4"/>
    <w:rsid w:val="075E138C"/>
    <w:rsid w:val="076B5857"/>
    <w:rsid w:val="076F3599"/>
    <w:rsid w:val="077A3CEC"/>
    <w:rsid w:val="077E1A2E"/>
    <w:rsid w:val="079310E1"/>
    <w:rsid w:val="07944DAE"/>
    <w:rsid w:val="07A319B7"/>
    <w:rsid w:val="07C21FD0"/>
    <w:rsid w:val="07ED44BE"/>
    <w:rsid w:val="080E1065"/>
    <w:rsid w:val="081B77B5"/>
    <w:rsid w:val="08217FA4"/>
    <w:rsid w:val="08451A7B"/>
    <w:rsid w:val="08514A4D"/>
    <w:rsid w:val="08534FC3"/>
    <w:rsid w:val="0854453D"/>
    <w:rsid w:val="085E534E"/>
    <w:rsid w:val="0869448C"/>
    <w:rsid w:val="086C0A51"/>
    <w:rsid w:val="086E19F5"/>
    <w:rsid w:val="08852948"/>
    <w:rsid w:val="0895702F"/>
    <w:rsid w:val="08B466DC"/>
    <w:rsid w:val="08BE3DCE"/>
    <w:rsid w:val="08DB5D52"/>
    <w:rsid w:val="08E25E9D"/>
    <w:rsid w:val="08F74842"/>
    <w:rsid w:val="090573C9"/>
    <w:rsid w:val="09063A89"/>
    <w:rsid w:val="090F0777"/>
    <w:rsid w:val="09105B16"/>
    <w:rsid w:val="09225432"/>
    <w:rsid w:val="0923693C"/>
    <w:rsid w:val="092B02A3"/>
    <w:rsid w:val="092B7994"/>
    <w:rsid w:val="093A1985"/>
    <w:rsid w:val="093E76C7"/>
    <w:rsid w:val="09414035"/>
    <w:rsid w:val="0959188D"/>
    <w:rsid w:val="095A6680"/>
    <w:rsid w:val="095E5FAE"/>
    <w:rsid w:val="097F75FA"/>
    <w:rsid w:val="09800888"/>
    <w:rsid w:val="09B72FD5"/>
    <w:rsid w:val="09C37BCC"/>
    <w:rsid w:val="09CA4D23"/>
    <w:rsid w:val="09CF6571"/>
    <w:rsid w:val="09DB2A13"/>
    <w:rsid w:val="09DB3168"/>
    <w:rsid w:val="09E85885"/>
    <w:rsid w:val="09FC30DE"/>
    <w:rsid w:val="0A0F696E"/>
    <w:rsid w:val="0A252635"/>
    <w:rsid w:val="0A326203"/>
    <w:rsid w:val="0A374116"/>
    <w:rsid w:val="0A430D0D"/>
    <w:rsid w:val="0A8A512A"/>
    <w:rsid w:val="0A994B5A"/>
    <w:rsid w:val="0A9E5F43"/>
    <w:rsid w:val="0AB354FC"/>
    <w:rsid w:val="0AB85257"/>
    <w:rsid w:val="0AEC727C"/>
    <w:rsid w:val="0B024724"/>
    <w:rsid w:val="0B044987"/>
    <w:rsid w:val="0B0C5A8C"/>
    <w:rsid w:val="0B183F48"/>
    <w:rsid w:val="0B2367D5"/>
    <w:rsid w:val="0B2428ED"/>
    <w:rsid w:val="0B2534FF"/>
    <w:rsid w:val="0B2621C1"/>
    <w:rsid w:val="0B350656"/>
    <w:rsid w:val="0B4C455B"/>
    <w:rsid w:val="0B6007F2"/>
    <w:rsid w:val="0B680A2B"/>
    <w:rsid w:val="0B7849E6"/>
    <w:rsid w:val="0B88298D"/>
    <w:rsid w:val="0B9A670B"/>
    <w:rsid w:val="0BAF6137"/>
    <w:rsid w:val="0BB04180"/>
    <w:rsid w:val="0BBE58FD"/>
    <w:rsid w:val="0BD7170D"/>
    <w:rsid w:val="0BDE6F3F"/>
    <w:rsid w:val="0BE107DE"/>
    <w:rsid w:val="0BEB6F66"/>
    <w:rsid w:val="0C000C64"/>
    <w:rsid w:val="0C142961"/>
    <w:rsid w:val="0C1618B2"/>
    <w:rsid w:val="0C1B5AE1"/>
    <w:rsid w:val="0C206374"/>
    <w:rsid w:val="0C310190"/>
    <w:rsid w:val="0C436DA2"/>
    <w:rsid w:val="0C476893"/>
    <w:rsid w:val="0C650A72"/>
    <w:rsid w:val="0C796C68"/>
    <w:rsid w:val="0C7B4653"/>
    <w:rsid w:val="0CA5332B"/>
    <w:rsid w:val="0CAB5C71"/>
    <w:rsid w:val="0CB56FDE"/>
    <w:rsid w:val="0CB90E13"/>
    <w:rsid w:val="0CC222FA"/>
    <w:rsid w:val="0CD01F46"/>
    <w:rsid w:val="0CD30126"/>
    <w:rsid w:val="0CDF4D1D"/>
    <w:rsid w:val="0D051E9D"/>
    <w:rsid w:val="0D322101"/>
    <w:rsid w:val="0D3D37F2"/>
    <w:rsid w:val="0D42677B"/>
    <w:rsid w:val="0D587038"/>
    <w:rsid w:val="0D591407"/>
    <w:rsid w:val="0D671F88"/>
    <w:rsid w:val="0D71793F"/>
    <w:rsid w:val="0DA90E87"/>
    <w:rsid w:val="0DB937C0"/>
    <w:rsid w:val="0DCA158B"/>
    <w:rsid w:val="0DD30BCF"/>
    <w:rsid w:val="0DDC0B3A"/>
    <w:rsid w:val="0DDF0D4D"/>
    <w:rsid w:val="0DDF2AFB"/>
    <w:rsid w:val="0DFE7425"/>
    <w:rsid w:val="0DFF1B83"/>
    <w:rsid w:val="0DFF319D"/>
    <w:rsid w:val="0E0903C3"/>
    <w:rsid w:val="0E3177FA"/>
    <w:rsid w:val="0E455347"/>
    <w:rsid w:val="0E5057A7"/>
    <w:rsid w:val="0E6354DA"/>
    <w:rsid w:val="0E686F94"/>
    <w:rsid w:val="0E7262FB"/>
    <w:rsid w:val="0E760C28"/>
    <w:rsid w:val="0E821C25"/>
    <w:rsid w:val="0E824BBE"/>
    <w:rsid w:val="0EAB7F23"/>
    <w:rsid w:val="0EAD2BF9"/>
    <w:rsid w:val="0EB61AAE"/>
    <w:rsid w:val="0ED32660"/>
    <w:rsid w:val="0EE303C9"/>
    <w:rsid w:val="0EF820C6"/>
    <w:rsid w:val="0F3B6457"/>
    <w:rsid w:val="0F423341"/>
    <w:rsid w:val="0F5138B4"/>
    <w:rsid w:val="0F655282"/>
    <w:rsid w:val="0F67447A"/>
    <w:rsid w:val="0F7554C5"/>
    <w:rsid w:val="0F7F4595"/>
    <w:rsid w:val="0F851480"/>
    <w:rsid w:val="0F882744"/>
    <w:rsid w:val="0F890F70"/>
    <w:rsid w:val="0F962BDC"/>
    <w:rsid w:val="0F9A13CF"/>
    <w:rsid w:val="0F9E1418"/>
    <w:rsid w:val="0FA45DAA"/>
    <w:rsid w:val="0FC24482"/>
    <w:rsid w:val="0FC24BDA"/>
    <w:rsid w:val="0FE5370A"/>
    <w:rsid w:val="0FEE5277"/>
    <w:rsid w:val="0FF256A4"/>
    <w:rsid w:val="100B7BD7"/>
    <w:rsid w:val="103435D2"/>
    <w:rsid w:val="10374E70"/>
    <w:rsid w:val="104024BB"/>
    <w:rsid w:val="104430E9"/>
    <w:rsid w:val="10516B48"/>
    <w:rsid w:val="105C1028"/>
    <w:rsid w:val="108552A4"/>
    <w:rsid w:val="10891446"/>
    <w:rsid w:val="108F3FC5"/>
    <w:rsid w:val="10913B9A"/>
    <w:rsid w:val="10F1501F"/>
    <w:rsid w:val="10F81694"/>
    <w:rsid w:val="10FA207E"/>
    <w:rsid w:val="10FB40F0"/>
    <w:rsid w:val="11087D04"/>
    <w:rsid w:val="11230F50"/>
    <w:rsid w:val="11513D10"/>
    <w:rsid w:val="117660A5"/>
    <w:rsid w:val="11805965"/>
    <w:rsid w:val="11830E1E"/>
    <w:rsid w:val="11A6615B"/>
    <w:rsid w:val="11BA7B07"/>
    <w:rsid w:val="11D63164"/>
    <w:rsid w:val="11E3705D"/>
    <w:rsid w:val="11F748B7"/>
    <w:rsid w:val="12062D4C"/>
    <w:rsid w:val="12080872"/>
    <w:rsid w:val="12170AB5"/>
    <w:rsid w:val="12185560"/>
    <w:rsid w:val="122E770C"/>
    <w:rsid w:val="12394ECF"/>
    <w:rsid w:val="123A47A4"/>
    <w:rsid w:val="124C6EC3"/>
    <w:rsid w:val="12502219"/>
    <w:rsid w:val="125E7EA7"/>
    <w:rsid w:val="126161D4"/>
    <w:rsid w:val="126B26FB"/>
    <w:rsid w:val="127B5C15"/>
    <w:rsid w:val="129E11D6"/>
    <w:rsid w:val="12B97DBE"/>
    <w:rsid w:val="12BE7183"/>
    <w:rsid w:val="12D04739"/>
    <w:rsid w:val="12D93FBD"/>
    <w:rsid w:val="12E50A61"/>
    <w:rsid w:val="12F57F45"/>
    <w:rsid w:val="13076D7C"/>
    <w:rsid w:val="13187EA5"/>
    <w:rsid w:val="1324792E"/>
    <w:rsid w:val="1332191F"/>
    <w:rsid w:val="134209F0"/>
    <w:rsid w:val="135E2714"/>
    <w:rsid w:val="136E6DFB"/>
    <w:rsid w:val="137D0DEC"/>
    <w:rsid w:val="1385473A"/>
    <w:rsid w:val="13904FC3"/>
    <w:rsid w:val="1395604C"/>
    <w:rsid w:val="13A13C78"/>
    <w:rsid w:val="13BD568C"/>
    <w:rsid w:val="13DF413D"/>
    <w:rsid w:val="13E81F71"/>
    <w:rsid w:val="13EE5846"/>
    <w:rsid w:val="13F00AE3"/>
    <w:rsid w:val="14045069"/>
    <w:rsid w:val="14107EB2"/>
    <w:rsid w:val="14123C2A"/>
    <w:rsid w:val="141A00E2"/>
    <w:rsid w:val="143A6CDD"/>
    <w:rsid w:val="148461AA"/>
    <w:rsid w:val="148B3731"/>
    <w:rsid w:val="148D7FF2"/>
    <w:rsid w:val="14956609"/>
    <w:rsid w:val="149F4D92"/>
    <w:rsid w:val="14A35BAB"/>
    <w:rsid w:val="14AF1479"/>
    <w:rsid w:val="14B723B5"/>
    <w:rsid w:val="14F74BCE"/>
    <w:rsid w:val="14FB56DC"/>
    <w:rsid w:val="15000D6C"/>
    <w:rsid w:val="150B2427"/>
    <w:rsid w:val="15372643"/>
    <w:rsid w:val="1537321C"/>
    <w:rsid w:val="154C6CC8"/>
    <w:rsid w:val="158421C3"/>
    <w:rsid w:val="15940E51"/>
    <w:rsid w:val="15981F0D"/>
    <w:rsid w:val="159B5EE6"/>
    <w:rsid w:val="15C251DC"/>
    <w:rsid w:val="15CC1BB7"/>
    <w:rsid w:val="15D55597"/>
    <w:rsid w:val="15DA2525"/>
    <w:rsid w:val="15DF5D8E"/>
    <w:rsid w:val="15F86E50"/>
    <w:rsid w:val="15F874DA"/>
    <w:rsid w:val="15FD6214"/>
    <w:rsid w:val="16353C00"/>
    <w:rsid w:val="163D2AB4"/>
    <w:rsid w:val="16504596"/>
    <w:rsid w:val="165C77AB"/>
    <w:rsid w:val="166242C9"/>
    <w:rsid w:val="1666200B"/>
    <w:rsid w:val="16707AF8"/>
    <w:rsid w:val="16892307"/>
    <w:rsid w:val="169F551D"/>
    <w:rsid w:val="16A9014A"/>
    <w:rsid w:val="16C9211E"/>
    <w:rsid w:val="16CC3B78"/>
    <w:rsid w:val="16D61DEB"/>
    <w:rsid w:val="16D67750"/>
    <w:rsid w:val="16DF76DC"/>
    <w:rsid w:val="16E80C72"/>
    <w:rsid w:val="16F22EBF"/>
    <w:rsid w:val="16FC296F"/>
    <w:rsid w:val="172A3039"/>
    <w:rsid w:val="172E3A9E"/>
    <w:rsid w:val="1731279C"/>
    <w:rsid w:val="17391C6C"/>
    <w:rsid w:val="17393EFC"/>
    <w:rsid w:val="17451C21"/>
    <w:rsid w:val="174C1201"/>
    <w:rsid w:val="17681DB3"/>
    <w:rsid w:val="177045AC"/>
    <w:rsid w:val="17842B8C"/>
    <w:rsid w:val="1791130A"/>
    <w:rsid w:val="179B3962"/>
    <w:rsid w:val="17AC2C33"/>
    <w:rsid w:val="17AC78A9"/>
    <w:rsid w:val="17BA0860"/>
    <w:rsid w:val="17CB7119"/>
    <w:rsid w:val="17E00E2D"/>
    <w:rsid w:val="17EA27C8"/>
    <w:rsid w:val="17EF7DDE"/>
    <w:rsid w:val="17F47A83"/>
    <w:rsid w:val="17FC71C7"/>
    <w:rsid w:val="18005E60"/>
    <w:rsid w:val="18037914"/>
    <w:rsid w:val="181A30AD"/>
    <w:rsid w:val="184B4CB4"/>
    <w:rsid w:val="1858668C"/>
    <w:rsid w:val="187325D8"/>
    <w:rsid w:val="18C14238"/>
    <w:rsid w:val="18C94AD3"/>
    <w:rsid w:val="18CD45C3"/>
    <w:rsid w:val="18CF153C"/>
    <w:rsid w:val="18D21BDA"/>
    <w:rsid w:val="18F338FE"/>
    <w:rsid w:val="190455CA"/>
    <w:rsid w:val="19162632"/>
    <w:rsid w:val="193C6C6F"/>
    <w:rsid w:val="19572911"/>
    <w:rsid w:val="195919B3"/>
    <w:rsid w:val="195B397D"/>
    <w:rsid w:val="19672D11"/>
    <w:rsid w:val="19692F42"/>
    <w:rsid w:val="197C6D73"/>
    <w:rsid w:val="197D7D98"/>
    <w:rsid w:val="19821E18"/>
    <w:rsid w:val="198B3B37"/>
    <w:rsid w:val="19921369"/>
    <w:rsid w:val="19A7353B"/>
    <w:rsid w:val="19BC1F42"/>
    <w:rsid w:val="19CE23A1"/>
    <w:rsid w:val="19D706F0"/>
    <w:rsid w:val="19E16A10"/>
    <w:rsid w:val="19E72803"/>
    <w:rsid w:val="19FC1C94"/>
    <w:rsid w:val="1A0C1B57"/>
    <w:rsid w:val="1A231FC1"/>
    <w:rsid w:val="1A2E2E40"/>
    <w:rsid w:val="1A355960"/>
    <w:rsid w:val="1A444411"/>
    <w:rsid w:val="1A450189"/>
    <w:rsid w:val="1A5473B3"/>
    <w:rsid w:val="1A75281D"/>
    <w:rsid w:val="1A7F18ED"/>
    <w:rsid w:val="1AB62E35"/>
    <w:rsid w:val="1ABE4E06"/>
    <w:rsid w:val="1ADF05DE"/>
    <w:rsid w:val="1AF424A5"/>
    <w:rsid w:val="1B056B32"/>
    <w:rsid w:val="1B0C4116"/>
    <w:rsid w:val="1B0D514B"/>
    <w:rsid w:val="1B41324C"/>
    <w:rsid w:val="1B48001A"/>
    <w:rsid w:val="1B4B7A22"/>
    <w:rsid w:val="1B6626CA"/>
    <w:rsid w:val="1B735E51"/>
    <w:rsid w:val="1B9E3FF5"/>
    <w:rsid w:val="1BC577D4"/>
    <w:rsid w:val="1BC964E4"/>
    <w:rsid w:val="1BD47A17"/>
    <w:rsid w:val="1BE64D26"/>
    <w:rsid w:val="1BED2887"/>
    <w:rsid w:val="1BF105C9"/>
    <w:rsid w:val="1C054074"/>
    <w:rsid w:val="1C33074E"/>
    <w:rsid w:val="1C522EC3"/>
    <w:rsid w:val="1C641230"/>
    <w:rsid w:val="1C6F7740"/>
    <w:rsid w:val="1C744D56"/>
    <w:rsid w:val="1CB23B3E"/>
    <w:rsid w:val="1CB735C0"/>
    <w:rsid w:val="1CC37203"/>
    <w:rsid w:val="1CC730D8"/>
    <w:rsid w:val="1CF10D56"/>
    <w:rsid w:val="1D012A8E"/>
    <w:rsid w:val="1D17405F"/>
    <w:rsid w:val="1D195E79"/>
    <w:rsid w:val="1D307A6A"/>
    <w:rsid w:val="1D31399F"/>
    <w:rsid w:val="1D472B1D"/>
    <w:rsid w:val="1D57445C"/>
    <w:rsid w:val="1D677FC0"/>
    <w:rsid w:val="1D750D86"/>
    <w:rsid w:val="1D796AC8"/>
    <w:rsid w:val="1D7C0366"/>
    <w:rsid w:val="1D8773D9"/>
    <w:rsid w:val="1D976F4E"/>
    <w:rsid w:val="1D9E3644"/>
    <w:rsid w:val="1DA87390"/>
    <w:rsid w:val="1DB722E0"/>
    <w:rsid w:val="1DC07CF2"/>
    <w:rsid w:val="1DE04D54"/>
    <w:rsid w:val="1DEA1774"/>
    <w:rsid w:val="1DF60118"/>
    <w:rsid w:val="1DFE6FCD"/>
    <w:rsid w:val="1E0A7720"/>
    <w:rsid w:val="1E341A0C"/>
    <w:rsid w:val="1E37603B"/>
    <w:rsid w:val="1E3765B1"/>
    <w:rsid w:val="1E5866DD"/>
    <w:rsid w:val="1E6E7EF3"/>
    <w:rsid w:val="1E845724"/>
    <w:rsid w:val="1E890F8D"/>
    <w:rsid w:val="1EA336D1"/>
    <w:rsid w:val="1EFF4DAB"/>
    <w:rsid w:val="1F672DAF"/>
    <w:rsid w:val="1F6F2E53"/>
    <w:rsid w:val="1F720C23"/>
    <w:rsid w:val="1F813A12"/>
    <w:rsid w:val="1F971487"/>
    <w:rsid w:val="1FA15E62"/>
    <w:rsid w:val="1FAB6CE1"/>
    <w:rsid w:val="1FCF567D"/>
    <w:rsid w:val="1FE12702"/>
    <w:rsid w:val="1FE81CE3"/>
    <w:rsid w:val="1FEF6BCD"/>
    <w:rsid w:val="1FF73CD4"/>
    <w:rsid w:val="1FFC24D0"/>
    <w:rsid w:val="20097C80"/>
    <w:rsid w:val="201605FE"/>
    <w:rsid w:val="202335F9"/>
    <w:rsid w:val="20234AC9"/>
    <w:rsid w:val="20286583"/>
    <w:rsid w:val="20344F28"/>
    <w:rsid w:val="204333BD"/>
    <w:rsid w:val="205B4263"/>
    <w:rsid w:val="205E1FA5"/>
    <w:rsid w:val="206C46C2"/>
    <w:rsid w:val="207672EF"/>
    <w:rsid w:val="20874856"/>
    <w:rsid w:val="209B6D55"/>
    <w:rsid w:val="209D487B"/>
    <w:rsid w:val="20A0436C"/>
    <w:rsid w:val="20BA05D0"/>
    <w:rsid w:val="20BD4F1E"/>
    <w:rsid w:val="20F3093F"/>
    <w:rsid w:val="20FD356C"/>
    <w:rsid w:val="210743EB"/>
    <w:rsid w:val="2110329F"/>
    <w:rsid w:val="211D3C0E"/>
    <w:rsid w:val="21265B86"/>
    <w:rsid w:val="212C5BFF"/>
    <w:rsid w:val="212D6803"/>
    <w:rsid w:val="213351E0"/>
    <w:rsid w:val="21445B1A"/>
    <w:rsid w:val="215A451A"/>
    <w:rsid w:val="215D400B"/>
    <w:rsid w:val="21625939"/>
    <w:rsid w:val="21674CE3"/>
    <w:rsid w:val="216D6944"/>
    <w:rsid w:val="218617B3"/>
    <w:rsid w:val="219713B7"/>
    <w:rsid w:val="2197751D"/>
    <w:rsid w:val="21A810FD"/>
    <w:rsid w:val="21AB7818"/>
    <w:rsid w:val="21AC26B7"/>
    <w:rsid w:val="21B93937"/>
    <w:rsid w:val="21C4408A"/>
    <w:rsid w:val="21D20555"/>
    <w:rsid w:val="21EA1D42"/>
    <w:rsid w:val="21EF7359"/>
    <w:rsid w:val="21F364EB"/>
    <w:rsid w:val="21F7445F"/>
    <w:rsid w:val="21F901D7"/>
    <w:rsid w:val="21F94D1F"/>
    <w:rsid w:val="220A1FA0"/>
    <w:rsid w:val="222114DC"/>
    <w:rsid w:val="22237002"/>
    <w:rsid w:val="222A07C5"/>
    <w:rsid w:val="22394A78"/>
    <w:rsid w:val="223B582C"/>
    <w:rsid w:val="224376A4"/>
    <w:rsid w:val="225430C2"/>
    <w:rsid w:val="225A7674"/>
    <w:rsid w:val="22670BB5"/>
    <w:rsid w:val="226B2757"/>
    <w:rsid w:val="227B0BEC"/>
    <w:rsid w:val="22811BF8"/>
    <w:rsid w:val="228671EB"/>
    <w:rsid w:val="228D287C"/>
    <w:rsid w:val="22A7378F"/>
    <w:rsid w:val="22A81832"/>
    <w:rsid w:val="22BE58CE"/>
    <w:rsid w:val="22D87DED"/>
    <w:rsid w:val="22DD4148"/>
    <w:rsid w:val="22E569AE"/>
    <w:rsid w:val="22E9024C"/>
    <w:rsid w:val="23005595"/>
    <w:rsid w:val="230706D2"/>
    <w:rsid w:val="23113063"/>
    <w:rsid w:val="23243032"/>
    <w:rsid w:val="23692F0B"/>
    <w:rsid w:val="23846E58"/>
    <w:rsid w:val="238735C1"/>
    <w:rsid w:val="23AA6B86"/>
    <w:rsid w:val="23BE21BE"/>
    <w:rsid w:val="23C44815"/>
    <w:rsid w:val="23C6233B"/>
    <w:rsid w:val="23DB5AE8"/>
    <w:rsid w:val="23E32EED"/>
    <w:rsid w:val="23E86271"/>
    <w:rsid w:val="23E91BF9"/>
    <w:rsid w:val="240039B2"/>
    <w:rsid w:val="240510B5"/>
    <w:rsid w:val="240C1B98"/>
    <w:rsid w:val="240D7F6A"/>
    <w:rsid w:val="241305B1"/>
    <w:rsid w:val="2426102C"/>
    <w:rsid w:val="24521E21"/>
    <w:rsid w:val="2466766F"/>
    <w:rsid w:val="247C1225"/>
    <w:rsid w:val="247C2C18"/>
    <w:rsid w:val="2489508F"/>
    <w:rsid w:val="248A15BB"/>
    <w:rsid w:val="248C5333"/>
    <w:rsid w:val="24A87C93"/>
    <w:rsid w:val="24AA7567"/>
    <w:rsid w:val="24BB1774"/>
    <w:rsid w:val="24D54EB8"/>
    <w:rsid w:val="24E9594A"/>
    <w:rsid w:val="251B2213"/>
    <w:rsid w:val="25234DFA"/>
    <w:rsid w:val="252B661C"/>
    <w:rsid w:val="252B7B0E"/>
    <w:rsid w:val="2533755C"/>
    <w:rsid w:val="25506360"/>
    <w:rsid w:val="256376A5"/>
    <w:rsid w:val="256F255E"/>
    <w:rsid w:val="256F74E2"/>
    <w:rsid w:val="25806AFD"/>
    <w:rsid w:val="258424AE"/>
    <w:rsid w:val="25854DB1"/>
    <w:rsid w:val="25861D82"/>
    <w:rsid w:val="25A92244"/>
    <w:rsid w:val="25A95A70"/>
    <w:rsid w:val="25BB2056"/>
    <w:rsid w:val="25BD1FE8"/>
    <w:rsid w:val="25E22D30"/>
    <w:rsid w:val="25F7277A"/>
    <w:rsid w:val="260929B3"/>
    <w:rsid w:val="26121868"/>
    <w:rsid w:val="2613129A"/>
    <w:rsid w:val="26154EB4"/>
    <w:rsid w:val="261849A4"/>
    <w:rsid w:val="264659B5"/>
    <w:rsid w:val="265E2CFF"/>
    <w:rsid w:val="268D7140"/>
    <w:rsid w:val="26926A44"/>
    <w:rsid w:val="26A115D6"/>
    <w:rsid w:val="26D71E4A"/>
    <w:rsid w:val="26E26749"/>
    <w:rsid w:val="26F012E3"/>
    <w:rsid w:val="26FB67A0"/>
    <w:rsid w:val="27181100"/>
    <w:rsid w:val="271D64CE"/>
    <w:rsid w:val="27386687"/>
    <w:rsid w:val="275027EC"/>
    <w:rsid w:val="27764078"/>
    <w:rsid w:val="27814EF7"/>
    <w:rsid w:val="278B37F1"/>
    <w:rsid w:val="27A401A2"/>
    <w:rsid w:val="27DC13F0"/>
    <w:rsid w:val="27E43141"/>
    <w:rsid w:val="27FD02F5"/>
    <w:rsid w:val="2802590C"/>
    <w:rsid w:val="281D135F"/>
    <w:rsid w:val="28297506"/>
    <w:rsid w:val="282A3FEF"/>
    <w:rsid w:val="28355CE1"/>
    <w:rsid w:val="28373807"/>
    <w:rsid w:val="285C7451"/>
    <w:rsid w:val="28733D67"/>
    <w:rsid w:val="28A40771"/>
    <w:rsid w:val="28B37BA6"/>
    <w:rsid w:val="28BA60AE"/>
    <w:rsid w:val="28C11323"/>
    <w:rsid w:val="28C33694"/>
    <w:rsid w:val="28E808A4"/>
    <w:rsid w:val="28FB65E3"/>
    <w:rsid w:val="29032F4C"/>
    <w:rsid w:val="292F3B00"/>
    <w:rsid w:val="29303A19"/>
    <w:rsid w:val="2947617E"/>
    <w:rsid w:val="2952729F"/>
    <w:rsid w:val="295B0FFE"/>
    <w:rsid w:val="2967428C"/>
    <w:rsid w:val="29945951"/>
    <w:rsid w:val="29B9024C"/>
    <w:rsid w:val="29C410CB"/>
    <w:rsid w:val="29CC00E0"/>
    <w:rsid w:val="29D124F9"/>
    <w:rsid w:val="29E12EF9"/>
    <w:rsid w:val="29EC23D0"/>
    <w:rsid w:val="29F01EC0"/>
    <w:rsid w:val="2A036979"/>
    <w:rsid w:val="2A1A518F"/>
    <w:rsid w:val="2A24303C"/>
    <w:rsid w:val="2A425534"/>
    <w:rsid w:val="2A65031B"/>
    <w:rsid w:val="2A6D00F7"/>
    <w:rsid w:val="2A904D12"/>
    <w:rsid w:val="2A950CB9"/>
    <w:rsid w:val="2AC86999"/>
    <w:rsid w:val="2AF75C96"/>
    <w:rsid w:val="2AFC2AE6"/>
    <w:rsid w:val="2B0B15B0"/>
    <w:rsid w:val="2B4008AA"/>
    <w:rsid w:val="2B4B23E4"/>
    <w:rsid w:val="2B4E68FF"/>
    <w:rsid w:val="2B4E797E"/>
    <w:rsid w:val="2B566C7A"/>
    <w:rsid w:val="2B65068C"/>
    <w:rsid w:val="2B6F32B8"/>
    <w:rsid w:val="2B7803BF"/>
    <w:rsid w:val="2B8C3E6A"/>
    <w:rsid w:val="2B97636B"/>
    <w:rsid w:val="2BA63EF0"/>
    <w:rsid w:val="2BAE2033"/>
    <w:rsid w:val="2BB62C95"/>
    <w:rsid w:val="2BBF5FEE"/>
    <w:rsid w:val="2BC03067"/>
    <w:rsid w:val="2BD82C0B"/>
    <w:rsid w:val="2BFC2739"/>
    <w:rsid w:val="2C0408BB"/>
    <w:rsid w:val="2C3D6F12"/>
    <w:rsid w:val="2C4958B7"/>
    <w:rsid w:val="2C550700"/>
    <w:rsid w:val="2C83526D"/>
    <w:rsid w:val="2CA42C81"/>
    <w:rsid w:val="2CB90C8F"/>
    <w:rsid w:val="2CD12372"/>
    <w:rsid w:val="2CD20E40"/>
    <w:rsid w:val="2CE35D0C"/>
    <w:rsid w:val="2CEF2903"/>
    <w:rsid w:val="2CF061F0"/>
    <w:rsid w:val="2D1A0124"/>
    <w:rsid w:val="2D3E4988"/>
    <w:rsid w:val="2D421FD0"/>
    <w:rsid w:val="2D502C75"/>
    <w:rsid w:val="2D5D30B4"/>
    <w:rsid w:val="2D8D66F5"/>
    <w:rsid w:val="2DA76D39"/>
    <w:rsid w:val="2DBE5AC1"/>
    <w:rsid w:val="2DCA0C7A"/>
    <w:rsid w:val="2DD56F1C"/>
    <w:rsid w:val="2DD60BB7"/>
    <w:rsid w:val="2DDB4C35"/>
    <w:rsid w:val="2DE03FF9"/>
    <w:rsid w:val="2DE41D3C"/>
    <w:rsid w:val="2DEC0850"/>
    <w:rsid w:val="2DFC7D33"/>
    <w:rsid w:val="2E026666"/>
    <w:rsid w:val="2E1B14D5"/>
    <w:rsid w:val="2E222864"/>
    <w:rsid w:val="2E29377D"/>
    <w:rsid w:val="2E5D1AEE"/>
    <w:rsid w:val="2E6B5FB9"/>
    <w:rsid w:val="2E8157DC"/>
    <w:rsid w:val="2E8252B1"/>
    <w:rsid w:val="2E960CCA"/>
    <w:rsid w:val="2EC27BA3"/>
    <w:rsid w:val="2EC914BE"/>
    <w:rsid w:val="2EFD3E4D"/>
    <w:rsid w:val="2F032695"/>
    <w:rsid w:val="2F4D6D0D"/>
    <w:rsid w:val="2F5C1DA5"/>
    <w:rsid w:val="2F794705"/>
    <w:rsid w:val="2F8310E0"/>
    <w:rsid w:val="2F880DEC"/>
    <w:rsid w:val="2F927575"/>
    <w:rsid w:val="2FA22DAA"/>
    <w:rsid w:val="2FB92D54"/>
    <w:rsid w:val="2FCC7C1D"/>
    <w:rsid w:val="2FCE1DB4"/>
    <w:rsid w:val="2FD22068"/>
    <w:rsid w:val="2FEB727A"/>
    <w:rsid w:val="2FFD5A70"/>
    <w:rsid w:val="30072B3B"/>
    <w:rsid w:val="300F506A"/>
    <w:rsid w:val="301B2D20"/>
    <w:rsid w:val="304064B9"/>
    <w:rsid w:val="30427AA5"/>
    <w:rsid w:val="30440464"/>
    <w:rsid w:val="30590093"/>
    <w:rsid w:val="305B02AF"/>
    <w:rsid w:val="307B1640"/>
    <w:rsid w:val="307D2FCF"/>
    <w:rsid w:val="309405CF"/>
    <w:rsid w:val="30DF4A3C"/>
    <w:rsid w:val="30DF67EA"/>
    <w:rsid w:val="3103697D"/>
    <w:rsid w:val="31091D92"/>
    <w:rsid w:val="31277A6D"/>
    <w:rsid w:val="31456F95"/>
    <w:rsid w:val="314B20D2"/>
    <w:rsid w:val="31705EE7"/>
    <w:rsid w:val="31772EC7"/>
    <w:rsid w:val="31836503"/>
    <w:rsid w:val="318F1FBE"/>
    <w:rsid w:val="31A33CBC"/>
    <w:rsid w:val="31B9528D"/>
    <w:rsid w:val="31BB1CA7"/>
    <w:rsid w:val="31D15B5D"/>
    <w:rsid w:val="32072B0C"/>
    <w:rsid w:val="32317362"/>
    <w:rsid w:val="324A67B5"/>
    <w:rsid w:val="325C3658"/>
    <w:rsid w:val="326C2300"/>
    <w:rsid w:val="328529C5"/>
    <w:rsid w:val="32886CD6"/>
    <w:rsid w:val="328B4E7C"/>
    <w:rsid w:val="32A0644D"/>
    <w:rsid w:val="32B819E9"/>
    <w:rsid w:val="32C65EB4"/>
    <w:rsid w:val="32D22AAA"/>
    <w:rsid w:val="32D54B9D"/>
    <w:rsid w:val="32EC5295"/>
    <w:rsid w:val="32FF13C6"/>
    <w:rsid w:val="33062754"/>
    <w:rsid w:val="331D36BE"/>
    <w:rsid w:val="332901F1"/>
    <w:rsid w:val="332A179D"/>
    <w:rsid w:val="332B21BB"/>
    <w:rsid w:val="332E5807"/>
    <w:rsid w:val="33435AC0"/>
    <w:rsid w:val="335635C0"/>
    <w:rsid w:val="337066EC"/>
    <w:rsid w:val="33A20FAF"/>
    <w:rsid w:val="33B11962"/>
    <w:rsid w:val="33B421B0"/>
    <w:rsid w:val="33CD3146"/>
    <w:rsid w:val="33D068BE"/>
    <w:rsid w:val="33D12DEC"/>
    <w:rsid w:val="33F20F2A"/>
    <w:rsid w:val="340439BA"/>
    <w:rsid w:val="340824FC"/>
    <w:rsid w:val="34086058"/>
    <w:rsid w:val="34206B2A"/>
    <w:rsid w:val="3437693D"/>
    <w:rsid w:val="344A61E6"/>
    <w:rsid w:val="34594B05"/>
    <w:rsid w:val="34605E94"/>
    <w:rsid w:val="34654306"/>
    <w:rsid w:val="347926F3"/>
    <w:rsid w:val="3482405C"/>
    <w:rsid w:val="348C4EDB"/>
    <w:rsid w:val="34A00986"/>
    <w:rsid w:val="34AC70A4"/>
    <w:rsid w:val="34B14942"/>
    <w:rsid w:val="34B57E11"/>
    <w:rsid w:val="34CD705B"/>
    <w:rsid w:val="34D128EE"/>
    <w:rsid w:val="34E97C37"/>
    <w:rsid w:val="34EE16F2"/>
    <w:rsid w:val="34F4375F"/>
    <w:rsid w:val="35026356"/>
    <w:rsid w:val="3508367E"/>
    <w:rsid w:val="351705A2"/>
    <w:rsid w:val="351C1529"/>
    <w:rsid w:val="35447564"/>
    <w:rsid w:val="35775243"/>
    <w:rsid w:val="3578720D"/>
    <w:rsid w:val="357C00B2"/>
    <w:rsid w:val="357F234A"/>
    <w:rsid w:val="359A65E1"/>
    <w:rsid w:val="359B6AF0"/>
    <w:rsid w:val="359F2980"/>
    <w:rsid w:val="35C351E1"/>
    <w:rsid w:val="35CF32D1"/>
    <w:rsid w:val="35D72186"/>
    <w:rsid w:val="35DB680D"/>
    <w:rsid w:val="35E76CF9"/>
    <w:rsid w:val="35E86141"/>
    <w:rsid w:val="35EA010B"/>
    <w:rsid w:val="35EB79DF"/>
    <w:rsid w:val="35F20D6E"/>
    <w:rsid w:val="35F27157"/>
    <w:rsid w:val="35F920FC"/>
    <w:rsid w:val="360311CD"/>
    <w:rsid w:val="36160F00"/>
    <w:rsid w:val="364E58BC"/>
    <w:rsid w:val="36740D59"/>
    <w:rsid w:val="3687718E"/>
    <w:rsid w:val="36981C79"/>
    <w:rsid w:val="36983D2C"/>
    <w:rsid w:val="36C80A37"/>
    <w:rsid w:val="36ED73F8"/>
    <w:rsid w:val="36F24934"/>
    <w:rsid w:val="36F37A99"/>
    <w:rsid w:val="36FD5C1C"/>
    <w:rsid w:val="37070849"/>
    <w:rsid w:val="37117919"/>
    <w:rsid w:val="37196C1B"/>
    <w:rsid w:val="37270EEB"/>
    <w:rsid w:val="37321D6A"/>
    <w:rsid w:val="374F7A62"/>
    <w:rsid w:val="375A12C0"/>
    <w:rsid w:val="37667C65"/>
    <w:rsid w:val="3776777C"/>
    <w:rsid w:val="378123A9"/>
    <w:rsid w:val="378818B3"/>
    <w:rsid w:val="378E4AC6"/>
    <w:rsid w:val="3792045A"/>
    <w:rsid w:val="37955E55"/>
    <w:rsid w:val="37BA59FC"/>
    <w:rsid w:val="37C8622A"/>
    <w:rsid w:val="37CE4EB3"/>
    <w:rsid w:val="37DF17C6"/>
    <w:rsid w:val="37EB016A"/>
    <w:rsid w:val="37FF7772"/>
    <w:rsid w:val="382471D8"/>
    <w:rsid w:val="382A09B3"/>
    <w:rsid w:val="382B67B9"/>
    <w:rsid w:val="383733B0"/>
    <w:rsid w:val="383B59D1"/>
    <w:rsid w:val="383E64EC"/>
    <w:rsid w:val="384358B1"/>
    <w:rsid w:val="387E0FDF"/>
    <w:rsid w:val="389B749B"/>
    <w:rsid w:val="389C4D29"/>
    <w:rsid w:val="38CC58A6"/>
    <w:rsid w:val="38DD610C"/>
    <w:rsid w:val="38E90F71"/>
    <w:rsid w:val="38E928FC"/>
    <w:rsid w:val="38ED7B47"/>
    <w:rsid w:val="3913458B"/>
    <w:rsid w:val="392F1912"/>
    <w:rsid w:val="3938118D"/>
    <w:rsid w:val="3942025E"/>
    <w:rsid w:val="394F0490"/>
    <w:rsid w:val="395104A1"/>
    <w:rsid w:val="39555104"/>
    <w:rsid w:val="39566E99"/>
    <w:rsid w:val="399B34CA"/>
    <w:rsid w:val="399E5C14"/>
    <w:rsid w:val="39C600D4"/>
    <w:rsid w:val="39D215E2"/>
    <w:rsid w:val="39E60BE9"/>
    <w:rsid w:val="39F06DAC"/>
    <w:rsid w:val="3A4D2A17"/>
    <w:rsid w:val="3A502507"/>
    <w:rsid w:val="3A60490B"/>
    <w:rsid w:val="3A612966"/>
    <w:rsid w:val="3A741333"/>
    <w:rsid w:val="3A84407A"/>
    <w:rsid w:val="3A914FF9"/>
    <w:rsid w:val="3AA60379"/>
    <w:rsid w:val="3AB331C1"/>
    <w:rsid w:val="3AB57B20"/>
    <w:rsid w:val="3AE3337B"/>
    <w:rsid w:val="3AED7D56"/>
    <w:rsid w:val="3B0E03F8"/>
    <w:rsid w:val="3B0F5F1E"/>
    <w:rsid w:val="3B131EB2"/>
    <w:rsid w:val="3B1672AC"/>
    <w:rsid w:val="3B1D688D"/>
    <w:rsid w:val="3B2714BA"/>
    <w:rsid w:val="3B3112DF"/>
    <w:rsid w:val="3B506C62"/>
    <w:rsid w:val="3B51577D"/>
    <w:rsid w:val="3B861EE2"/>
    <w:rsid w:val="3B903503"/>
    <w:rsid w:val="3B920265"/>
    <w:rsid w:val="3B934DA1"/>
    <w:rsid w:val="3BB92AE8"/>
    <w:rsid w:val="3BBF5B96"/>
    <w:rsid w:val="3BC1546A"/>
    <w:rsid w:val="3BC60CD2"/>
    <w:rsid w:val="3BCB0097"/>
    <w:rsid w:val="3BCC2061"/>
    <w:rsid w:val="3BD3117E"/>
    <w:rsid w:val="3BD77542"/>
    <w:rsid w:val="3BDD601C"/>
    <w:rsid w:val="3BDD7DCA"/>
    <w:rsid w:val="3BE90955"/>
    <w:rsid w:val="3BEA40CC"/>
    <w:rsid w:val="3BF43C71"/>
    <w:rsid w:val="3C0B4937"/>
    <w:rsid w:val="3C237ED3"/>
    <w:rsid w:val="3C3A521C"/>
    <w:rsid w:val="3C6A0E84"/>
    <w:rsid w:val="3C6B7ACC"/>
    <w:rsid w:val="3C89410C"/>
    <w:rsid w:val="3C920BB5"/>
    <w:rsid w:val="3CB700CE"/>
    <w:rsid w:val="3CDB1249"/>
    <w:rsid w:val="3CF278A5"/>
    <w:rsid w:val="3D0A7413"/>
    <w:rsid w:val="3D22462E"/>
    <w:rsid w:val="3D4E0F7F"/>
    <w:rsid w:val="3D554E09"/>
    <w:rsid w:val="3D5567B2"/>
    <w:rsid w:val="3D5B147B"/>
    <w:rsid w:val="3D81721B"/>
    <w:rsid w:val="3DA03B15"/>
    <w:rsid w:val="3DA57E9B"/>
    <w:rsid w:val="3DDA0420"/>
    <w:rsid w:val="3DE10046"/>
    <w:rsid w:val="3E06185A"/>
    <w:rsid w:val="3E173A67"/>
    <w:rsid w:val="3E1F19F5"/>
    <w:rsid w:val="3E247F32"/>
    <w:rsid w:val="3E413B9C"/>
    <w:rsid w:val="3E4F1453"/>
    <w:rsid w:val="3E506F79"/>
    <w:rsid w:val="3E574458"/>
    <w:rsid w:val="3E5E1623"/>
    <w:rsid w:val="3E75078E"/>
    <w:rsid w:val="3E8F54E1"/>
    <w:rsid w:val="3EA653C8"/>
    <w:rsid w:val="3EBE2135"/>
    <w:rsid w:val="3ED03C16"/>
    <w:rsid w:val="3EE42E7D"/>
    <w:rsid w:val="3EED2ADA"/>
    <w:rsid w:val="3EEF6792"/>
    <w:rsid w:val="3F033FEC"/>
    <w:rsid w:val="3F104BA9"/>
    <w:rsid w:val="3F163D1F"/>
    <w:rsid w:val="3F220916"/>
    <w:rsid w:val="3F39770E"/>
    <w:rsid w:val="3F696545"/>
    <w:rsid w:val="3F6F01A1"/>
    <w:rsid w:val="3F7D438F"/>
    <w:rsid w:val="3F8205BE"/>
    <w:rsid w:val="3FA4757D"/>
    <w:rsid w:val="3FAD069C"/>
    <w:rsid w:val="3FB36E63"/>
    <w:rsid w:val="3FBC2D85"/>
    <w:rsid w:val="3FF0539D"/>
    <w:rsid w:val="3FF51B86"/>
    <w:rsid w:val="3FF83425"/>
    <w:rsid w:val="3FF86C89"/>
    <w:rsid w:val="400E49F6"/>
    <w:rsid w:val="40121ECC"/>
    <w:rsid w:val="40142E72"/>
    <w:rsid w:val="401B7113"/>
    <w:rsid w:val="402307F6"/>
    <w:rsid w:val="40275A81"/>
    <w:rsid w:val="402B037C"/>
    <w:rsid w:val="404043A0"/>
    <w:rsid w:val="40420B44"/>
    <w:rsid w:val="405014B2"/>
    <w:rsid w:val="40507E8F"/>
    <w:rsid w:val="405D6E82"/>
    <w:rsid w:val="409A7A55"/>
    <w:rsid w:val="40B3559D"/>
    <w:rsid w:val="40BB2DD0"/>
    <w:rsid w:val="40BF1ABB"/>
    <w:rsid w:val="40C854ED"/>
    <w:rsid w:val="40CA49DB"/>
    <w:rsid w:val="40D479EE"/>
    <w:rsid w:val="40D93256"/>
    <w:rsid w:val="40FE0346"/>
    <w:rsid w:val="41080B2D"/>
    <w:rsid w:val="41094130"/>
    <w:rsid w:val="41120516"/>
    <w:rsid w:val="412D49ED"/>
    <w:rsid w:val="412D70FE"/>
    <w:rsid w:val="414D59F2"/>
    <w:rsid w:val="41642F23"/>
    <w:rsid w:val="416A50E6"/>
    <w:rsid w:val="417116E0"/>
    <w:rsid w:val="41766CF7"/>
    <w:rsid w:val="4181094E"/>
    <w:rsid w:val="418C651A"/>
    <w:rsid w:val="418F7DB9"/>
    <w:rsid w:val="419158DF"/>
    <w:rsid w:val="41A90904"/>
    <w:rsid w:val="41B877D3"/>
    <w:rsid w:val="41BB295C"/>
    <w:rsid w:val="41BE5866"/>
    <w:rsid w:val="41C90947"/>
    <w:rsid w:val="41CF570D"/>
    <w:rsid w:val="41D34149"/>
    <w:rsid w:val="41D8350E"/>
    <w:rsid w:val="41D94F45"/>
    <w:rsid w:val="41E63501"/>
    <w:rsid w:val="41EC6FB9"/>
    <w:rsid w:val="41EE2D31"/>
    <w:rsid w:val="41F2016D"/>
    <w:rsid w:val="41F37EC0"/>
    <w:rsid w:val="41FB712D"/>
    <w:rsid w:val="42247800"/>
    <w:rsid w:val="422E312E"/>
    <w:rsid w:val="423F17DF"/>
    <w:rsid w:val="42426BD9"/>
    <w:rsid w:val="425A03C6"/>
    <w:rsid w:val="425F396C"/>
    <w:rsid w:val="426C1EA8"/>
    <w:rsid w:val="429D4FC3"/>
    <w:rsid w:val="42AB3B75"/>
    <w:rsid w:val="42B15B0D"/>
    <w:rsid w:val="42B71375"/>
    <w:rsid w:val="42BA0E65"/>
    <w:rsid w:val="42BE4190"/>
    <w:rsid w:val="42C6780A"/>
    <w:rsid w:val="42DF6B1E"/>
    <w:rsid w:val="42E151CA"/>
    <w:rsid w:val="42E47C90"/>
    <w:rsid w:val="42F83F42"/>
    <w:rsid w:val="43065AD4"/>
    <w:rsid w:val="43072E5B"/>
    <w:rsid w:val="43155E0E"/>
    <w:rsid w:val="43194256"/>
    <w:rsid w:val="432307B8"/>
    <w:rsid w:val="432B1D63"/>
    <w:rsid w:val="432B58BF"/>
    <w:rsid w:val="43370708"/>
    <w:rsid w:val="43452E25"/>
    <w:rsid w:val="43476426"/>
    <w:rsid w:val="436332AB"/>
    <w:rsid w:val="436D770B"/>
    <w:rsid w:val="43805C0B"/>
    <w:rsid w:val="438A4CDB"/>
    <w:rsid w:val="43963B97"/>
    <w:rsid w:val="43A77473"/>
    <w:rsid w:val="43B54527"/>
    <w:rsid w:val="43BD7047"/>
    <w:rsid w:val="43C57AC2"/>
    <w:rsid w:val="43D66B65"/>
    <w:rsid w:val="43DE580C"/>
    <w:rsid w:val="43E22422"/>
    <w:rsid w:val="43F3462F"/>
    <w:rsid w:val="43FE3BFB"/>
    <w:rsid w:val="4404683C"/>
    <w:rsid w:val="44093E52"/>
    <w:rsid w:val="4439400C"/>
    <w:rsid w:val="443C1586"/>
    <w:rsid w:val="444D7109"/>
    <w:rsid w:val="444E7AB7"/>
    <w:rsid w:val="4467501D"/>
    <w:rsid w:val="446E0159"/>
    <w:rsid w:val="446E1F07"/>
    <w:rsid w:val="447B63D2"/>
    <w:rsid w:val="44903BF3"/>
    <w:rsid w:val="449A0F4E"/>
    <w:rsid w:val="44A46D96"/>
    <w:rsid w:val="44BB7DC6"/>
    <w:rsid w:val="44CC354F"/>
    <w:rsid w:val="44E94825"/>
    <w:rsid w:val="44FC39B7"/>
    <w:rsid w:val="45034D45"/>
    <w:rsid w:val="451231DA"/>
    <w:rsid w:val="45234EE5"/>
    <w:rsid w:val="456015FF"/>
    <w:rsid w:val="45637592"/>
    <w:rsid w:val="45943A52"/>
    <w:rsid w:val="459B4F7E"/>
    <w:rsid w:val="459E05CA"/>
    <w:rsid w:val="45E07589"/>
    <w:rsid w:val="45F428E0"/>
    <w:rsid w:val="46007541"/>
    <w:rsid w:val="46181376"/>
    <w:rsid w:val="462036D5"/>
    <w:rsid w:val="462C02CC"/>
    <w:rsid w:val="463D6035"/>
    <w:rsid w:val="46535859"/>
    <w:rsid w:val="46841EB6"/>
    <w:rsid w:val="468B4FF2"/>
    <w:rsid w:val="46AB4F07"/>
    <w:rsid w:val="46D36999"/>
    <w:rsid w:val="46D53DA4"/>
    <w:rsid w:val="46DE5615"/>
    <w:rsid w:val="46E2183E"/>
    <w:rsid w:val="46F801AE"/>
    <w:rsid w:val="47124DBA"/>
    <w:rsid w:val="47132E72"/>
    <w:rsid w:val="47163D12"/>
    <w:rsid w:val="47174AD8"/>
    <w:rsid w:val="4755115C"/>
    <w:rsid w:val="476B4E24"/>
    <w:rsid w:val="47776091"/>
    <w:rsid w:val="478652BF"/>
    <w:rsid w:val="47867568"/>
    <w:rsid w:val="47B15BEA"/>
    <w:rsid w:val="47B7461B"/>
    <w:rsid w:val="47CE2EEB"/>
    <w:rsid w:val="47D4106D"/>
    <w:rsid w:val="47DB5B06"/>
    <w:rsid w:val="47E32A9D"/>
    <w:rsid w:val="47EA3F9B"/>
    <w:rsid w:val="480542FE"/>
    <w:rsid w:val="48180B08"/>
    <w:rsid w:val="481D7ECC"/>
    <w:rsid w:val="48215608"/>
    <w:rsid w:val="48296208"/>
    <w:rsid w:val="483E7E42"/>
    <w:rsid w:val="48533CE5"/>
    <w:rsid w:val="4856381F"/>
    <w:rsid w:val="486F6149"/>
    <w:rsid w:val="487815A6"/>
    <w:rsid w:val="48862C62"/>
    <w:rsid w:val="48897310"/>
    <w:rsid w:val="488A3088"/>
    <w:rsid w:val="48965ED0"/>
    <w:rsid w:val="48AA54D8"/>
    <w:rsid w:val="48B819A3"/>
    <w:rsid w:val="48CC544E"/>
    <w:rsid w:val="48DC7D87"/>
    <w:rsid w:val="48E56510"/>
    <w:rsid w:val="48F50E49"/>
    <w:rsid w:val="49015398"/>
    <w:rsid w:val="49037B91"/>
    <w:rsid w:val="49094E01"/>
    <w:rsid w:val="49121CDB"/>
    <w:rsid w:val="491C71F8"/>
    <w:rsid w:val="491F4C80"/>
    <w:rsid w:val="49235EEE"/>
    <w:rsid w:val="49470F79"/>
    <w:rsid w:val="49634692"/>
    <w:rsid w:val="49706962"/>
    <w:rsid w:val="49750B2A"/>
    <w:rsid w:val="497526AF"/>
    <w:rsid w:val="49A34695"/>
    <w:rsid w:val="49A455B6"/>
    <w:rsid w:val="49AA1C33"/>
    <w:rsid w:val="49AA38BF"/>
    <w:rsid w:val="49B353B9"/>
    <w:rsid w:val="49C212D7"/>
    <w:rsid w:val="49D46CB0"/>
    <w:rsid w:val="4A040912"/>
    <w:rsid w:val="4A056E6A"/>
    <w:rsid w:val="4A070E34"/>
    <w:rsid w:val="4A11593B"/>
    <w:rsid w:val="4A137078"/>
    <w:rsid w:val="4A203CA4"/>
    <w:rsid w:val="4A442B1E"/>
    <w:rsid w:val="4A485FEA"/>
    <w:rsid w:val="4A534079"/>
    <w:rsid w:val="4A5E261D"/>
    <w:rsid w:val="4A602541"/>
    <w:rsid w:val="4A77281B"/>
    <w:rsid w:val="4A8C1339"/>
    <w:rsid w:val="4A9B3349"/>
    <w:rsid w:val="4AB253A0"/>
    <w:rsid w:val="4AC62A9D"/>
    <w:rsid w:val="4AC853DB"/>
    <w:rsid w:val="4AE44EC2"/>
    <w:rsid w:val="4AF252A2"/>
    <w:rsid w:val="4AF313B8"/>
    <w:rsid w:val="4AFA62A3"/>
    <w:rsid w:val="4B09426C"/>
    <w:rsid w:val="4B0E7FA0"/>
    <w:rsid w:val="4B0F14AF"/>
    <w:rsid w:val="4B111850"/>
    <w:rsid w:val="4B267DE7"/>
    <w:rsid w:val="4B3B03C1"/>
    <w:rsid w:val="4B4B6AFE"/>
    <w:rsid w:val="4B58121B"/>
    <w:rsid w:val="4B62209A"/>
    <w:rsid w:val="4B6978CC"/>
    <w:rsid w:val="4B6E6C91"/>
    <w:rsid w:val="4B79120A"/>
    <w:rsid w:val="4B906211"/>
    <w:rsid w:val="4BAB57EF"/>
    <w:rsid w:val="4BB723E6"/>
    <w:rsid w:val="4BC52D55"/>
    <w:rsid w:val="4BC964BE"/>
    <w:rsid w:val="4BD44D46"/>
    <w:rsid w:val="4BD72A88"/>
    <w:rsid w:val="4BF46B58"/>
    <w:rsid w:val="4C0233B4"/>
    <w:rsid w:val="4C0513A3"/>
    <w:rsid w:val="4C080E93"/>
    <w:rsid w:val="4C083FAD"/>
    <w:rsid w:val="4C131B43"/>
    <w:rsid w:val="4C276021"/>
    <w:rsid w:val="4C27788D"/>
    <w:rsid w:val="4C3529E8"/>
    <w:rsid w:val="4C3B3017"/>
    <w:rsid w:val="4C40062D"/>
    <w:rsid w:val="4C4F35BC"/>
    <w:rsid w:val="4C5D6BBC"/>
    <w:rsid w:val="4C5E0AB3"/>
    <w:rsid w:val="4C7B3698"/>
    <w:rsid w:val="4C7B78B7"/>
    <w:rsid w:val="4C8A18A8"/>
    <w:rsid w:val="4C8E2177"/>
    <w:rsid w:val="4C9269AF"/>
    <w:rsid w:val="4C935807"/>
    <w:rsid w:val="4CA13CE1"/>
    <w:rsid w:val="4D0E072B"/>
    <w:rsid w:val="4D0F19EA"/>
    <w:rsid w:val="4D144003"/>
    <w:rsid w:val="4D275349"/>
    <w:rsid w:val="4D2A0188"/>
    <w:rsid w:val="4D3B0EF1"/>
    <w:rsid w:val="4D3D2DBF"/>
    <w:rsid w:val="4D3D4B6D"/>
    <w:rsid w:val="4D5325E2"/>
    <w:rsid w:val="4DBF5582"/>
    <w:rsid w:val="4DC4703C"/>
    <w:rsid w:val="4DC64B62"/>
    <w:rsid w:val="4DD20112"/>
    <w:rsid w:val="4DD70B1D"/>
    <w:rsid w:val="4DDF5C24"/>
    <w:rsid w:val="4DE17BEE"/>
    <w:rsid w:val="4DEC01F3"/>
    <w:rsid w:val="4E005212"/>
    <w:rsid w:val="4E0472EF"/>
    <w:rsid w:val="4E0D2C50"/>
    <w:rsid w:val="4E0F02B7"/>
    <w:rsid w:val="4E254AEB"/>
    <w:rsid w:val="4E28581D"/>
    <w:rsid w:val="4E2875CB"/>
    <w:rsid w:val="4E3221F7"/>
    <w:rsid w:val="4E351776"/>
    <w:rsid w:val="4E3734DD"/>
    <w:rsid w:val="4E395334"/>
    <w:rsid w:val="4E3A10AC"/>
    <w:rsid w:val="4E3D7F6A"/>
    <w:rsid w:val="4E52289A"/>
    <w:rsid w:val="4E636855"/>
    <w:rsid w:val="4E7820C0"/>
    <w:rsid w:val="4E7E368F"/>
    <w:rsid w:val="4E842C10"/>
    <w:rsid w:val="4E962786"/>
    <w:rsid w:val="4E9E788D"/>
    <w:rsid w:val="4EA83B35"/>
    <w:rsid w:val="4EAE40A9"/>
    <w:rsid w:val="4ECA0682"/>
    <w:rsid w:val="4ECD3CCE"/>
    <w:rsid w:val="4EF851EF"/>
    <w:rsid w:val="4F0431D3"/>
    <w:rsid w:val="4F05734C"/>
    <w:rsid w:val="4F1456D4"/>
    <w:rsid w:val="4F325672"/>
    <w:rsid w:val="4F711F6A"/>
    <w:rsid w:val="4F9009A8"/>
    <w:rsid w:val="4FAE6A0C"/>
    <w:rsid w:val="4FBD195C"/>
    <w:rsid w:val="4FBD1F95"/>
    <w:rsid w:val="4FD15291"/>
    <w:rsid w:val="4FDF1F0B"/>
    <w:rsid w:val="4FE758F9"/>
    <w:rsid w:val="4FFF0B9B"/>
    <w:rsid w:val="500A28C8"/>
    <w:rsid w:val="500A342C"/>
    <w:rsid w:val="5019541D"/>
    <w:rsid w:val="50213B5F"/>
    <w:rsid w:val="50306C0B"/>
    <w:rsid w:val="5037387C"/>
    <w:rsid w:val="504A1BAE"/>
    <w:rsid w:val="506C56BD"/>
    <w:rsid w:val="506D3547"/>
    <w:rsid w:val="509176A9"/>
    <w:rsid w:val="50917BAD"/>
    <w:rsid w:val="509D1762"/>
    <w:rsid w:val="50AA42C7"/>
    <w:rsid w:val="50B138A7"/>
    <w:rsid w:val="50B268E2"/>
    <w:rsid w:val="50B6516D"/>
    <w:rsid w:val="50BE22A9"/>
    <w:rsid w:val="50C35389"/>
    <w:rsid w:val="50E94135"/>
    <w:rsid w:val="50EC2B32"/>
    <w:rsid w:val="50ED7CB1"/>
    <w:rsid w:val="51037E7B"/>
    <w:rsid w:val="510A120A"/>
    <w:rsid w:val="510D5684"/>
    <w:rsid w:val="514B674C"/>
    <w:rsid w:val="514E0864"/>
    <w:rsid w:val="516A1CA8"/>
    <w:rsid w:val="51714156"/>
    <w:rsid w:val="517A013D"/>
    <w:rsid w:val="51844B18"/>
    <w:rsid w:val="518B234A"/>
    <w:rsid w:val="519906F2"/>
    <w:rsid w:val="51A47105"/>
    <w:rsid w:val="51AC3649"/>
    <w:rsid w:val="51BA678C"/>
    <w:rsid w:val="51BF1FF4"/>
    <w:rsid w:val="51D80AB1"/>
    <w:rsid w:val="51E7154B"/>
    <w:rsid w:val="51EB4B97"/>
    <w:rsid w:val="52065E75"/>
    <w:rsid w:val="521D477A"/>
    <w:rsid w:val="522478C8"/>
    <w:rsid w:val="52374280"/>
    <w:rsid w:val="52481FEA"/>
    <w:rsid w:val="5288688A"/>
    <w:rsid w:val="52927709"/>
    <w:rsid w:val="529B2F92"/>
    <w:rsid w:val="52B21B59"/>
    <w:rsid w:val="52B4588B"/>
    <w:rsid w:val="52C02F76"/>
    <w:rsid w:val="52DC2732"/>
    <w:rsid w:val="52DC563C"/>
    <w:rsid w:val="52E31D12"/>
    <w:rsid w:val="52F061DD"/>
    <w:rsid w:val="52FD0374"/>
    <w:rsid w:val="52FF2775"/>
    <w:rsid w:val="52FF4A56"/>
    <w:rsid w:val="53052442"/>
    <w:rsid w:val="530C3017"/>
    <w:rsid w:val="532D4245"/>
    <w:rsid w:val="534A3B3F"/>
    <w:rsid w:val="534E4309"/>
    <w:rsid w:val="53560736"/>
    <w:rsid w:val="535B3F9E"/>
    <w:rsid w:val="535E583D"/>
    <w:rsid w:val="536A5F90"/>
    <w:rsid w:val="53784B50"/>
    <w:rsid w:val="53974E0A"/>
    <w:rsid w:val="539A4AC7"/>
    <w:rsid w:val="53A106AE"/>
    <w:rsid w:val="53A11D6A"/>
    <w:rsid w:val="53DF7299"/>
    <w:rsid w:val="53EC109A"/>
    <w:rsid w:val="53EE4E13"/>
    <w:rsid w:val="53F266B1"/>
    <w:rsid w:val="53F73CC7"/>
    <w:rsid w:val="540248E3"/>
    <w:rsid w:val="540C5299"/>
    <w:rsid w:val="540D2519"/>
    <w:rsid w:val="541D2558"/>
    <w:rsid w:val="542A7550"/>
    <w:rsid w:val="54300F87"/>
    <w:rsid w:val="543A1E06"/>
    <w:rsid w:val="543A5C5E"/>
    <w:rsid w:val="546038E7"/>
    <w:rsid w:val="546450D5"/>
    <w:rsid w:val="546C774B"/>
    <w:rsid w:val="54804D12"/>
    <w:rsid w:val="54843081"/>
    <w:rsid w:val="5495703C"/>
    <w:rsid w:val="549F6F41"/>
    <w:rsid w:val="54A4596D"/>
    <w:rsid w:val="54AC3115"/>
    <w:rsid w:val="54AF45A2"/>
    <w:rsid w:val="54BE2A37"/>
    <w:rsid w:val="54DE09E3"/>
    <w:rsid w:val="54E658DC"/>
    <w:rsid w:val="54E81862"/>
    <w:rsid w:val="551074B2"/>
    <w:rsid w:val="553700F3"/>
    <w:rsid w:val="554E3DBB"/>
    <w:rsid w:val="55545149"/>
    <w:rsid w:val="55563580"/>
    <w:rsid w:val="55627866"/>
    <w:rsid w:val="5596403B"/>
    <w:rsid w:val="559B0682"/>
    <w:rsid w:val="55A35789"/>
    <w:rsid w:val="55CC2746"/>
    <w:rsid w:val="55CF657E"/>
    <w:rsid w:val="55D342C0"/>
    <w:rsid w:val="55DF3B07"/>
    <w:rsid w:val="55E40C52"/>
    <w:rsid w:val="55F02A55"/>
    <w:rsid w:val="55F86ECC"/>
    <w:rsid w:val="561641AD"/>
    <w:rsid w:val="561873AF"/>
    <w:rsid w:val="56220510"/>
    <w:rsid w:val="563A5D5C"/>
    <w:rsid w:val="56486A38"/>
    <w:rsid w:val="565151E5"/>
    <w:rsid w:val="566C201F"/>
    <w:rsid w:val="567D0B40"/>
    <w:rsid w:val="569A32A2"/>
    <w:rsid w:val="56A56D10"/>
    <w:rsid w:val="56B063AF"/>
    <w:rsid w:val="56C1475F"/>
    <w:rsid w:val="56C37E91"/>
    <w:rsid w:val="56D4209E"/>
    <w:rsid w:val="56E66E44"/>
    <w:rsid w:val="5753390A"/>
    <w:rsid w:val="5778511F"/>
    <w:rsid w:val="57830F4B"/>
    <w:rsid w:val="57B10631"/>
    <w:rsid w:val="57B30522"/>
    <w:rsid w:val="57C2283E"/>
    <w:rsid w:val="57D71ABE"/>
    <w:rsid w:val="57D83E10"/>
    <w:rsid w:val="57DB3900"/>
    <w:rsid w:val="580473BF"/>
    <w:rsid w:val="58093FC9"/>
    <w:rsid w:val="580C5867"/>
    <w:rsid w:val="580F5357"/>
    <w:rsid w:val="581667FF"/>
    <w:rsid w:val="581D2EDB"/>
    <w:rsid w:val="582B2EAB"/>
    <w:rsid w:val="582C651D"/>
    <w:rsid w:val="58313520"/>
    <w:rsid w:val="583A2B0B"/>
    <w:rsid w:val="584274DB"/>
    <w:rsid w:val="58616610"/>
    <w:rsid w:val="587C29ED"/>
    <w:rsid w:val="5889335C"/>
    <w:rsid w:val="589E1D6D"/>
    <w:rsid w:val="58A43CF2"/>
    <w:rsid w:val="58AC4E81"/>
    <w:rsid w:val="58B451FA"/>
    <w:rsid w:val="58C31991"/>
    <w:rsid w:val="58C3686E"/>
    <w:rsid w:val="58D740C7"/>
    <w:rsid w:val="58D8399B"/>
    <w:rsid w:val="58E32A6C"/>
    <w:rsid w:val="58E56AAA"/>
    <w:rsid w:val="58EB7B73"/>
    <w:rsid w:val="59056087"/>
    <w:rsid w:val="59091DA7"/>
    <w:rsid w:val="59097FF9"/>
    <w:rsid w:val="590C39F3"/>
    <w:rsid w:val="5917208F"/>
    <w:rsid w:val="59401C6C"/>
    <w:rsid w:val="59425F09"/>
    <w:rsid w:val="595C281E"/>
    <w:rsid w:val="59A26483"/>
    <w:rsid w:val="59A33402"/>
    <w:rsid w:val="59A9411B"/>
    <w:rsid w:val="59B14918"/>
    <w:rsid w:val="59BC46C1"/>
    <w:rsid w:val="59BC5D5A"/>
    <w:rsid w:val="59CF2E66"/>
    <w:rsid w:val="59E24AD2"/>
    <w:rsid w:val="59F45AD3"/>
    <w:rsid w:val="59FE7432"/>
    <w:rsid w:val="5A0F7891"/>
    <w:rsid w:val="5A221372"/>
    <w:rsid w:val="5A2F1CE1"/>
    <w:rsid w:val="5A3B0686"/>
    <w:rsid w:val="5A5A4FB0"/>
    <w:rsid w:val="5A674E4E"/>
    <w:rsid w:val="5A706581"/>
    <w:rsid w:val="5A753B98"/>
    <w:rsid w:val="5A8210C8"/>
    <w:rsid w:val="5A8D7133"/>
    <w:rsid w:val="5A9D4E9D"/>
    <w:rsid w:val="5AB20948"/>
    <w:rsid w:val="5AB3646E"/>
    <w:rsid w:val="5ABC7EDA"/>
    <w:rsid w:val="5AC24903"/>
    <w:rsid w:val="5AD131E1"/>
    <w:rsid w:val="5AD22A42"/>
    <w:rsid w:val="5AE57473"/>
    <w:rsid w:val="5B123195"/>
    <w:rsid w:val="5B1543DC"/>
    <w:rsid w:val="5B2B06FA"/>
    <w:rsid w:val="5B557557"/>
    <w:rsid w:val="5B563656"/>
    <w:rsid w:val="5B5F4E54"/>
    <w:rsid w:val="5B6B0AF7"/>
    <w:rsid w:val="5B721E85"/>
    <w:rsid w:val="5B8764A9"/>
    <w:rsid w:val="5B8943DC"/>
    <w:rsid w:val="5B8A7F02"/>
    <w:rsid w:val="5B9067AF"/>
    <w:rsid w:val="5BC21C93"/>
    <w:rsid w:val="5BC70431"/>
    <w:rsid w:val="5BD40D92"/>
    <w:rsid w:val="5BDE2DB4"/>
    <w:rsid w:val="5BDE677F"/>
    <w:rsid w:val="5BE1308E"/>
    <w:rsid w:val="5BE31E0F"/>
    <w:rsid w:val="5BE663CF"/>
    <w:rsid w:val="5BF03987"/>
    <w:rsid w:val="5BF1724E"/>
    <w:rsid w:val="5C082009"/>
    <w:rsid w:val="5C0F3B78"/>
    <w:rsid w:val="5C1679CD"/>
    <w:rsid w:val="5C272C70"/>
    <w:rsid w:val="5C277114"/>
    <w:rsid w:val="5C2C472A"/>
    <w:rsid w:val="5C351BC5"/>
    <w:rsid w:val="5C4B1054"/>
    <w:rsid w:val="5C537F09"/>
    <w:rsid w:val="5C6520B7"/>
    <w:rsid w:val="5C761E49"/>
    <w:rsid w:val="5C763BF7"/>
    <w:rsid w:val="5C7659A5"/>
    <w:rsid w:val="5C950379"/>
    <w:rsid w:val="5C974299"/>
    <w:rsid w:val="5CB14C2F"/>
    <w:rsid w:val="5CB7590E"/>
    <w:rsid w:val="5CB8706C"/>
    <w:rsid w:val="5CBC6134"/>
    <w:rsid w:val="5CC26747"/>
    <w:rsid w:val="5CCB5CF1"/>
    <w:rsid w:val="5D1A27D4"/>
    <w:rsid w:val="5D2D075A"/>
    <w:rsid w:val="5D335644"/>
    <w:rsid w:val="5D3C099D"/>
    <w:rsid w:val="5D485594"/>
    <w:rsid w:val="5D4E06D0"/>
    <w:rsid w:val="5D504448"/>
    <w:rsid w:val="5D6D3BED"/>
    <w:rsid w:val="5D712B3E"/>
    <w:rsid w:val="5D716BFF"/>
    <w:rsid w:val="5D774C0D"/>
    <w:rsid w:val="5D7F7E98"/>
    <w:rsid w:val="5D834805"/>
    <w:rsid w:val="5D99194B"/>
    <w:rsid w:val="5DCA2BDC"/>
    <w:rsid w:val="5DCD3CEB"/>
    <w:rsid w:val="5DCF5EBA"/>
    <w:rsid w:val="5DFF008E"/>
    <w:rsid w:val="5E1555A0"/>
    <w:rsid w:val="5E1831B8"/>
    <w:rsid w:val="5E2049F1"/>
    <w:rsid w:val="5E20539C"/>
    <w:rsid w:val="5E211941"/>
    <w:rsid w:val="5E22030B"/>
    <w:rsid w:val="5E225DE5"/>
    <w:rsid w:val="5E3B2996"/>
    <w:rsid w:val="5E4567E9"/>
    <w:rsid w:val="5E5F0DE7"/>
    <w:rsid w:val="5E895E64"/>
    <w:rsid w:val="5E8E347A"/>
    <w:rsid w:val="5EB51FAA"/>
    <w:rsid w:val="5EB822A5"/>
    <w:rsid w:val="5EBB3B43"/>
    <w:rsid w:val="5ED16173"/>
    <w:rsid w:val="5EDF5A84"/>
    <w:rsid w:val="5EE513A4"/>
    <w:rsid w:val="5EE950CF"/>
    <w:rsid w:val="5EFF1C82"/>
    <w:rsid w:val="5EFF7ED4"/>
    <w:rsid w:val="5F015B06"/>
    <w:rsid w:val="5F086D19"/>
    <w:rsid w:val="5F095B6E"/>
    <w:rsid w:val="5F0E25B0"/>
    <w:rsid w:val="5F0F7E12"/>
    <w:rsid w:val="5F2A3FC9"/>
    <w:rsid w:val="5F2E07B9"/>
    <w:rsid w:val="5F645F89"/>
    <w:rsid w:val="5F93061C"/>
    <w:rsid w:val="5F9920D6"/>
    <w:rsid w:val="5FA913B5"/>
    <w:rsid w:val="5FA97E40"/>
    <w:rsid w:val="5FAA4AF1"/>
    <w:rsid w:val="5FB7125D"/>
    <w:rsid w:val="5FC42F38"/>
    <w:rsid w:val="5FCD3B2E"/>
    <w:rsid w:val="5FD72BFF"/>
    <w:rsid w:val="5FDA624B"/>
    <w:rsid w:val="5FE14892"/>
    <w:rsid w:val="5FED4354"/>
    <w:rsid w:val="5FF21749"/>
    <w:rsid w:val="5FFB696D"/>
    <w:rsid w:val="60065292"/>
    <w:rsid w:val="60193217"/>
    <w:rsid w:val="602318F6"/>
    <w:rsid w:val="60430AA3"/>
    <w:rsid w:val="6045703A"/>
    <w:rsid w:val="60744C19"/>
    <w:rsid w:val="60964868"/>
    <w:rsid w:val="60C2565D"/>
    <w:rsid w:val="60C6500D"/>
    <w:rsid w:val="60DD5FF3"/>
    <w:rsid w:val="60E41009"/>
    <w:rsid w:val="60F577E0"/>
    <w:rsid w:val="611D6D37"/>
    <w:rsid w:val="612529A4"/>
    <w:rsid w:val="612C0D28"/>
    <w:rsid w:val="612C6F7A"/>
    <w:rsid w:val="61355E2F"/>
    <w:rsid w:val="615F0777"/>
    <w:rsid w:val="6162474A"/>
    <w:rsid w:val="61652C2D"/>
    <w:rsid w:val="61846571"/>
    <w:rsid w:val="61A66D2D"/>
    <w:rsid w:val="61A91D7E"/>
    <w:rsid w:val="61AE7167"/>
    <w:rsid w:val="61C40F61"/>
    <w:rsid w:val="61C54D11"/>
    <w:rsid w:val="61C80A51"/>
    <w:rsid w:val="61D560FA"/>
    <w:rsid w:val="61F71336"/>
    <w:rsid w:val="61FF0CA7"/>
    <w:rsid w:val="620121B5"/>
    <w:rsid w:val="62124C74"/>
    <w:rsid w:val="62137E26"/>
    <w:rsid w:val="623E0D13"/>
    <w:rsid w:val="624502F4"/>
    <w:rsid w:val="62612C54"/>
    <w:rsid w:val="629A2B7E"/>
    <w:rsid w:val="62CE4D5A"/>
    <w:rsid w:val="62D161DE"/>
    <w:rsid w:val="62D4737B"/>
    <w:rsid w:val="63023695"/>
    <w:rsid w:val="632F0827"/>
    <w:rsid w:val="63311316"/>
    <w:rsid w:val="6332277A"/>
    <w:rsid w:val="633B157D"/>
    <w:rsid w:val="634405AB"/>
    <w:rsid w:val="637C5F97"/>
    <w:rsid w:val="63911317"/>
    <w:rsid w:val="63AC469A"/>
    <w:rsid w:val="63B079EF"/>
    <w:rsid w:val="63BF7C32"/>
    <w:rsid w:val="63C60FC0"/>
    <w:rsid w:val="63C82F8A"/>
    <w:rsid w:val="63CA14A8"/>
    <w:rsid w:val="63DE27AE"/>
    <w:rsid w:val="63F634EE"/>
    <w:rsid w:val="63FE0C26"/>
    <w:rsid w:val="640C320C"/>
    <w:rsid w:val="641927E9"/>
    <w:rsid w:val="641F7C2C"/>
    <w:rsid w:val="643A2798"/>
    <w:rsid w:val="64403998"/>
    <w:rsid w:val="6454481E"/>
    <w:rsid w:val="64741F01"/>
    <w:rsid w:val="647933CC"/>
    <w:rsid w:val="647B7FFD"/>
    <w:rsid w:val="64A01811"/>
    <w:rsid w:val="64B21544"/>
    <w:rsid w:val="64C00108"/>
    <w:rsid w:val="64C25C2B"/>
    <w:rsid w:val="64C9520C"/>
    <w:rsid w:val="64CA2D32"/>
    <w:rsid w:val="64CC6AAA"/>
    <w:rsid w:val="64DE2339"/>
    <w:rsid w:val="64E738E4"/>
    <w:rsid w:val="64F14763"/>
    <w:rsid w:val="64F24911"/>
    <w:rsid w:val="65071890"/>
    <w:rsid w:val="65181CEF"/>
    <w:rsid w:val="65444892"/>
    <w:rsid w:val="65492AC6"/>
    <w:rsid w:val="654A5952"/>
    <w:rsid w:val="655F3F55"/>
    <w:rsid w:val="65634387"/>
    <w:rsid w:val="65861CC6"/>
    <w:rsid w:val="6589396E"/>
    <w:rsid w:val="65926B7D"/>
    <w:rsid w:val="65990867"/>
    <w:rsid w:val="65A05841"/>
    <w:rsid w:val="65A44186"/>
    <w:rsid w:val="65B35574"/>
    <w:rsid w:val="65B41784"/>
    <w:rsid w:val="65B65064"/>
    <w:rsid w:val="65B654C1"/>
    <w:rsid w:val="65BA7DF5"/>
    <w:rsid w:val="65FF4C5D"/>
    <w:rsid w:val="66232917"/>
    <w:rsid w:val="66291CDA"/>
    <w:rsid w:val="66342B59"/>
    <w:rsid w:val="66383CCB"/>
    <w:rsid w:val="663A7A43"/>
    <w:rsid w:val="666D7E19"/>
    <w:rsid w:val="66763171"/>
    <w:rsid w:val="667763FF"/>
    <w:rsid w:val="66855163"/>
    <w:rsid w:val="668A0FC1"/>
    <w:rsid w:val="669B4986"/>
    <w:rsid w:val="66AA03AC"/>
    <w:rsid w:val="66BD2CDC"/>
    <w:rsid w:val="66BD69BA"/>
    <w:rsid w:val="66D932E1"/>
    <w:rsid w:val="66E55C01"/>
    <w:rsid w:val="66EA76BB"/>
    <w:rsid w:val="672034F1"/>
    <w:rsid w:val="67283D40"/>
    <w:rsid w:val="673444C3"/>
    <w:rsid w:val="673821D5"/>
    <w:rsid w:val="673F4CC4"/>
    <w:rsid w:val="67592A9A"/>
    <w:rsid w:val="675D60DF"/>
    <w:rsid w:val="67694A84"/>
    <w:rsid w:val="677B47B7"/>
    <w:rsid w:val="677F2731"/>
    <w:rsid w:val="67941CC2"/>
    <w:rsid w:val="67A7735B"/>
    <w:rsid w:val="67AE2B24"/>
    <w:rsid w:val="67D363A2"/>
    <w:rsid w:val="67DA14DE"/>
    <w:rsid w:val="67F0485E"/>
    <w:rsid w:val="67FB3202"/>
    <w:rsid w:val="6804655B"/>
    <w:rsid w:val="681432BF"/>
    <w:rsid w:val="6817003C"/>
    <w:rsid w:val="68181905"/>
    <w:rsid w:val="681D13CB"/>
    <w:rsid w:val="683010FE"/>
    <w:rsid w:val="68491856"/>
    <w:rsid w:val="68614CFA"/>
    <w:rsid w:val="68655FB9"/>
    <w:rsid w:val="687234C5"/>
    <w:rsid w:val="68757459"/>
    <w:rsid w:val="68921DB9"/>
    <w:rsid w:val="68AD3894"/>
    <w:rsid w:val="68C154C8"/>
    <w:rsid w:val="68CF7001"/>
    <w:rsid w:val="68D221B5"/>
    <w:rsid w:val="68D66149"/>
    <w:rsid w:val="68D97D9E"/>
    <w:rsid w:val="68F30B42"/>
    <w:rsid w:val="68F62348"/>
    <w:rsid w:val="68FB5BB0"/>
    <w:rsid w:val="690507DD"/>
    <w:rsid w:val="690F0C92"/>
    <w:rsid w:val="691333DB"/>
    <w:rsid w:val="69256789"/>
    <w:rsid w:val="6955025B"/>
    <w:rsid w:val="69597D05"/>
    <w:rsid w:val="69605F59"/>
    <w:rsid w:val="69780D8F"/>
    <w:rsid w:val="697829A1"/>
    <w:rsid w:val="697D0373"/>
    <w:rsid w:val="698C390D"/>
    <w:rsid w:val="699566D7"/>
    <w:rsid w:val="69967687"/>
    <w:rsid w:val="69E47ADB"/>
    <w:rsid w:val="69E55F18"/>
    <w:rsid w:val="69E91EAC"/>
    <w:rsid w:val="6A224F35"/>
    <w:rsid w:val="6A2922A9"/>
    <w:rsid w:val="6A386990"/>
    <w:rsid w:val="6A4440B5"/>
    <w:rsid w:val="6A5E76D5"/>
    <w:rsid w:val="6A603A43"/>
    <w:rsid w:val="6A922510"/>
    <w:rsid w:val="6A971908"/>
    <w:rsid w:val="6A9F24AA"/>
    <w:rsid w:val="6AA87F72"/>
    <w:rsid w:val="6AAC36BF"/>
    <w:rsid w:val="6ABA73A5"/>
    <w:rsid w:val="6AC63F9C"/>
    <w:rsid w:val="6AC87D14"/>
    <w:rsid w:val="6AD55F8D"/>
    <w:rsid w:val="6ADE3093"/>
    <w:rsid w:val="6AF405C0"/>
    <w:rsid w:val="6B054A88"/>
    <w:rsid w:val="6B286A04"/>
    <w:rsid w:val="6B2A62D8"/>
    <w:rsid w:val="6B4753D2"/>
    <w:rsid w:val="6B680BAF"/>
    <w:rsid w:val="6BA047ED"/>
    <w:rsid w:val="6BA0659B"/>
    <w:rsid w:val="6BA8544F"/>
    <w:rsid w:val="6BAA11C7"/>
    <w:rsid w:val="6BB87D88"/>
    <w:rsid w:val="6BEC17E0"/>
    <w:rsid w:val="6C0703C8"/>
    <w:rsid w:val="6C0F54CE"/>
    <w:rsid w:val="6C0F78E9"/>
    <w:rsid w:val="6C2B1919"/>
    <w:rsid w:val="6C3F4006"/>
    <w:rsid w:val="6C4038DA"/>
    <w:rsid w:val="6C4C227F"/>
    <w:rsid w:val="6C577F25"/>
    <w:rsid w:val="6C7443CC"/>
    <w:rsid w:val="6C892A9E"/>
    <w:rsid w:val="6C8E6023"/>
    <w:rsid w:val="6CB87914"/>
    <w:rsid w:val="6CBF282C"/>
    <w:rsid w:val="6CF546C4"/>
    <w:rsid w:val="6D082906"/>
    <w:rsid w:val="6D090170"/>
    <w:rsid w:val="6D0B038C"/>
    <w:rsid w:val="6D1A0CCF"/>
    <w:rsid w:val="6D201BB4"/>
    <w:rsid w:val="6D2B458A"/>
    <w:rsid w:val="6D326DE0"/>
    <w:rsid w:val="6D3D60D3"/>
    <w:rsid w:val="6D4332A9"/>
    <w:rsid w:val="6D6F4477"/>
    <w:rsid w:val="6D747CDF"/>
    <w:rsid w:val="6D765805"/>
    <w:rsid w:val="6D782557"/>
    <w:rsid w:val="6D997745"/>
    <w:rsid w:val="6DAC0977"/>
    <w:rsid w:val="6DD06906"/>
    <w:rsid w:val="6DDB7D5E"/>
    <w:rsid w:val="6DE85FD7"/>
    <w:rsid w:val="6DED7318"/>
    <w:rsid w:val="6DEF0D1B"/>
    <w:rsid w:val="6DEF55B7"/>
    <w:rsid w:val="6DFB21AE"/>
    <w:rsid w:val="6E0E3C8F"/>
    <w:rsid w:val="6E160D96"/>
    <w:rsid w:val="6E1A1A5F"/>
    <w:rsid w:val="6E1D4FAB"/>
    <w:rsid w:val="6E276AFF"/>
    <w:rsid w:val="6E2A65EF"/>
    <w:rsid w:val="6E661451"/>
    <w:rsid w:val="6E732CC4"/>
    <w:rsid w:val="6E836753"/>
    <w:rsid w:val="6E8B48D5"/>
    <w:rsid w:val="6EA42846"/>
    <w:rsid w:val="6EC802E2"/>
    <w:rsid w:val="6EC81CAA"/>
    <w:rsid w:val="6EC86534"/>
    <w:rsid w:val="6ECB7DD2"/>
    <w:rsid w:val="6EE5266B"/>
    <w:rsid w:val="6F077E1F"/>
    <w:rsid w:val="6F0A08FB"/>
    <w:rsid w:val="6F0F4163"/>
    <w:rsid w:val="6F125A01"/>
    <w:rsid w:val="6F1A48B6"/>
    <w:rsid w:val="6F257809"/>
    <w:rsid w:val="6F35524C"/>
    <w:rsid w:val="6F377216"/>
    <w:rsid w:val="6F487CDD"/>
    <w:rsid w:val="6F60051B"/>
    <w:rsid w:val="6F63000B"/>
    <w:rsid w:val="6F771D08"/>
    <w:rsid w:val="6F795A80"/>
    <w:rsid w:val="6F9F7533"/>
    <w:rsid w:val="6FCF35D4"/>
    <w:rsid w:val="6FD35191"/>
    <w:rsid w:val="6FEA072C"/>
    <w:rsid w:val="6FEB002F"/>
    <w:rsid w:val="6FF675F6"/>
    <w:rsid w:val="70082960"/>
    <w:rsid w:val="701E4F19"/>
    <w:rsid w:val="702E2F92"/>
    <w:rsid w:val="70433998"/>
    <w:rsid w:val="705A7660"/>
    <w:rsid w:val="706716C2"/>
    <w:rsid w:val="70672583"/>
    <w:rsid w:val="708F6BDE"/>
    <w:rsid w:val="70A7604F"/>
    <w:rsid w:val="70AD3C34"/>
    <w:rsid w:val="70C44AD9"/>
    <w:rsid w:val="70D0347E"/>
    <w:rsid w:val="70D86D3F"/>
    <w:rsid w:val="70DC470E"/>
    <w:rsid w:val="70E54C43"/>
    <w:rsid w:val="70E76A1A"/>
    <w:rsid w:val="70FD7FEB"/>
    <w:rsid w:val="71035A81"/>
    <w:rsid w:val="711A0B9D"/>
    <w:rsid w:val="71213920"/>
    <w:rsid w:val="712A5284"/>
    <w:rsid w:val="714874B8"/>
    <w:rsid w:val="715A570D"/>
    <w:rsid w:val="716D33C3"/>
    <w:rsid w:val="71706A0F"/>
    <w:rsid w:val="71716B68"/>
    <w:rsid w:val="71995F66"/>
    <w:rsid w:val="71A2511D"/>
    <w:rsid w:val="71B43C7A"/>
    <w:rsid w:val="71B615C9"/>
    <w:rsid w:val="71B72890"/>
    <w:rsid w:val="71C07656"/>
    <w:rsid w:val="71CA25C3"/>
    <w:rsid w:val="71CD79BE"/>
    <w:rsid w:val="71E73175"/>
    <w:rsid w:val="71EA67C2"/>
    <w:rsid w:val="72091F3C"/>
    <w:rsid w:val="72197D9A"/>
    <w:rsid w:val="7223511E"/>
    <w:rsid w:val="722577FA"/>
    <w:rsid w:val="722A3076"/>
    <w:rsid w:val="722B70F5"/>
    <w:rsid w:val="72335600"/>
    <w:rsid w:val="724265FE"/>
    <w:rsid w:val="72A9042B"/>
    <w:rsid w:val="72AB5F51"/>
    <w:rsid w:val="72CC6DD3"/>
    <w:rsid w:val="72FE3595"/>
    <w:rsid w:val="731D739D"/>
    <w:rsid w:val="731E2B79"/>
    <w:rsid w:val="73281A91"/>
    <w:rsid w:val="733A72E6"/>
    <w:rsid w:val="734337AD"/>
    <w:rsid w:val="73552361"/>
    <w:rsid w:val="737E0D44"/>
    <w:rsid w:val="73A250AE"/>
    <w:rsid w:val="73A44F2A"/>
    <w:rsid w:val="73AF7CC3"/>
    <w:rsid w:val="73B250BD"/>
    <w:rsid w:val="73BA4C48"/>
    <w:rsid w:val="73CB617F"/>
    <w:rsid w:val="73E060CE"/>
    <w:rsid w:val="73EB10C8"/>
    <w:rsid w:val="74043A9C"/>
    <w:rsid w:val="741727D6"/>
    <w:rsid w:val="74277859"/>
    <w:rsid w:val="742A10F7"/>
    <w:rsid w:val="742A7349"/>
    <w:rsid w:val="74324450"/>
    <w:rsid w:val="743A60FB"/>
    <w:rsid w:val="744D2FC6"/>
    <w:rsid w:val="744E1D52"/>
    <w:rsid w:val="746D7236"/>
    <w:rsid w:val="746F7452"/>
    <w:rsid w:val="74716D26"/>
    <w:rsid w:val="74800B15"/>
    <w:rsid w:val="74A72748"/>
    <w:rsid w:val="74AC5FB0"/>
    <w:rsid w:val="74B12973"/>
    <w:rsid w:val="74B3476A"/>
    <w:rsid w:val="74C57072"/>
    <w:rsid w:val="74C96B62"/>
    <w:rsid w:val="74CB6B3C"/>
    <w:rsid w:val="74DA0D6F"/>
    <w:rsid w:val="74DB6895"/>
    <w:rsid w:val="74DC4AE7"/>
    <w:rsid w:val="74DD616A"/>
    <w:rsid w:val="74E94DFE"/>
    <w:rsid w:val="74F811F5"/>
    <w:rsid w:val="74FF2584"/>
    <w:rsid w:val="750E6C6B"/>
    <w:rsid w:val="751C1388"/>
    <w:rsid w:val="753366D1"/>
    <w:rsid w:val="75363ACC"/>
    <w:rsid w:val="75425809"/>
    <w:rsid w:val="75880FCC"/>
    <w:rsid w:val="759C4277"/>
    <w:rsid w:val="75B03867"/>
    <w:rsid w:val="75B0672C"/>
    <w:rsid w:val="75D91695"/>
    <w:rsid w:val="75E35D46"/>
    <w:rsid w:val="75FE283B"/>
    <w:rsid w:val="76012189"/>
    <w:rsid w:val="760E26A2"/>
    <w:rsid w:val="76147D8F"/>
    <w:rsid w:val="76277FE4"/>
    <w:rsid w:val="76320217"/>
    <w:rsid w:val="76376EDD"/>
    <w:rsid w:val="764D37C3"/>
    <w:rsid w:val="76557992"/>
    <w:rsid w:val="766B0EFF"/>
    <w:rsid w:val="76742AFE"/>
    <w:rsid w:val="7691545E"/>
    <w:rsid w:val="76915569"/>
    <w:rsid w:val="76A50F09"/>
    <w:rsid w:val="76B01105"/>
    <w:rsid w:val="76BF021D"/>
    <w:rsid w:val="76DB0DCF"/>
    <w:rsid w:val="76FC39C4"/>
    <w:rsid w:val="772A6134"/>
    <w:rsid w:val="7731279D"/>
    <w:rsid w:val="775013CC"/>
    <w:rsid w:val="775070C7"/>
    <w:rsid w:val="775B5A6C"/>
    <w:rsid w:val="775F3697"/>
    <w:rsid w:val="77642B72"/>
    <w:rsid w:val="7771703D"/>
    <w:rsid w:val="77AB07A1"/>
    <w:rsid w:val="77B014EE"/>
    <w:rsid w:val="77B70EF4"/>
    <w:rsid w:val="77BA055F"/>
    <w:rsid w:val="77BC0D91"/>
    <w:rsid w:val="77C67389"/>
    <w:rsid w:val="77F04406"/>
    <w:rsid w:val="78112CFA"/>
    <w:rsid w:val="78216CB5"/>
    <w:rsid w:val="78252301"/>
    <w:rsid w:val="78300CA6"/>
    <w:rsid w:val="783267CC"/>
    <w:rsid w:val="78414C61"/>
    <w:rsid w:val="784A042E"/>
    <w:rsid w:val="784A7FBA"/>
    <w:rsid w:val="78512860"/>
    <w:rsid w:val="78540E39"/>
    <w:rsid w:val="787D213D"/>
    <w:rsid w:val="7895673A"/>
    <w:rsid w:val="78B05C24"/>
    <w:rsid w:val="78B90C9C"/>
    <w:rsid w:val="78CC4E73"/>
    <w:rsid w:val="78D87374"/>
    <w:rsid w:val="78E21FA1"/>
    <w:rsid w:val="78E421BD"/>
    <w:rsid w:val="78E75809"/>
    <w:rsid w:val="78F10436"/>
    <w:rsid w:val="78F46178"/>
    <w:rsid w:val="78FE0195"/>
    <w:rsid w:val="78FE426C"/>
    <w:rsid w:val="79102FB2"/>
    <w:rsid w:val="79134E33"/>
    <w:rsid w:val="791F31F5"/>
    <w:rsid w:val="793D6346"/>
    <w:rsid w:val="794B58BC"/>
    <w:rsid w:val="79507852"/>
    <w:rsid w:val="795E32FD"/>
    <w:rsid w:val="796646C6"/>
    <w:rsid w:val="796C6412"/>
    <w:rsid w:val="79A955CC"/>
    <w:rsid w:val="79B92C2F"/>
    <w:rsid w:val="79BF22E2"/>
    <w:rsid w:val="79C63670"/>
    <w:rsid w:val="79DC7338"/>
    <w:rsid w:val="79E029C8"/>
    <w:rsid w:val="7A066163"/>
    <w:rsid w:val="7A097A01"/>
    <w:rsid w:val="7A0D418F"/>
    <w:rsid w:val="7A156C88"/>
    <w:rsid w:val="7A3224C3"/>
    <w:rsid w:val="7A42348A"/>
    <w:rsid w:val="7A4348D7"/>
    <w:rsid w:val="7A49604F"/>
    <w:rsid w:val="7A682979"/>
    <w:rsid w:val="7A6D0698"/>
    <w:rsid w:val="7A6F5AB6"/>
    <w:rsid w:val="7A777666"/>
    <w:rsid w:val="7A7A445B"/>
    <w:rsid w:val="7A801B3B"/>
    <w:rsid w:val="7A8F4231"/>
    <w:rsid w:val="7A9B68AB"/>
    <w:rsid w:val="7AA31C03"/>
    <w:rsid w:val="7AAB138A"/>
    <w:rsid w:val="7AB804CF"/>
    <w:rsid w:val="7AB82530"/>
    <w:rsid w:val="7AE74A5D"/>
    <w:rsid w:val="7AF1471D"/>
    <w:rsid w:val="7AF60ACF"/>
    <w:rsid w:val="7AF97A75"/>
    <w:rsid w:val="7B1E1B58"/>
    <w:rsid w:val="7B2E3BC3"/>
    <w:rsid w:val="7B4909FD"/>
    <w:rsid w:val="7B590514"/>
    <w:rsid w:val="7B5B603A"/>
    <w:rsid w:val="7B7146AD"/>
    <w:rsid w:val="7B7517F2"/>
    <w:rsid w:val="7B8B4B71"/>
    <w:rsid w:val="7B8C4ADD"/>
    <w:rsid w:val="7B9641A6"/>
    <w:rsid w:val="7B9F47D4"/>
    <w:rsid w:val="7BAC5E1C"/>
    <w:rsid w:val="7BCB31C0"/>
    <w:rsid w:val="7BDF6C6B"/>
    <w:rsid w:val="7BF87D2D"/>
    <w:rsid w:val="7C0C0795"/>
    <w:rsid w:val="7C0E12FE"/>
    <w:rsid w:val="7C260B82"/>
    <w:rsid w:val="7C2B1EB0"/>
    <w:rsid w:val="7C5149A9"/>
    <w:rsid w:val="7C6026CD"/>
    <w:rsid w:val="7C6B4037"/>
    <w:rsid w:val="7C716D5B"/>
    <w:rsid w:val="7C8F68E3"/>
    <w:rsid w:val="7C9378B1"/>
    <w:rsid w:val="7C9C6796"/>
    <w:rsid w:val="7C9E7B4B"/>
    <w:rsid w:val="7CA30637"/>
    <w:rsid w:val="7CB812F3"/>
    <w:rsid w:val="7CB9570E"/>
    <w:rsid w:val="7CC16371"/>
    <w:rsid w:val="7CEC7123"/>
    <w:rsid w:val="7D036989"/>
    <w:rsid w:val="7D2B7EDD"/>
    <w:rsid w:val="7D307A98"/>
    <w:rsid w:val="7D380D29"/>
    <w:rsid w:val="7D4F7E21"/>
    <w:rsid w:val="7D584F27"/>
    <w:rsid w:val="7D5E5C0B"/>
    <w:rsid w:val="7D737866"/>
    <w:rsid w:val="7DAB14FB"/>
    <w:rsid w:val="7DAC369E"/>
    <w:rsid w:val="7DAC5273"/>
    <w:rsid w:val="7DBF6D54"/>
    <w:rsid w:val="7DC76A57"/>
    <w:rsid w:val="7DE4234B"/>
    <w:rsid w:val="7DFD5ACF"/>
    <w:rsid w:val="7E004525"/>
    <w:rsid w:val="7E0714B7"/>
    <w:rsid w:val="7E221091"/>
    <w:rsid w:val="7E464D80"/>
    <w:rsid w:val="7E5958EF"/>
    <w:rsid w:val="7E6D10D6"/>
    <w:rsid w:val="7E7F4735"/>
    <w:rsid w:val="7E835FD4"/>
    <w:rsid w:val="7E8D0C00"/>
    <w:rsid w:val="7EAB29C4"/>
    <w:rsid w:val="7EC55299"/>
    <w:rsid w:val="7ECC2A41"/>
    <w:rsid w:val="7ED700CE"/>
    <w:rsid w:val="7EE822DB"/>
    <w:rsid w:val="7F030EC3"/>
    <w:rsid w:val="7F201A75"/>
    <w:rsid w:val="7F2A790B"/>
    <w:rsid w:val="7F2F1CB8"/>
    <w:rsid w:val="7F5259A6"/>
    <w:rsid w:val="7F570C65"/>
    <w:rsid w:val="7F5819C8"/>
    <w:rsid w:val="7F707C46"/>
    <w:rsid w:val="7F97371E"/>
    <w:rsid w:val="7F9F4F21"/>
    <w:rsid w:val="7FA501CC"/>
    <w:rsid w:val="7FB5625E"/>
    <w:rsid w:val="7FC56178"/>
    <w:rsid w:val="7FC73101"/>
    <w:rsid w:val="7FCC7507"/>
    <w:rsid w:val="7FEF0AAD"/>
    <w:rsid w:val="7FFC23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0"/>
    <w:pPr>
      <w:keepNext/>
      <w:keepLines/>
      <w:spacing w:before="200" w:beforeLines="0" w:beforeAutospacing="0" w:after="100" w:afterLines="0" w:afterAutospacing="0" w:line="360" w:lineRule="auto"/>
      <w:outlineLvl w:val="1"/>
    </w:pPr>
    <w:rPr>
      <w:rFonts w:ascii="Arial" w:hAnsi="Arial"/>
      <w:b/>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widowControl/>
      <w:spacing w:before="200" w:beforeLines="0" w:line="276" w:lineRule="auto"/>
      <w:jc w:val="left"/>
      <w:outlineLvl w:val="3"/>
    </w:pPr>
    <w:rPr>
      <w:rFonts w:ascii="Cambria" w:hAnsi="Cambria"/>
      <w:b/>
      <w:bCs/>
      <w:i/>
      <w:iCs/>
      <w:color w:val="2DA2BF"/>
      <w:kern w:val="0"/>
      <w:sz w:val="20"/>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lock Text"/>
    <w:basedOn w:val="1"/>
    <w:next w:val="1"/>
    <w:qFormat/>
    <w:uiPriority w:val="0"/>
    <w:pPr>
      <w:autoSpaceDE w:val="0"/>
      <w:autoSpaceDN w:val="0"/>
      <w:adjustRightInd w:val="0"/>
      <w:spacing w:before="1" w:line="537" w:lineRule="exact"/>
      <w:ind w:left="88" w:right="6"/>
    </w:pPr>
    <w:rPr>
      <w:rFonts w:cs="宋体"/>
      <w:color w:val="000000"/>
      <w:kern w:val="0"/>
      <w:sz w:val="28"/>
    </w:rPr>
  </w:style>
  <w:style w:type="paragraph" w:styleId="7">
    <w:name w:val="List 3"/>
    <w:basedOn w:val="1"/>
    <w:qFormat/>
    <w:uiPriority w:val="0"/>
    <w:pPr>
      <w:ind w:left="1260" w:hanging="420"/>
    </w:pPr>
    <w:rPr>
      <w:szCs w:val="20"/>
    </w:rPr>
  </w:style>
  <w:style w:type="paragraph" w:styleId="8">
    <w:name w:val="Normal Indent"/>
    <w:basedOn w:val="1"/>
    <w:next w:val="1"/>
    <w:qFormat/>
    <w:uiPriority w:val="99"/>
    <w:pPr>
      <w:spacing w:line="660" w:lineRule="exact"/>
      <w:ind w:firstLine="567"/>
      <w:jc w:val="left"/>
    </w:pPr>
    <w:rPr>
      <w:rFonts w:eastAsia="宋体"/>
      <w:kern w:val="2"/>
      <w:sz w:val="28"/>
      <w:lang w:val="en-US" w:eastAsia="zh-CN" w:bidi="ar-SA"/>
    </w:rPr>
  </w:style>
  <w:style w:type="paragraph" w:styleId="9">
    <w:name w:val="caption"/>
    <w:basedOn w:val="1"/>
    <w:next w:val="1"/>
    <w:qFormat/>
    <w:uiPriority w:val="35"/>
    <w:pPr>
      <w:spacing w:line="520" w:lineRule="exact"/>
      <w:ind w:firstLine="0" w:firstLineChars="0"/>
      <w:jc w:val="center"/>
    </w:pPr>
    <w:rPr>
      <w:rFonts w:eastAsia="黑体" w:cs="Times New Roman"/>
      <w:szCs w:val="20"/>
    </w:rPr>
  </w:style>
  <w:style w:type="paragraph" w:styleId="10">
    <w:name w:val="annotation text"/>
    <w:basedOn w:val="1"/>
    <w:qFormat/>
    <w:uiPriority w:val="0"/>
    <w:pPr>
      <w:jc w:val="left"/>
    </w:pPr>
  </w:style>
  <w:style w:type="paragraph" w:styleId="11">
    <w:name w:val="Salutation"/>
    <w:basedOn w:val="1"/>
    <w:next w:val="1"/>
    <w:qFormat/>
    <w:uiPriority w:val="0"/>
  </w:style>
  <w:style w:type="paragraph" w:styleId="12">
    <w:name w:val="Body Text"/>
    <w:basedOn w:val="1"/>
    <w:qFormat/>
    <w:uiPriority w:val="0"/>
    <w:pPr>
      <w:widowControl/>
      <w:snapToGrid w:val="0"/>
      <w:spacing w:before="60" w:after="160" w:line="259" w:lineRule="auto"/>
      <w:ind w:right="113"/>
    </w:pPr>
    <w:rPr>
      <w:kern w:val="0"/>
      <w:sz w:val="18"/>
      <w:szCs w:val="20"/>
    </w:rPr>
  </w:style>
  <w:style w:type="paragraph" w:styleId="13">
    <w:name w:val="Plain Text"/>
    <w:basedOn w:val="1"/>
    <w:next w:val="14"/>
    <w:qFormat/>
    <w:uiPriority w:val="0"/>
    <w:rPr>
      <w:rFonts w:ascii="宋体" w:hAnsi="Courier New" w:eastAsia="宋体"/>
      <w:kern w:val="2"/>
      <w:sz w:val="21"/>
      <w:lang w:val="en-US" w:eastAsia="zh-CN" w:bidi="ar-SA"/>
    </w:rPr>
  </w:style>
  <w:style w:type="paragraph" w:styleId="14">
    <w:name w:val="toc 1"/>
    <w:basedOn w:val="1"/>
    <w:next w:val="1"/>
    <w:qFormat/>
    <w:uiPriority w:val="39"/>
    <w:pPr>
      <w:spacing w:before="120" w:after="120"/>
      <w:jc w:val="left"/>
    </w:pPr>
    <w:rPr>
      <w:b/>
      <w:bCs/>
      <w:caps/>
      <w:sz w:val="20"/>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Body Text First Indent"/>
    <w:basedOn w:val="12"/>
    <w:qFormat/>
    <w:uiPriority w:val="0"/>
    <w:pPr>
      <w:spacing w:after="120" w:afterLines="0"/>
      <w:ind w:firstLine="420"/>
      <w:jc w:val="both"/>
    </w:pPr>
    <w:rPr>
      <w:sz w:val="21"/>
    </w:rPr>
  </w:style>
  <w:style w:type="paragraph" w:styleId="18">
    <w:name w:val="Body Text First Indent 2"/>
    <w:basedOn w:val="1"/>
    <w:next w:val="1"/>
    <w:qFormat/>
    <w:uiPriority w:val="0"/>
    <w:pPr>
      <w:spacing w:after="120" w:line="240" w:lineRule="auto"/>
      <w:ind w:left="420" w:leftChars="200" w:firstLine="420"/>
    </w:pPr>
    <w:rPr>
      <w:rFonts w:ascii="Times New Roman" w:hAnsi="Times New Roman" w:eastAsia="宋体"/>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paragraph" w:customStyle="1" w:styleId="23">
    <w:name w:val="报告正文"/>
    <w:basedOn w:val="1"/>
    <w:qFormat/>
    <w:uiPriority w:val="0"/>
    <w:pPr>
      <w:adjustRightInd w:val="0"/>
      <w:snapToGrid w:val="0"/>
      <w:spacing w:line="360" w:lineRule="auto"/>
      <w:ind w:firstLine="200" w:firstLineChars="200"/>
    </w:pPr>
    <w:rPr>
      <w:rFonts w:ascii="宋体" w:hAnsi="Times New Roman"/>
      <w:sz w:val="24"/>
      <w:szCs w:val="20"/>
    </w:rPr>
  </w:style>
  <w:style w:type="paragraph" w:customStyle="1" w:styleId="24">
    <w:name w:val="Table Paragraph"/>
    <w:basedOn w:val="1"/>
    <w:qFormat/>
    <w:uiPriority w:val="1"/>
    <w:pPr>
      <w:jc w:val="center"/>
    </w:pPr>
    <w:rPr>
      <w:rFonts w:ascii="宋体" w:hAnsi="宋体" w:eastAsia="宋体" w:cs="宋体"/>
      <w:lang w:val="zh-CN" w:eastAsia="zh-CN" w:bidi="zh-CN"/>
    </w:rPr>
  </w:style>
  <w:style w:type="paragraph" w:customStyle="1" w:styleId="25">
    <w:name w:val="样式chy"/>
    <w:basedOn w:val="1"/>
    <w:qFormat/>
    <w:uiPriority w:val="0"/>
    <w:pPr>
      <w:spacing w:line="480" w:lineRule="exact"/>
      <w:ind w:firstLine="480"/>
    </w:pPr>
    <w:rPr>
      <w:spacing w:val="20"/>
      <w:sz w:val="24"/>
    </w:rPr>
  </w:style>
  <w:style w:type="paragraph" w:customStyle="1" w:styleId="26">
    <w:name w:val="Table Text"/>
    <w:basedOn w:val="1"/>
    <w:semiHidden/>
    <w:qFormat/>
    <w:uiPriority w:val="0"/>
    <w:rPr>
      <w:rFonts w:ascii="宋体" w:hAnsi="宋体" w:eastAsia="宋体" w:cs="宋体"/>
      <w:sz w:val="24"/>
      <w:szCs w:val="24"/>
      <w:lang w:val="en-US" w:eastAsia="en-US" w:bidi="ar-SA"/>
    </w:rPr>
  </w:style>
  <w:style w:type="table" w:customStyle="1" w:styleId="27">
    <w:name w:val="Table Normal"/>
    <w:semiHidden/>
    <w:unhideWhenUsed/>
    <w:qFormat/>
    <w:uiPriority w:val="0"/>
    <w:tblPr>
      <w:tblCellMar>
        <w:top w:w="0" w:type="dxa"/>
        <w:left w:w="0" w:type="dxa"/>
        <w:bottom w:w="0" w:type="dxa"/>
        <w:right w:w="0" w:type="dxa"/>
      </w:tblCellMar>
    </w:tblPr>
  </w:style>
  <w:style w:type="character" w:customStyle="1" w:styleId="28">
    <w:name w:val="font31"/>
    <w:basedOn w:val="21"/>
    <w:qFormat/>
    <w:uiPriority w:val="0"/>
    <w:rPr>
      <w:rFonts w:hint="eastAsia" w:ascii="宋体" w:hAnsi="宋体" w:eastAsia="宋体" w:cs="宋体"/>
      <w:b/>
      <w:bCs/>
      <w:color w:val="000000"/>
      <w:sz w:val="21"/>
      <w:szCs w:val="21"/>
      <w:u w:val="none"/>
    </w:rPr>
  </w:style>
  <w:style w:type="character" w:customStyle="1" w:styleId="29">
    <w:name w:val="font41"/>
    <w:basedOn w:val="21"/>
    <w:qFormat/>
    <w:uiPriority w:val="0"/>
    <w:rPr>
      <w:rFonts w:hint="default" w:ascii="Times New Roman" w:hAnsi="Times New Roman" w:cs="Times New Roman"/>
      <w:color w:val="000000"/>
      <w:sz w:val="21"/>
      <w:szCs w:val="21"/>
      <w:u w:val="none"/>
      <w:vertAlign w:val="subscript"/>
    </w:rPr>
  </w:style>
  <w:style w:type="character" w:customStyle="1" w:styleId="30">
    <w:name w:val="font21"/>
    <w:basedOn w:val="21"/>
    <w:qFormat/>
    <w:uiPriority w:val="0"/>
    <w:rPr>
      <w:rFonts w:hint="default" w:ascii="Times New Roman" w:hAnsi="Times New Roman" w:cs="Times New Roman"/>
      <w:color w:val="000000"/>
      <w:sz w:val="21"/>
      <w:szCs w:val="21"/>
      <w:u w:val="none"/>
    </w:rPr>
  </w:style>
  <w:style w:type="paragraph" w:customStyle="1" w:styleId="31">
    <w:name w:val="biaotou"/>
    <w:basedOn w:val="32"/>
    <w:qFormat/>
    <w:uiPriority w:val="0"/>
    <w:pPr>
      <w:numPr>
        <w:ilvl w:val="0"/>
        <w:numId w:val="1"/>
      </w:numPr>
      <w:autoSpaceDE w:val="0"/>
      <w:autoSpaceDN w:val="0"/>
      <w:adjustRightInd w:val="0"/>
      <w:spacing w:before="50" w:beforeLines="50"/>
      <w:jc w:val="center"/>
    </w:pPr>
    <w:rPr>
      <w:rFonts w:ascii="黑体" w:hAnsi="宋体" w:eastAsia="黑体"/>
      <w:sz w:val="22"/>
      <w:lang w:val="zh-CN"/>
    </w:rPr>
  </w:style>
  <w:style w:type="paragraph" w:customStyle="1" w:styleId="32">
    <w:name w:val="正"/>
    <w:basedOn w:val="1"/>
    <w:qFormat/>
    <w:uiPriority w:val="0"/>
    <w:pPr>
      <w:adjustRightInd w:val="0"/>
      <w:spacing w:line="360" w:lineRule="auto"/>
      <w:ind w:left="23" w:leftChars="11" w:firstLine="480" w:firstLineChars="200"/>
    </w:pPr>
    <w:rPr>
      <w:rFonts w:ascii="Times New Roman" w:hAnsi="Times New Roman"/>
      <w:kern w:val="2"/>
      <w:sz w:val="24"/>
      <w:szCs w:val="24"/>
    </w:rPr>
  </w:style>
  <w:style w:type="paragraph" w:customStyle="1" w:styleId="33">
    <w:name w:val="普通(网站)1"/>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34">
    <w:name w:val="表内 定"/>
    <w:basedOn w:val="1"/>
    <w:qFormat/>
    <w:uiPriority w:val="0"/>
    <w:rPr>
      <w:rFonts w:ascii="Calibri" w:hAnsi="Calibri"/>
      <w:color w:val="000000"/>
    </w:rPr>
  </w:style>
  <w:style w:type="paragraph" w:customStyle="1" w:styleId="35">
    <w:name w:val="表内格式"/>
    <w:basedOn w:val="1"/>
    <w:next w:val="1"/>
    <w:qFormat/>
    <w:uiPriority w:val="0"/>
    <w:pPr>
      <w:widowControl/>
      <w:adjustRightInd w:val="0"/>
      <w:snapToGrid w:val="0"/>
      <w:ind w:left="-1" w:leftChars="-5" w:hanging="13" w:hangingChars="6"/>
      <w:jc w:val="center"/>
    </w:pPr>
    <w:rPr>
      <w:rFonts w:ascii="黑体" w:hAnsi="Calibri" w:eastAsia="楷体_GB2312"/>
      <w:kern w:val="0"/>
      <w:sz w:val="18"/>
      <w:szCs w:val="18"/>
      <w:lang w:val="zh-CN"/>
    </w:rPr>
  </w:style>
  <w:style w:type="paragraph" w:customStyle="1" w:styleId="36">
    <w:name w:val="表格内容"/>
    <w:basedOn w:val="1"/>
    <w:qFormat/>
    <w:uiPriority w:val="0"/>
    <w:rPr>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84</Words>
  <Characters>86</Characters>
  <Lines>0</Lines>
  <Paragraphs>0</Paragraphs>
  <TotalTime>8</TotalTime>
  <ScaleCrop>false</ScaleCrop>
  <LinksUpToDate>false</LinksUpToDate>
  <CharactersWithSpaces>111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青草绿洲付江波</cp:lastModifiedBy>
  <cp:lastPrinted>2024-12-12T03:11:00Z</cp:lastPrinted>
  <dcterms:modified xsi:type="dcterms:W3CDTF">2024-12-16T02:45:19Z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DA94596A39F440EDB5AEA55AD29837B6_13</vt:lpwstr>
  </property>
</Properties>
</file>