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AAD76">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4BE88BDD">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豫0526环罚决字〔2024〕41号</w:t>
      </w:r>
      <w:bookmarkEnd w:id="0"/>
      <w:r>
        <w:rPr>
          <w:rFonts w:ascii="FZKTK--GBK1-0" w:hAnsi="FZKTK--GBK1-0" w:eastAsia="FZKTK--GBK1-0" w:cs="FZKTK--GBK1-0"/>
          <w:color w:val="000000"/>
          <w:kern w:val="0"/>
          <w:sz w:val="32"/>
          <w:szCs w:val="32"/>
          <w:lang w:val="en-US" w:eastAsia="zh-CN" w:bidi="ar"/>
        </w:rPr>
        <w:t xml:space="preserve"> </w:t>
      </w:r>
    </w:p>
    <w:p w14:paraId="0E5A603A">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滑县鑫佳美制冷配件厂： </w:t>
      </w:r>
    </w:p>
    <w:p w14:paraId="3768EE4F">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91410526MA44NY3G6F </w:t>
      </w:r>
    </w:p>
    <w:p w14:paraId="101368AC">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地址：安阳市滑县王庄镇郭草滩村 </w:t>
      </w:r>
      <w:r>
        <w:rPr>
          <w:rFonts w:hint="default" w:ascii="Times New Roman" w:hAnsi="Times New Roman" w:eastAsia="宋体" w:cs="Times New Roman"/>
          <w:color w:val="000000"/>
          <w:kern w:val="0"/>
          <w:sz w:val="32"/>
          <w:szCs w:val="32"/>
          <w:lang w:val="en-US" w:eastAsia="zh-CN" w:bidi="ar"/>
        </w:rPr>
        <w:t xml:space="preserve">99 </w:t>
      </w:r>
      <w:r>
        <w:rPr>
          <w:rFonts w:hint="eastAsia" w:ascii="仿宋" w:hAnsi="仿宋" w:eastAsia="仿宋" w:cs="仿宋"/>
          <w:color w:val="000000"/>
          <w:kern w:val="0"/>
          <w:sz w:val="32"/>
          <w:szCs w:val="32"/>
          <w:lang w:val="en-US" w:eastAsia="zh-CN" w:bidi="ar"/>
        </w:rPr>
        <w:t xml:space="preserve">号 </w:t>
      </w:r>
    </w:p>
    <w:p w14:paraId="67F242DD">
      <w:pPr>
        <w:keepNext w:val="0"/>
        <w:keepLines w:val="0"/>
        <w:widowControl/>
        <w:suppressLineNumbers w:val="0"/>
        <w:jc w:val="left"/>
      </w:pPr>
      <w:r>
        <w:rPr>
          <w:rFonts w:hint="eastAsia" w:ascii="仿宋" w:hAnsi="仿宋" w:eastAsia="仿宋" w:cs="仿宋"/>
          <w:color w:val="000000"/>
          <w:kern w:val="0"/>
          <w:sz w:val="32"/>
          <w:szCs w:val="32"/>
          <w:lang w:val="en-US" w:eastAsia="zh-CN" w:bidi="ar"/>
        </w:rPr>
        <w:t>投资人：汪彦军</w:t>
      </w:r>
      <w:r>
        <w:rPr>
          <w:rFonts w:hint="default" w:ascii="Times New Roman" w:hAnsi="Times New Roman" w:eastAsia="宋体" w:cs="Times New Roman"/>
          <w:color w:val="000000"/>
          <w:kern w:val="0"/>
          <w:sz w:val="32"/>
          <w:szCs w:val="32"/>
          <w:lang w:val="en-US" w:eastAsia="zh-CN" w:bidi="ar"/>
        </w:rPr>
        <w:t xml:space="preserve"> </w:t>
      </w:r>
    </w:p>
    <w:p w14:paraId="11B06C76">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14DD350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28</w:t>
      </w:r>
      <w:r>
        <w:rPr>
          <w:rFonts w:hint="eastAsia" w:ascii="仿宋" w:hAnsi="仿宋" w:eastAsia="仿宋" w:cs="仿宋"/>
          <w:color w:val="000000"/>
          <w:kern w:val="0"/>
          <w:sz w:val="32"/>
          <w:szCs w:val="32"/>
          <w:lang w:val="en-US" w:eastAsia="zh-CN" w:bidi="ar"/>
        </w:rPr>
        <w:t>日对你单位进行了调查，发现你单位实施了以下环境违法行为：你单位发泡工序正在生产，配套建设的低温等离子</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光氧催化</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活性炭吸附装置正常开启，发泡车间大门未密闭，你单位从事产生含挥发生有机物废气的生产活动未在密闭空间中进行。 </w:t>
      </w:r>
    </w:p>
    <w:p w14:paraId="3A04E0D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以上事实，主要有以下证据证明：现场检查笔录；现场照片证据；现场勘查示意图；调查询问笔录；《统计上大中小微型企业划分办法》网站截图及打印件；固定污染源排污登记回执复印件；营业执照复印件；投资人身份证复印件；建设项目环境影响报告表及批复打印件；竣工环境保护验收监测报告复印件；职工名单；执法证扫描件。 </w:t>
      </w:r>
    </w:p>
    <w:p w14:paraId="23C3CFA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37</w:t>
      </w:r>
      <w:r>
        <w:rPr>
          <w:rFonts w:hint="eastAsia" w:ascii="仿宋" w:hAnsi="仿宋" w:eastAsia="仿宋" w:cs="仿宋"/>
          <w:color w:val="000000"/>
          <w:kern w:val="0"/>
          <w:sz w:val="32"/>
          <w:szCs w:val="32"/>
          <w:lang w:val="en-US" w:eastAsia="zh-CN" w:bidi="ar"/>
        </w:rPr>
        <w:t>号），责令你单位立即在密闭空间中作业。</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 xml:space="preserve">2 </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日，根据责改要求，我局对你单位违法行为整改情况进行复查，你单位进行发泡生产时，发泡车间已密闭到位。 </w:t>
      </w:r>
    </w:p>
    <w:p w14:paraId="49B45AD1">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24</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35</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4C1DB59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3515F815">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4662E93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从事产生含挥发生有机物废气的生产活动未在密闭空间中进行违法行为违反了《中华人民共和国大气污染防治法》第四十五条：“产生含挥发性有机物废气的生产和服务活动，应当在密闭空间或者设备中进行，并按照规定安装、使用污染防治设施；无法密闭的，应当采取措施减少废气排放。”的规定。 </w:t>
      </w:r>
    </w:p>
    <w:p w14:paraId="0905AA3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大气污染防治法》第一百零八条第一项：“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结合你单位违法行为的事实、性质、情节、社会危害程度和相关证据，参照《河南省生态环境行政处罚裁量基准》和现场取证情况，对你单位的违法行为裁量如下：裁量因素：违法事实，内容：未按要求密闭</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未规范使用污染防治设施，裁量等级：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，裁量因素：涉及行业，内容：涂装、印刷、包装、粘合等含挥发性有机物的产品使用，基础化学原料制造、化学药品原料药制造等含挥发性有机物的产品生产，裁量等级：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；裁量因素：生产和服务活动地点，内容：符合环境功能区划，裁量等级：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[2,1,1,1,1,1,1,1]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28550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28550=20000+(200000-20000)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 xml:space="preserve">² </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28550.0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6929E22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经研究，我局对你单位从事产生含挥发生有机物废气的生产活动未在密闭空间中进行违法行为作出以下行政处罚决定： </w:t>
      </w:r>
    </w:p>
    <w:p w14:paraId="15A6FF3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贰万捌仟伍佰伍拾元整的行政处罚。</w:t>
      </w:r>
      <w:r>
        <w:rPr>
          <w:rFonts w:hint="default" w:ascii="Times New Roman" w:hAnsi="Times New Roman" w:eastAsia="宋体" w:cs="Times New Roman"/>
          <w:color w:val="000000"/>
          <w:kern w:val="0"/>
          <w:sz w:val="32"/>
          <w:szCs w:val="32"/>
          <w:lang w:val="en-US" w:eastAsia="zh-CN" w:bidi="ar"/>
        </w:rPr>
        <w:t xml:space="preserve"> </w:t>
      </w:r>
    </w:p>
    <w:p w14:paraId="20BEBC66">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79B52C5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4531CCE0">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08D9A21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51CFE92A">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r>
        <w:rPr>
          <w:rFonts w:hint="default" w:ascii="Times New Roman" w:hAnsi="Times New Roman" w:eastAsia="宋体" w:cs="Times New Roman"/>
          <w:color w:val="000000"/>
          <w:kern w:val="0"/>
          <w:sz w:val="32"/>
          <w:szCs w:val="32"/>
          <w:lang w:val="en-US" w:eastAsia="zh-CN" w:bidi="ar"/>
        </w:rPr>
        <w:t xml:space="preserve"> </w:t>
      </w:r>
    </w:p>
    <w:p w14:paraId="2E1C5B33">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p>
    <w:p w14:paraId="634C5B0F">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p>
    <w:p w14:paraId="006AFB35">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1C977F21">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21</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1DE124F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2YwZjg3Zjc3YWMwNzQ2Y2U3YTZhODA5NmVmOGQifQ=="/>
  </w:docVars>
  <w:rsids>
    <w:rsidRoot w:val="3D862CCA"/>
    <w:rsid w:val="3D862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7</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2024-10-30T09:09:00Z</dcterms:created>
  <dc:creator>Administrator</dc:creator>
  <cp:lastModifiedBy>Administrator</cp:lastModifiedBy>
  <dcterms:modified xsi:type="dcterms:W3CDTF">2024-10-30T09:17:27Z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5C563F5342AA427B9B9818D83E91A59A_11</vt:lpwstr>
  </property>
</Properties>
</file>