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18890">
      <w:pPr>
        <w:pStyle w:val="13"/>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333333"/>
          <w:sz w:val="30"/>
          <w:szCs w:val="30"/>
          <w:highlight w:val="none"/>
        </w:rPr>
      </w:pPr>
      <w:r>
        <w:rPr>
          <w:rFonts w:ascii="方正小标宋简体" w:hAnsi="方正小标宋简体" w:eastAsia="方正小标宋简体" w:cs="方正小标宋简体"/>
          <w:color w:val="333333"/>
          <w:sz w:val="30"/>
          <w:szCs w:val="30"/>
          <w:highlight w:val="none"/>
        </w:rPr>
        <w:t>关于</w:t>
      </w:r>
      <w:r>
        <w:rPr>
          <w:rFonts w:hint="eastAsia" w:ascii="方正小标宋简体" w:hAnsi="方正小标宋简体" w:eastAsia="方正小标宋简体" w:cs="方正小标宋简体"/>
          <w:color w:val="333333"/>
          <w:sz w:val="30"/>
          <w:szCs w:val="30"/>
          <w:highlight w:val="none"/>
          <w:lang w:val="en-US" w:eastAsia="zh-CN"/>
        </w:rPr>
        <w:t>2024</w:t>
      </w:r>
      <w:r>
        <w:rPr>
          <w:rFonts w:ascii="方正小标宋简体" w:hAnsi="方正小标宋简体" w:eastAsia="方正小标宋简体" w:cs="方正小标宋简体"/>
          <w:color w:val="333333"/>
          <w:sz w:val="30"/>
          <w:szCs w:val="30"/>
          <w:highlight w:val="none"/>
        </w:rPr>
        <w:t>年</w:t>
      </w:r>
      <w:r>
        <w:rPr>
          <w:rFonts w:hint="eastAsia" w:ascii="方正小标宋简体" w:hAnsi="方正小标宋简体" w:eastAsia="方正小标宋简体" w:cs="方正小标宋简体"/>
          <w:color w:val="333333"/>
          <w:sz w:val="30"/>
          <w:szCs w:val="30"/>
          <w:highlight w:val="none"/>
          <w:lang w:val="en-US" w:eastAsia="zh-CN"/>
        </w:rPr>
        <w:t>10</w:t>
      </w:r>
      <w:r>
        <w:rPr>
          <w:rFonts w:ascii="方正小标宋简体" w:hAnsi="方正小标宋简体" w:eastAsia="方正小标宋简体" w:cs="方正小标宋简体"/>
          <w:color w:val="333333"/>
          <w:sz w:val="30"/>
          <w:szCs w:val="30"/>
          <w:highlight w:val="none"/>
        </w:rPr>
        <w:t>月</w:t>
      </w:r>
      <w:r>
        <w:rPr>
          <w:rFonts w:hint="eastAsia" w:ascii="方正小标宋简体" w:hAnsi="方正小标宋简体" w:eastAsia="方正小标宋简体" w:cs="方正小标宋简体"/>
          <w:color w:val="333333"/>
          <w:sz w:val="30"/>
          <w:szCs w:val="30"/>
          <w:highlight w:val="none"/>
          <w:lang w:val="en-US" w:eastAsia="zh-CN"/>
        </w:rPr>
        <w:t>22</w:t>
      </w:r>
      <w:r>
        <w:rPr>
          <w:rFonts w:ascii="方正小标宋简体" w:hAnsi="方正小标宋简体" w:eastAsia="方正小标宋简体" w:cs="方正小标宋简体"/>
          <w:color w:val="333333"/>
          <w:sz w:val="30"/>
          <w:szCs w:val="30"/>
          <w:highlight w:val="none"/>
        </w:rPr>
        <w:t>日</w:t>
      </w:r>
      <w:r>
        <w:rPr>
          <w:rFonts w:hint="eastAsia" w:ascii="方正小标宋简体" w:hAnsi="方正小标宋简体" w:eastAsia="方正小标宋简体" w:cs="方正小标宋简体"/>
          <w:color w:val="333333"/>
          <w:sz w:val="30"/>
          <w:szCs w:val="30"/>
          <w:highlight w:val="none"/>
        </w:rPr>
        <w:t>拟作出的建设项目环境影响评价文件</w:t>
      </w:r>
    </w:p>
    <w:p w14:paraId="7AC001A1">
      <w:pPr>
        <w:pStyle w:val="13"/>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方正小标宋简体" w:hAnsi="方正小标宋简体" w:eastAsia="方正小标宋简体" w:cs="方正小标宋简体"/>
          <w:color w:val="333333"/>
          <w:sz w:val="30"/>
          <w:szCs w:val="30"/>
        </w:rPr>
      </w:pPr>
      <w:r>
        <w:rPr>
          <w:rFonts w:hint="eastAsia" w:ascii="方正小标宋简体" w:hAnsi="方正小标宋简体" w:eastAsia="方正小标宋简体" w:cs="方正小标宋简体"/>
          <w:color w:val="333333"/>
          <w:sz w:val="30"/>
          <w:szCs w:val="30"/>
          <w:highlight w:val="none"/>
        </w:rPr>
        <w:t>批复决定的公示</w:t>
      </w:r>
    </w:p>
    <w:p w14:paraId="609341E7">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w:t>
      </w:r>
      <w:r>
        <w:rPr>
          <w:rFonts w:hint="eastAsia" w:ascii="宋体" w:hAnsi="宋体" w:eastAsia="宋体" w:cs="宋体"/>
          <w:color w:val="000000"/>
          <w:sz w:val="21"/>
          <w:szCs w:val="21"/>
          <w:shd w:val="clear" w:color="auto" w:fill="FFFFFF"/>
          <w:lang w:val="en-US" w:eastAsia="zh-CN"/>
        </w:rPr>
        <w:t>1</w:t>
      </w:r>
      <w:r>
        <w:rPr>
          <w:rFonts w:hint="eastAsia" w:ascii="宋体" w:hAnsi="宋体" w:eastAsia="宋体" w:cs="宋体"/>
          <w:color w:val="000000"/>
          <w:sz w:val="21"/>
          <w:szCs w:val="21"/>
          <w:shd w:val="clear" w:color="auto" w:fill="FFFFFF"/>
        </w:rPr>
        <w:t>个建设项目环境影响评价文件作出审批意见。为保证审批意见的严肃性和公正性，现将各建设项目环境影响评价文件的基本情况予以公示。如有异议，请在公示期内反馈我局环评科。公示期为</w:t>
      </w:r>
      <w:r>
        <w:rPr>
          <w:rFonts w:hint="eastAsia" w:ascii="宋体" w:hAnsi="宋体" w:eastAsia="宋体" w:cs="宋体"/>
          <w:color w:val="000000"/>
          <w:sz w:val="21"/>
          <w:szCs w:val="21"/>
          <w:shd w:val="clear" w:color="auto" w:fill="FFFFFF"/>
          <w:lang w:val="en-US" w:eastAsia="zh-CN"/>
        </w:rPr>
        <w:t>2024</w:t>
      </w:r>
      <w:r>
        <w:rPr>
          <w:rFonts w:hint="eastAsia" w:ascii="宋体" w:hAnsi="宋体" w:eastAsia="宋体" w:cs="宋体"/>
          <w:color w:val="000000"/>
          <w:sz w:val="21"/>
          <w:szCs w:val="21"/>
          <w:highlight w:val="none"/>
          <w:shd w:val="clear" w:color="auto" w:fill="FFFFFF"/>
        </w:rPr>
        <w:t>年</w:t>
      </w:r>
      <w:r>
        <w:rPr>
          <w:rFonts w:hint="eastAsia" w:ascii="宋体" w:hAnsi="宋体" w:eastAsia="宋体" w:cs="宋体"/>
          <w:color w:val="000000"/>
          <w:sz w:val="21"/>
          <w:szCs w:val="21"/>
          <w:highlight w:val="none"/>
          <w:shd w:val="clear" w:color="auto" w:fill="FFFFFF"/>
          <w:lang w:val="en-US" w:eastAsia="zh-CN"/>
        </w:rPr>
        <w:t>10</w:t>
      </w:r>
      <w:r>
        <w:rPr>
          <w:rFonts w:hint="eastAsia" w:ascii="宋体" w:hAnsi="宋体" w:eastAsia="宋体" w:cs="宋体"/>
          <w:color w:val="000000"/>
          <w:sz w:val="21"/>
          <w:szCs w:val="21"/>
          <w:highlight w:val="none"/>
          <w:shd w:val="clear" w:color="auto" w:fill="FFFFFF"/>
        </w:rPr>
        <w:t>月</w:t>
      </w:r>
      <w:r>
        <w:rPr>
          <w:rFonts w:hint="eastAsia" w:ascii="宋体" w:hAnsi="宋体" w:eastAsia="宋体" w:cs="宋体"/>
          <w:color w:val="000000"/>
          <w:sz w:val="21"/>
          <w:szCs w:val="21"/>
          <w:highlight w:val="none"/>
          <w:shd w:val="clear" w:color="auto" w:fill="FFFFFF"/>
          <w:lang w:val="en-US" w:eastAsia="zh-CN"/>
        </w:rPr>
        <w:t>22</w:t>
      </w:r>
      <w:r>
        <w:rPr>
          <w:rFonts w:hint="eastAsia" w:ascii="宋体" w:hAnsi="宋体" w:eastAsia="宋体" w:cs="宋体"/>
          <w:color w:val="000000"/>
          <w:sz w:val="21"/>
          <w:szCs w:val="21"/>
          <w:highlight w:val="none"/>
          <w:shd w:val="clear" w:color="auto" w:fill="FFFFFF"/>
        </w:rPr>
        <w:t>日－20</w:t>
      </w:r>
      <w:r>
        <w:rPr>
          <w:rFonts w:hint="eastAsia" w:ascii="宋体" w:hAnsi="宋体" w:eastAsia="宋体" w:cs="宋体"/>
          <w:color w:val="000000"/>
          <w:sz w:val="21"/>
          <w:szCs w:val="21"/>
          <w:highlight w:val="none"/>
          <w:shd w:val="clear" w:color="auto" w:fill="FFFFFF"/>
          <w:lang w:val="en-US" w:eastAsia="zh-CN"/>
        </w:rPr>
        <w:t>24</w:t>
      </w:r>
      <w:r>
        <w:rPr>
          <w:rFonts w:hint="eastAsia" w:ascii="宋体" w:hAnsi="宋体" w:eastAsia="宋体" w:cs="宋体"/>
          <w:color w:val="000000"/>
          <w:sz w:val="21"/>
          <w:szCs w:val="21"/>
          <w:highlight w:val="none"/>
          <w:shd w:val="clear" w:color="auto" w:fill="FFFFFF"/>
        </w:rPr>
        <w:t>年</w:t>
      </w:r>
      <w:r>
        <w:rPr>
          <w:rFonts w:hint="eastAsia" w:ascii="宋体" w:hAnsi="宋体" w:eastAsia="宋体" w:cs="宋体"/>
          <w:color w:val="000000"/>
          <w:sz w:val="21"/>
          <w:szCs w:val="21"/>
          <w:highlight w:val="none"/>
          <w:shd w:val="clear" w:color="auto" w:fill="FFFFFF"/>
          <w:lang w:val="en-US" w:eastAsia="zh-CN"/>
        </w:rPr>
        <w:t>10</w:t>
      </w:r>
      <w:r>
        <w:rPr>
          <w:rFonts w:hint="eastAsia" w:ascii="宋体" w:hAnsi="宋体" w:eastAsia="宋体" w:cs="宋体"/>
          <w:color w:val="000000"/>
          <w:sz w:val="21"/>
          <w:szCs w:val="21"/>
          <w:highlight w:val="none"/>
          <w:shd w:val="clear" w:color="auto" w:fill="FFFFFF"/>
        </w:rPr>
        <w:t>月</w:t>
      </w:r>
      <w:r>
        <w:rPr>
          <w:rFonts w:hint="eastAsia" w:ascii="宋体" w:hAnsi="宋体" w:eastAsia="宋体" w:cs="宋体"/>
          <w:color w:val="000000"/>
          <w:sz w:val="21"/>
          <w:szCs w:val="21"/>
          <w:highlight w:val="none"/>
          <w:shd w:val="clear" w:color="auto" w:fill="FFFFFF"/>
          <w:lang w:val="en-US" w:eastAsia="zh-CN"/>
        </w:rPr>
        <w:t>28</w:t>
      </w:r>
      <w:r>
        <w:rPr>
          <w:rFonts w:hint="eastAsia" w:ascii="宋体" w:hAnsi="宋体" w:eastAsia="宋体" w:cs="宋体"/>
          <w:color w:val="000000"/>
          <w:sz w:val="21"/>
          <w:szCs w:val="21"/>
          <w:highlight w:val="none"/>
          <w:shd w:val="clear" w:color="auto" w:fill="FFFFFF"/>
        </w:rPr>
        <w:t>日（</w:t>
      </w:r>
      <w:r>
        <w:rPr>
          <w:rFonts w:hint="eastAsia" w:ascii="宋体" w:hAnsi="宋体" w:eastAsia="宋体" w:cs="宋体"/>
          <w:color w:val="000000"/>
          <w:sz w:val="21"/>
          <w:szCs w:val="21"/>
          <w:highlight w:val="none"/>
          <w:shd w:val="clear" w:color="auto" w:fill="FFFFFF"/>
          <w:lang w:val="en-US" w:eastAsia="zh-CN"/>
        </w:rPr>
        <w:t>5</w:t>
      </w:r>
      <w:r>
        <w:rPr>
          <w:rFonts w:hint="eastAsia" w:ascii="宋体" w:hAnsi="宋体" w:eastAsia="宋体" w:cs="宋体"/>
          <w:color w:val="000000"/>
          <w:sz w:val="21"/>
          <w:szCs w:val="21"/>
          <w:highlight w:val="none"/>
          <w:shd w:val="clear" w:color="auto" w:fill="FFFFFF"/>
        </w:rPr>
        <w:t>日）。</w:t>
      </w:r>
    </w:p>
    <w:p w14:paraId="03E2F37E">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14:paraId="13AC7597">
      <w:pPr>
        <w:pStyle w:val="13"/>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14:paraId="2ED4C21A">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w:t>
      </w:r>
      <w:r>
        <w:rPr>
          <w:rFonts w:hint="eastAsia" w:ascii="宋体" w:hAnsi="宋体" w:eastAsia="宋体" w:cs="宋体"/>
          <w:color w:val="000000"/>
          <w:sz w:val="21"/>
          <w:szCs w:val="21"/>
          <w:highlight w:val="none"/>
          <w:shd w:val="clear" w:color="auto" w:fill="FFFFFF"/>
        </w:rPr>
        <w:t>公示起</w:t>
      </w:r>
      <w:r>
        <w:rPr>
          <w:rFonts w:hint="eastAsia" w:ascii="宋体" w:hAnsi="宋体" w:eastAsia="宋体" w:cs="宋体"/>
          <w:color w:val="000000"/>
          <w:sz w:val="21"/>
          <w:szCs w:val="21"/>
          <w:highlight w:val="none"/>
          <w:shd w:val="clear" w:color="auto" w:fill="FFFFFF"/>
          <w:lang w:val="en-US" w:eastAsia="zh-CN"/>
        </w:rPr>
        <w:t>五</w:t>
      </w:r>
      <w:r>
        <w:rPr>
          <w:rFonts w:hint="eastAsia" w:ascii="宋体" w:hAnsi="宋体" w:eastAsia="宋体" w:cs="宋体"/>
          <w:color w:val="000000"/>
          <w:sz w:val="21"/>
          <w:szCs w:val="21"/>
          <w:highlight w:val="none"/>
          <w:shd w:val="clear" w:color="auto" w:fill="FFFFFF"/>
        </w:rPr>
        <w:t>日内申请人、有重大</w:t>
      </w:r>
      <w:r>
        <w:rPr>
          <w:rFonts w:hint="eastAsia" w:ascii="宋体" w:hAnsi="宋体" w:eastAsia="宋体" w:cs="宋体"/>
          <w:color w:val="000000"/>
          <w:sz w:val="21"/>
          <w:szCs w:val="21"/>
          <w:shd w:val="clear" w:color="auto" w:fill="FFFFFF"/>
        </w:rPr>
        <w:t>利益关系的利害关系人可对以下拟作出的建设项目环境影响评价文件批复决定要求听证。</w:t>
      </w:r>
    </w:p>
    <w:p w14:paraId="1D7C6C2A">
      <w:pPr>
        <w:pStyle w:val="13"/>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5"/>
        <w:tblW w:w="8115" w:type="dxa"/>
        <w:tblInd w:w="0" w:type="dxa"/>
        <w:tblLayout w:type="autofit"/>
        <w:tblCellMar>
          <w:top w:w="15" w:type="dxa"/>
          <w:left w:w="15" w:type="dxa"/>
          <w:bottom w:w="15" w:type="dxa"/>
          <w:right w:w="15" w:type="dxa"/>
        </w:tblCellMar>
      </w:tblPr>
      <w:tblGrid>
        <w:gridCol w:w="450"/>
        <w:gridCol w:w="436"/>
        <w:gridCol w:w="571"/>
        <w:gridCol w:w="481"/>
        <w:gridCol w:w="842"/>
        <w:gridCol w:w="902"/>
        <w:gridCol w:w="4433"/>
      </w:tblGrid>
      <w:tr w14:paraId="46D5D5C4">
        <w:tblPrEx>
          <w:tblCellMar>
            <w:top w:w="15" w:type="dxa"/>
            <w:left w:w="15" w:type="dxa"/>
            <w:bottom w:w="15" w:type="dxa"/>
            <w:right w:w="15" w:type="dxa"/>
          </w:tblCellMar>
        </w:tblPrEx>
        <w:trPr>
          <w:trHeight w:val="90" w:hRule="atLeast"/>
        </w:trPr>
        <w:tc>
          <w:tcPr>
            <w:tcW w:w="450"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14:paraId="3B582A7C">
            <w:pPr>
              <w:pStyle w:val="13"/>
              <w:widowControl/>
              <w:spacing w:beforeAutospacing="0" w:afterAutospacing="0" w:line="300" w:lineRule="atLeast"/>
              <w:jc w:val="center"/>
            </w:pPr>
            <w:r>
              <w:rPr>
                <w:rStyle w:val="17"/>
                <w:rFonts w:hint="eastAsia" w:ascii="宋体" w:hAnsi="宋体" w:eastAsia="宋体" w:cs="宋体"/>
                <w:color w:val="000000"/>
                <w:sz w:val="18"/>
                <w:szCs w:val="18"/>
              </w:rPr>
              <w:t>序号</w:t>
            </w:r>
          </w:p>
        </w:tc>
        <w:tc>
          <w:tcPr>
            <w:tcW w:w="43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43C0680E">
            <w:pPr>
              <w:pStyle w:val="13"/>
              <w:widowControl/>
              <w:spacing w:beforeAutospacing="0" w:afterAutospacing="0" w:line="300" w:lineRule="atLeast"/>
              <w:jc w:val="center"/>
            </w:pPr>
            <w:r>
              <w:rPr>
                <w:rStyle w:val="17"/>
                <w:rFonts w:hint="eastAsia" w:ascii="宋体" w:hAnsi="宋体" w:eastAsia="宋体" w:cs="宋体"/>
                <w:color w:val="000000"/>
                <w:sz w:val="18"/>
                <w:szCs w:val="18"/>
              </w:rPr>
              <w:t>建设</w:t>
            </w:r>
          </w:p>
          <w:p w14:paraId="6F2B9C7A">
            <w:pPr>
              <w:pStyle w:val="13"/>
              <w:widowControl/>
              <w:spacing w:beforeAutospacing="0" w:afterAutospacing="0" w:line="300" w:lineRule="atLeast"/>
              <w:jc w:val="center"/>
            </w:pPr>
            <w:r>
              <w:rPr>
                <w:rStyle w:val="17"/>
                <w:rFonts w:hint="eastAsia" w:ascii="宋体" w:hAnsi="宋体" w:eastAsia="宋体" w:cs="宋体"/>
                <w:color w:val="000000"/>
                <w:sz w:val="18"/>
                <w:szCs w:val="18"/>
              </w:rPr>
              <w:t>单位</w:t>
            </w:r>
          </w:p>
        </w:tc>
        <w:tc>
          <w:tcPr>
            <w:tcW w:w="57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8FB6C83">
            <w:pPr>
              <w:pStyle w:val="13"/>
              <w:widowControl/>
              <w:spacing w:beforeAutospacing="0" w:afterAutospacing="0" w:line="300" w:lineRule="atLeast"/>
              <w:jc w:val="center"/>
            </w:pPr>
            <w:r>
              <w:rPr>
                <w:rStyle w:val="17"/>
                <w:rFonts w:hint="eastAsia" w:ascii="宋体" w:hAnsi="宋体" w:eastAsia="宋体" w:cs="宋体"/>
                <w:color w:val="000000"/>
                <w:sz w:val="18"/>
                <w:szCs w:val="18"/>
              </w:rPr>
              <w:t>项目</w:t>
            </w:r>
          </w:p>
          <w:p w14:paraId="54CAD3F0">
            <w:pPr>
              <w:pStyle w:val="13"/>
              <w:widowControl/>
              <w:spacing w:beforeAutospacing="0" w:afterAutospacing="0" w:line="300" w:lineRule="atLeast"/>
              <w:jc w:val="center"/>
            </w:pPr>
            <w:r>
              <w:rPr>
                <w:rStyle w:val="17"/>
                <w:rFonts w:hint="eastAsia" w:ascii="宋体" w:hAnsi="宋体" w:eastAsia="宋体" w:cs="宋体"/>
                <w:color w:val="000000"/>
                <w:sz w:val="18"/>
                <w:szCs w:val="18"/>
              </w:rPr>
              <w:t>名称</w:t>
            </w:r>
          </w:p>
        </w:tc>
        <w:tc>
          <w:tcPr>
            <w:tcW w:w="48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5B7945CE">
            <w:pPr>
              <w:pStyle w:val="13"/>
              <w:widowControl/>
              <w:spacing w:beforeAutospacing="0" w:afterAutospacing="0" w:line="300" w:lineRule="atLeast"/>
              <w:jc w:val="center"/>
            </w:pPr>
            <w:r>
              <w:rPr>
                <w:rStyle w:val="17"/>
                <w:rFonts w:hint="eastAsia" w:ascii="宋体" w:hAnsi="宋体" w:eastAsia="宋体" w:cs="宋体"/>
                <w:color w:val="000000"/>
                <w:sz w:val="18"/>
                <w:szCs w:val="18"/>
              </w:rPr>
              <w:t>建设</w:t>
            </w:r>
          </w:p>
          <w:p w14:paraId="1818409A">
            <w:pPr>
              <w:pStyle w:val="13"/>
              <w:widowControl/>
              <w:spacing w:beforeAutospacing="0" w:afterAutospacing="0" w:line="300" w:lineRule="atLeast"/>
              <w:jc w:val="center"/>
            </w:pPr>
            <w:r>
              <w:rPr>
                <w:rStyle w:val="17"/>
                <w:rFonts w:hint="eastAsia" w:ascii="宋体" w:hAnsi="宋体" w:eastAsia="宋体" w:cs="宋体"/>
                <w:color w:val="000000"/>
                <w:sz w:val="18"/>
                <w:szCs w:val="18"/>
              </w:rPr>
              <w:t>地点</w:t>
            </w:r>
          </w:p>
        </w:tc>
        <w:tc>
          <w:tcPr>
            <w:tcW w:w="84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4C7E994E">
            <w:pPr>
              <w:pStyle w:val="13"/>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环境影响评价机构</w:t>
            </w:r>
          </w:p>
        </w:tc>
        <w:tc>
          <w:tcPr>
            <w:tcW w:w="90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5B237DD3">
            <w:pPr>
              <w:pStyle w:val="13"/>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建设项目</w:t>
            </w:r>
          </w:p>
          <w:p w14:paraId="2704998B">
            <w:pPr>
              <w:pStyle w:val="13"/>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概况</w:t>
            </w:r>
          </w:p>
        </w:tc>
        <w:tc>
          <w:tcPr>
            <w:tcW w:w="443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5CB37FB">
            <w:pPr>
              <w:pStyle w:val="13"/>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主要环境影响及预防或减轻不良环境影响的对策和措施</w:t>
            </w:r>
          </w:p>
        </w:tc>
      </w:tr>
      <w:tr w14:paraId="6097DA1B">
        <w:tblPrEx>
          <w:tblCellMar>
            <w:top w:w="15" w:type="dxa"/>
            <w:left w:w="15" w:type="dxa"/>
            <w:bottom w:w="15" w:type="dxa"/>
            <w:right w:w="15" w:type="dxa"/>
          </w:tblCellMar>
        </w:tblPrEx>
        <w:trPr>
          <w:trHeight w:val="90" w:hRule="atLeast"/>
        </w:trPr>
        <w:tc>
          <w:tcPr>
            <w:tcW w:w="450"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14:paraId="456FE7D9">
            <w:pPr>
              <w:pStyle w:val="13"/>
              <w:widowControl/>
              <w:spacing w:beforeAutospacing="0" w:afterAutospacing="0" w:line="300" w:lineRule="atLeast"/>
              <w:jc w:val="center"/>
              <w:rPr>
                <w:rFonts w:hint="default" w:ascii="Times New Roman" w:hAnsi="Times New Roman"/>
                <w:color w:val="000000"/>
                <w:sz w:val="18"/>
                <w:szCs w:val="18"/>
                <w:lang w:eastAsia="zh-CN"/>
              </w:rPr>
            </w:pPr>
            <w:r>
              <w:rPr>
                <w:rFonts w:hint="eastAsia" w:ascii="Times New Roman" w:hAnsi="Times New Roman"/>
                <w:color w:val="000000"/>
                <w:sz w:val="18"/>
                <w:szCs w:val="18"/>
                <w:lang w:eastAsia="zh-CN"/>
              </w:rPr>
              <w:t>1.</w:t>
            </w:r>
          </w:p>
        </w:tc>
        <w:tc>
          <w:tcPr>
            <w:tcW w:w="43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E82EA45">
            <w:pPr>
              <w:pStyle w:val="13"/>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滑县勇将体育用品有限公司</w:t>
            </w:r>
          </w:p>
          <w:p w14:paraId="33301178">
            <w:pPr>
              <w:pStyle w:val="13"/>
              <w:widowControl/>
              <w:spacing w:beforeAutospacing="0" w:afterAutospacing="0" w:line="300" w:lineRule="atLeast"/>
              <w:jc w:val="center"/>
              <w:rPr>
                <w:rFonts w:hint="default" w:ascii="Times New Roman" w:hAnsi="Times New Roman"/>
                <w:color w:val="000000"/>
                <w:sz w:val="18"/>
                <w:szCs w:val="18"/>
                <w:lang w:eastAsia="zh-CN"/>
              </w:rPr>
            </w:pPr>
          </w:p>
        </w:tc>
        <w:tc>
          <w:tcPr>
            <w:tcW w:w="57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4D154EE6">
            <w:pPr>
              <w:pStyle w:val="13"/>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年生产体育用品2.5万套建设项目</w:t>
            </w:r>
            <w:r>
              <w:rPr>
                <w:rFonts w:hint="default" w:ascii="Times New Roman" w:hAnsi="Times New Roman"/>
                <w:color w:val="000000"/>
                <w:sz w:val="18"/>
                <w:szCs w:val="18"/>
                <w:lang w:val="en-US" w:eastAsia="zh-CN"/>
              </w:rPr>
              <w:t xml:space="preserve">     </w:t>
            </w:r>
          </w:p>
        </w:tc>
        <w:tc>
          <w:tcPr>
            <w:tcW w:w="48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B292B1E">
            <w:pPr>
              <w:pStyle w:val="13"/>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滑县白道口镇陈营村68号</w:t>
            </w:r>
          </w:p>
        </w:tc>
        <w:tc>
          <w:tcPr>
            <w:tcW w:w="84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AC97CE2">
            <w:pPr>
              <w:pStyle w:val="13"/>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河南邦驰环保科技有限公司</w:t>
            </w:r>
          </w:p>
        </w:tc>
        <w:tc>
          <w:tcPr>
            <w:tcW w:w="90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1E9D3566">
            <w:pPr>
              <w:pStyle w:val="13"/>
              <w:widowControl/>
              <w:spacing w:beforeAutospacing="0" w:afterAutospacing="0" w:line="300" w:lineRule="atLeast"/>
              <w:jc w:val="center"/>
              <w:rPr>
                <w:rFonts w:hint="default" w:ascii="Times New Roman" w:hAnsi="Times New Roman"/>
                <w:color w:val="000000"/>
                <w:sz w:val="18"/>
                <w:szCs w:val="18"/>
                <w:lang w:eastAsia="zh-CN"/>
              </w:rPr>
            </w:pPr>
            <w:r>
              <w:rPr>
                <w:rFonts w:hint="default" w:ascii="Times New Roman" w:hAnsi="Times New Roman"/>
                <w:color w:val="000000"/>
                <w:sz w:val="18"/>
                <w:szCs w:val="18"/>
                <w:lang w:eastAsia="zh-CN"/>
              </w:rPr>
              <w:t>占地面积为1200m2，总投资50万元，环保投资8.5万元。</w:t>
            </w:r>
          </w:p>
        </w:tc>
        <w:tc>
          <w:tcPr>
            <w:tcW w:w="443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4E3A7F85">
            <w:pPr>
              <w:keepNext w:val="0"/>
              <w:keepLines w:val="0"/>
              <w:pageBreakBefore w:val="0"/>
              <w:widowControl w:val="0"/>
              <w:kinsoku/>
              <w:wordWrap/>
              <w:overflowPunct/>
              <w:topLinePunct w:val="0"/>
              <w:autoSpaceDE/>
              <w:autoSpaceDN/>
              <w:bidi w:val="0"/>
              <w:adjustRightInd/>
              <w:snapToGrid/>
              <w:spacing w:line="620" w:lineRule="exact"/>
              <w:ind w:firstLine="360" w:firstLineChars="200"/>
              <w:jc w:val="both"/>
              <w:textAlignment w:val="auto"/>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eastAsiaTheme="minorEastAsia"/>
                <w:color w:val="000000"/>
                <w:kern w:val="0"/>
                <w:sz w:val="18"/>
                <w:szCs w:val="18"/>
                <w:lang w:val="en-US" w:eastAsia="zh-CN" w:bidi="ar-SA"/>
              </w:rPr>
              <w:t>1. 废气：上料</w:t>
            </w:r>
            <w:r>
              <w:rPr>
                <w:rFonts w:hint="eastAsia" w:ascii="Times New Roman" w:hAnsi="Times New Roman" w:cs="Times New Roman" w:eastAsiaTheme="minorEastAsia"/>
                <w:color w:val="000000"/>
                <w:kern w:val="0"/>
                <w:sz w:val="18"/>
                <w:szCs w:val="18"/>
                <w:lang w:val="en-US" w:eastAsia="zh-CN" w:bidi="ar-SA"/>
              </w:rPr>
              <w:t>三面密闭、</w:t>
            </w:r>
            <w:r>
              <w:rPr>
                <w:rFonts w:hint="default" w:ascii="Times New Roman" w:hAnsi="Times New Roman" w:cs="Times New Roman" w:eastAsiaTheme="minorEastAsia"/>
                <w:color w:val="000000"/>
                <w:kern w:val="0"/>
                <w:sz w:val="18"/>
                <w:szCs w:val="18"/>
                <w:lang w:val="en-US" w:eastAsia="zh-CN" w:bidi="ar-SA"/>
              </w:rPr>
              <w:t>雕刻工段四周加装软帘增加密闭性，干式抛光工段</w:t>
            </w:r>
            <w:r>
              <w:rPr>
                <w:rFonts w:hint="eastAsia" w:ascii="Times New Roman" w:hAnsi="Times New Roman" w:cs="Times New Roman" w:eastAsiaTheme="minorEastAsia"/>
                <w:color w:val="000000"/>
                <w:kern w:val="0"/>
                <w:sz w:val="18"/>
                <w:szCs w:val="18"/>
                <w:lang w:val="en-US" w:eastAsia="zh-CN" w:bidi="ar-SA"/>
              </w:rPr>
              <w:t>二次密闭</w:t>
            </w:r>
            <w:r>
              <w:rPr>
                <w:rFonts w:hint="default" w:ascii="Times New Roman" w:hAnsi="Times New Roman" w:cs="Times New Roman" w:eastAsiaTheme="minorEastAsia"/>
                <w:color w:val="000000"/>
                <w:kern w:val="0"/>
                <w:sz w:val="18"/>
                <w:szCs w:val="18"/>
                <w:lang w:val="en-US" w:eastAsia="zh-CN" w:bidi="ar-SA"/>
              </w:rPr>
              <w:t>，颗粒物经集气装置收集后由</w:t>
            </w:r>
            <w:r>
              <w:rPr>
                <w:rFonts w:hint="eastAsia" w:ascii="Times New Roman" w:hAnsi="Times New Roman" w:cs="Times New Roman" w:eastAsiaTheme="minorEastAsia"/>
                <w:color w:val="000000"/>
                <w:kern w:val="0"/>
                <w:sz w:val="18"/>
                <w:szCs w:val="18"/>
                <w:lang w:val="en-US" w:eastAsia="zh-CN" w:bidi="ar-SA"/>
              </w:rPr>
              <w:t>“</w:t>
            </w:r>
            <w:r>
              <w:rPr>
                <w:rFonts w:hint="default" w:ascii="Times New Roman" w:hAnsi="Times New Roman" w:cs="Times New Roman" w:eastAsiaTheme="minorEastAsia"/>
                <w:color w:val="000000"/>
                <w:kern w:val="0"/>
                <w:sz w:val="18"/>
                <w:szCs w:val="18"/>
                <w:lang w:val="en-US" w:eastAsia="zh-CN" w:bidi="ar-SA"/>
              </w:rPr>
              <w:t>覆膜袋式除尘器</w:t>
            </w:r>
            <w:r>
              <w:rPr>
                <w:rFonts w:hint="eastAsia" w:ascii="Times New Roman" w:hAnsi="Times New Roman" w:cs="Times New Roman" w:eastAsiaTheme="minorEastAsia"/>
                <w:color w:val="000000"/>
                <w:kern w:val="0"/>
                <w:sz w:val="18"/>
                <w:szCs w:val="18"/>
                <w:lang w:val="en-US" w:eastAsia="zh-CN" w:bidi="ar-SA"/>
              </w:rPr>
              <w:t>”</w:t>
            </w:r>
            <w:r>
              <w:rPr>
                <w:rFonts w:hint="default" w:ascii="Times New Roman" w:hAnsi="Times New Roman" w:cs="Times New Roman" w:eastAsiaTheme="minorEastAsia"/>
                <w:color w:val="000000"/>
                <w:kern w:val="0"/>
                <w:sz w:val="18"/>
                <w:szCs w:val="18"/>
                <w:lang w:val="en-US" w:eastAsia="zh-CN" w:bidi="ar-SA"/>
              </w:rPr>
              <w:t>处理通过15m高排气筒排放；成型</w:t>
            </w:r>
            <w:r>
              <w:rPr>
                <w:rFonts w:hint="eastAsia" w:ascii="Times New Roman" w:hAnsi="Times New Roman" w:cs="Times New Roman" w:eastAsiaTheme="minorEastAsia"/>
                <w:color w:val="000000"/>
                <w:kern w:val="0"/>
                <w:sz w:val="18"/>
                <w:szCs w:val="18"/>
                <w:lang w:val="en-US" w:eastAsia="zh-CN" w:bidi="ar-SA"/>
              </w:rPr>
              <w:t>、</w:t>
            </w:r>
            <w:r>
              <w:rPr>
                <w:rFonts w:hint="default" w:ascii="Times New Roman" w:hAnsi="Times New Roman" w:cs="Times New Roman" w:eastAsiaTheme="minorEastAsia"/>
                <w:color w:val="000000"/>
                <w:kern w:val="0"/>
                <w:sz w:val="18"/>
                <w:szCs w:val="18"/>
                <w:lang w:val="en-US" w:eastAsia="zh-CN" w:bidi="ar-SA"/>
              </w:rPr>
              <w:t>脱模</w:t>
            </w:r>
            <w:r>
              <w:rPr>
                <w:rFonts w:hint="eastAsia" w:ascii="Times New Roman" w:hAnsi="Times New Roman" w:cs="Times New Roman" w:eastAsiaTheme="minorEastAsia"/>
                <w:color w:val="000000"/>
                <w:kern w:val="0"/>
                <w:sz w:val="18"/>
                <w:szCs w:val="18"/>
                <w:lang w:val="en-US" w:eastAsia="zh-CN" w:bidi="ar-SA"/>
              </w:rPr>
              <w:t>工序二次密闭，</w:t>
            </w:r>
            <w:r>
              <w:rPr>
                <w:rFonts w:hint="default" w:ascii="Times New Roman" w:hAnsi="Times New Roman" w:cs="Times New Roman" w:eastAsiaTheme="minorEastAsia"/>
                <w:color w:val="000000"/>
                <w:kern w:val="0"/>
                <w:sz w:val="18"/>
                <w:szCs w:val="18"/>
                <w:lang w:val="en-US" w:eastAsia="zh-CN" w:bidi="ar-SA"/>
              </w:rPr>
              <w:t>点漆工序密闭作业，有机废气</w:t>
            </w:r>
            <w:r>
              <w:rPr>
                <w:rFonts w:hint="eastAsia" w:ascii="Times New Roman" w:hAnsi="Times New Roman" w:cs="Times New Roman" w:eastAsiaTheme="minorEastAsia"/>
                <w:color w:val="000000"/>
                <w:kern w:val="0"/>
                <w:sz w:val="18"/>
                <w:szCs w:val="18"/>
                <w:lang w:val="en-US" w:eastAsia="zh-CN" w:bidi="ar-SA"/>
              </w:rPr>
              <w:t>分别</w:t>
            </w:r>
            <w:r>
              <w:rPr>
                <w:rFonts w:hint="default" w:ascii="Times New Roman" w:hAnsi="Times New Roman" w:cs="Times New Roman" w:eastAsiaTheme="minorEastAsia"/>
                <w:color w:val="000000"/>
                <w:kern w:val="0"/>
                <w:sz w:val="18"/>
                <w:szCs w:val="18"/>
                <w:lang w:val="en-US" w:eastAsia="zh-CN" w:bidi="ar-SA"/>
              </w:rPr>
              <w:t>经集气</w:t>
            </w:r>
            <w:r>
              <w:rPr>
                <w:rFonts w:hint="eastAsia" w:ascii="Times New Roman" w:hAnsi="Times New Roman" w:cs="Times New Roman" w:eastAsiaTheme="minorEastAsia"/>
                <w:color w:val="000000"/>
                <w:kern w:val="0"/>
                <w:sz w:val="18"/>
                <w:szCs w:val="18"/>
                <w:lang w:val="en-US" w:eastAsia="zh-CN" w:bidi="ar-SA"/>
              </w:rPr>
              <w:t>装置</w:t>
            </w:r>
            <w:r>
              <w:rPr>
                <w:rFonts w:hint="default" w:ascii="Times New Roman" w:hAnsi="Times New Roman" w:cs="Times New Roman" w:eastAsiaTheme="minorEastAsia"/>
                <w:color w:val="000000"/>
                <w:kern w:val="0"/>
                <w:sz w:val="18"/>
                <w:szCs w:val="18"/>
                <w:lang w:val="en-US" w:eastAsia="zh-CN" w:bidi="ar-SA"/>
              </w:rPr>
              <w:t>收集后由“两级活性炭吸附”处理通过15m高排气筒排放。废气排放须满足《大气污染物综合排放标准》（GB16297-1996）表2二级标准、《合成树脂工业污染物排放标准》（GB31572-2015）（含 2024 年修改单）表5及表9浓度限值、《重污染天气重点行业应急减排措施制定技术指南（2020 年修订版）》（环办大气函〔2020〕340号）中工业涂装绩效分级A级要求、《河南省重污染天气重点行业应急减排措施制定技术指南》（2021 年修订版）塑料制品行业A级要求、《挥发性有机物无组织排放控制标准》（GB37822-2019）限值要求、《安阳市2019年工业大气污染治理5个专项实施方案》（安环攻坚办〔2019〕196号）要求及《关于全省开展工业企业挥发性有机物专项治理工作中排放建议值的通知》（豫环攻坚办〔2017〕162号）要求。</w:t>
            </w:r>
          </w:p>
          <w:p w14:paraId="5759AB13">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360" w:firstLineChars="200"/>
              <w:jc w:val="both"/>
              <w:textAlignment w:val="auto"/>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eastAsiaTheme="minorEastAsia"/>
                <w:color w:val="000000"/>
                <w:kern w:val="0"/>
                <w:sz w:val="18"/>
                <w:szCs w:val="18"/>
                <w:lang w:val="en-US" w:eastAsia="zh-CN" w:bidi="ar-SA"/>
              </w:rPr>
              <w:t>废水：湿式抛光废水经20m</w:t>
            </w:r>
            <w:r>
              <w:rPr>
                <w:rFonts w:hint="eastAsia" w:ascii="Times New Roman" w:hAnsi="Times New Roman" w:cs="Times New Roman" w:eastAsiaTheme="minorEastAsia"/>
                <w:color w:val="000000"/>
                <w:kern w:val="0"/>
                <w:sz w:val="18"/>
                <w:szCs w:val="18"/>
                <w:lang w:val="en-US" w:eastAsia="zh-CN" w:bidi="ar-SA"/>
              </w:rPr>
              <w:t>3</w:t>
            </w:r>
            <w:r>
              <w:rPr>
                <w:rFonts w:hint="default" w:ascii="Times New Roman" w:hAnsi="Times New Roman" w:cs="Times New Roman" w:eastAsiaTheme="minorEastAsia"/>
                <w:color w:val="000000"/>
                <w:kern w:val="0"/>
                <w:sz w:val="18"/>
                <w:szCs w:val="18"/>
                <w:lang w:val="en-US" w:eastAsia="zh-CN" w:bidi="ar-SA"/>
              </w:rPr>
              <w:t>沉淀池沉淀处理后循环使用，不外排；生活污水经</w:t>
            </w:r>
            <w:r>
              <w:rPr>
                <w:rFonts w:hint="eastAsia" w:ascii="Times New Roman" w:hAnsi="Times New Roman" w:cs="Times New Roman" w:eastAsiaTheme="minorEastAsia"/>
                <w:color w:val="000000"/>
                <w:kern w:val="0"/>
                <w:sz w:val="18"/>
                <w:szCs w:val="18"/>
                <w:lang w:val="en-US" w:eastAsia="zh-CN" w:bidi="ar-SA"/>
              </w:rPr>
              <w:t>3</w:t>
            </w:r>
            <w:r>
              <w:rPr>
                <w:rFonts w:hint="default" w:ascii="Times New Roman" w:hAnsi="Times New Roman" w:cs="Times New Roman" w:eastAsiaTheme="minorEastAsia"/>
                <w:color w:val="000000"/>
                <w:kern w:val="0"/>
                <w:sz w:val="18"/>
                <w:szCs w:val="18"/>
                <w:lang w:val="en-US" w:eastAsia="zh-CN" w:bidi="ar-SA"/>
              </w:rPr>
              <w:t>m</w:t>
            </w:r>
            <w:r>
              <w:rPr>
                <w:rFonts w:hint="eastAsia" w:ascii="Times New Roman" w:hAnsi="Times New Roman" w:cs="Times New Roman" w:eastAsiaTheme="minorEastAsia"/>
                <w:color w:val="000000"/>
                <w:kern w:val="0"/>
                <w:sz w:val="18"/>
                <w:szCs w:val="18"/>
                <w:lang w:val="en-US" w:eastAsia="zh-CN" w:bidi="ar-SA"/>
              </w:rPr>
              <w:t>3</w:t>
            </w:r>
            <w:r>
              <w:rPr>
                <w:rFonts w:hint="default" w:ascii="Times New Roman" w:hAnsi="Times New Roman" w:cs="Times New Roman" w:eastAsiaTheme="minorEastAsia"/>
                <w:color w:val="000000"/>
                <w:kern w:val="0"/>
                <w:sz w:val="18"/>
                <w:szCs w:val="18"/>
                <w:lang w:val="en-US" w:eastAsia="zh-CN" w:bidi="ar-SA"/>
              </w:rPr>
              <w:t>化粪池处理后定期清掏，用于沤制农肥。</w:t>
            </w:r>
          </w:p>
          <w:p w14:paraId="10DF34F2">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360" w:firstLineChars="200"/>
              <w:jc w:val="both"/>
              <w:textAlignment w:val="auto"/>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cs="Times New Roman" w:eastAsiaTheme="minorEastAsia"/>
                <w:color w:val="000000"/>
                <w:kern w:val="0"/>
                <w:sz w:val="18"/>
                <w:szCs w:val="18"/>
                <w:lang w:val="en-US" w:eastAsia="zh-CN" w:bidi="ar-SA"/>
              </w:rPr>
              <w:t>噪声：热塑挤出成型机、抛光滚筒机、全自动点漆机、雕刻机、包装机、风机、空压机等设备运行时产生的噪声，通过厂房隔声、基础减振等措施后，厂界噪声排放须满足《工业企业厂界环境噪声排放标准》（GB12348-2008）2类标准。</w:t>
            </w:r>
          </w:p>
          <w:p w14:paraId="44D215A2">
            <w:pPr>
              <w:pStyle w:val="13"/>
              <w:widowControl/>
              <w:spacing w:beforeAutospacing="0" w:afterAutospacing="0" w:line="300" w:lineRule="atLeast"/>
              <w:ind w:firstLine="360" w:firstLineChars="200"/>
              <w:jc w:val="both"/>
              <w:rPr>
                <w:rFonts w:hint="default" w:ascii="Times New Roman" w:hAnsi="Times New Roman"/>
                <w:color w:val="000000"/>
                <w:sz w:val="18"/>
                <w:szCs w:val="18"/>
                <w:lang w:eastAsia="zh-CN"/>
              </w:rPr>
            </w:pPr>
            <w:r>
              <w:rPr>
                <w:rFonts w:hint="eastAsia" w:ascii="Times New Roman" w:hAnsi="Times New Roman" w:cs="Times New Roman"/>
                <w:color w:val="000000"/>
                <w:kern w:val="0"/>
                <w:sz w:val="18"/>
                <w:szCs w:val="18"/>
                <w:lang w:val="en-US" w:eastAsia="zh-CN" w:bidi="ar-SA"/>
              </w:rPr>
              <w:t>4.</w:t>
            </w:r>
            <w:bookmarkStart w:id="0" w:name="_GoBack"/>
            <w:bookmarkEnd w:id="0"/>
            <w:r>
              <w:rPr>
                <w:rFonts w:hint="default" w:ascii="Times New Roman" w:hAnsi="Times New Roman" w:cs="Times New Roman" w:eastAsiaTheme="minorEastAsia"/>
                <w:color w:val="000000"/>
                <w:kern w:val="0"/>
                <w:sz w:val="18"/>
                <w:szCs w:val="18"/>
                <w:lang w:val="en-US" w:eastAsia="zh-CN" w:bidi="ar-SA"/>
              </w:rPr>
              <w:t>固体废物：沉淀池废渣、废陶粒砂、残次品、除尘器收尘灰、除尘器废滤袋、废竹片暂存在10m</w:t>
            </w:r>
            <w:r>
              <w:rPr>
                <w:rFonts w:hint="eastAsia" w:ascii="Times New Roman" w:hAnsi="Times New Roman" w:cs="Times New Roman" w:eastAsiaTheme="minorEastAsia"/>
                <w:color w:val="000000"/>
                <w:kern w:val="0"/>
                <w:sz w:val="18"/>
                <w:szCs w:val="18"/>
                <w:lang w:val="en-US" w:eastAsia="zh-CN" w:bidi="ar-SA"/>
              </w:rPr>
              <w:t>2</w:t>
            </w:r>
            <w:r>
              <w:rPr>
                <w:rFonts w:hint="default" w:ascii="Times New Roman" w:hAnsi="Times New Roman" w:cs="Times New Roman" w:eastAsiaTheme="minorEastAsia"/>
                <w:color w:val="000000"/>
                <w:kern w:val="0"/>
                <w:sz w:val="18"/>
                <w:szCs w:val="18"/>
                <w:lang w:val="en-US" w:eastAsia="zh-CN" w:bidi="ar-SA"/>
              </w:rPr>
              <w:t>一般固废暂存间后定期外售综合利用；废活性炭、废润滑油、废漆桶暂存于10m</w:t>
            </w:r>
            <w:r>
              <w:rPr>
                <w:rFonts w:hint="eastAsia" w:ascii="Times New Roman" w:hAnsi="Times New Roman" w:cs="Times New Roman" w:eastAsiaTheme="minorEastAsia"/>
                <w:color w:val="000000"/>
                <w:kern w:val="0"/>
                <w:sz w:val="18"/>
                <w:szCs w:val="18"/>
                <w:lang w:val="en-US" w:eastAsia="zh-CN" w:bidi="ar-SA"/>
              </w:rPr>
              <w:t>2</w:t>
            </w:r>
            <w:r>
              <w:rPr>
                <w:rFonts w:hint="default" w:ascii="Times New Roman" w:hAnsi="Times New Roman" w:cs="Times New Roman" w:eastAsiaTheme="minorEastAsia"/>
                <w:color w:val="000000"/>
                <w:kern w:val="0"/>
                <w:sz w:val="18"/>
                <w:szCs w:val="18"/>
                <w:lang w:val="en-US" w:eastAsia="zh-CN" w:bidi="ar-SA"/>
              </w:rPr>
              <w:t>危险废物暂存间，定期交由有资质单位处置；生活垃圾经垃圾桶收集，由环卫部门定期清运统一处置。一般固体废物暂存应满足《一般工业固体废物贮存和填埋污染控制标准》（GB18599 -2020）要求，危险废物暂存应满足《危险废物贮存污染控制标准》（GB18597-2023）要求。</w:t>
            </w:r>
          </w:p>
        </w:tc>
      </w:tr>
    </w:tbl>
    <w:p w14:paraId="2B0FC808">
      <w:pPr>
        <w:pStyle w:val="13"/>
        <w:widowControl/>
        <w:spacing w:beforeAutospacing="0" w:afterAutospacing="0" w:line="300" w:lineRule="atLeast"/>
        <w:jc w:val="center"/>
        <w:rPr>
          <w:rFonts w:hint="default" w:ascii="Times New Roman" w:hAnsi="Times New Roman"/>
          <w:color w:val="000000"/>
          <w:sz w:val="18"/>
          <w:szCs w:val="1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02422"/>
    <w:multiLevelType w:val="singleLevel"/>
    <w:tmpl w:val="06C02422"/>
    <w:lvl w:ilvl="0" w:tentative="0">
      <w:start w:val="2"/>
      <w:numFmt w:val="decimal"/>
      <w:suff w:val="space"/>
      <w:lvlText w:val="%1."/>
      <w:lvlJc w:val="left"/>
    </w:lvl>
  </w:abstractNum>
  <w:abstractNum w:abstractNumId="1">
    <w:nsid w:val="1DA216F0"/>
    <w:multiLevelType w:val="multilevel"/>
    <w:tmpl w:val="1DA216F0"/>
    <w:lvl w:ilvl="0" w:tentative="0">
      <w:start w:val="1"/>
      <w:numFmt w:val="chineseCountingThousand"/>
      <w:pStyle w:val="12"/>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BjYTBhZThlNzU1YzE4MTAxZTVkY2IyYzEzZGQxMDYifQ=="/>
  </w:docVars>
  <w:rsids>
    <w:rsidRoot w:val="00D553BD"/>
    <w:rsid w:val="00051C04"/>
    <w:rsid w:val="000934E9"/>
    <w:rsid w:val="000C13E5"/>
    <w:rsid w:val="00272D6F"/>
    <w:rsid w:val="002D40B0"/>
    <w:rsid w:val="00346272"/>
    <w:rsid w:val="0034687D"/>
    <w:rsid w:val="00351DEE"/>
    <w:rsid w:val="005227EA"/>
    <w:rsid w:val="00612AF7"/>
    <w:rsid w:val="007F6C56"/>
    <w:rsid w:val="00854859"/>
    <w:rsid w:val="00896DDB"/>
    <w:rsid w:val="00B101CB"/>
    <w:rsid w:val="00B21E60"/>
    <w:rsid w:val="00B72CC9"/>
    <w:rsid w:val="00C53645"/>
    <w:rsid w:val="00CE3621"/>
    <w:rsid w:val="00D553BD"/>
    <w:rsid w:val="00D93271"/>
    <w:rsid w:val="00EB48B5"/>
    <w:rsid w:val="00FA45AC"/>
    <w:rsid w:val="00FD244D"/>
    <w:rsid w:val="09E6605D"/>
    <w:rsid w:val="23BC64AB"/>
    <w:rsid w:val="28B71175"/>
    <w:rsid w:val="29F8185A"/>
    <w:rsid w:val="2ADD44ED"/>
    <w:rsid w:val="2DC302F1"/>
    <w:rsid w:val="31811015"/>
    <w:rsid w:val="383B30F1"/>
    <w:rsid w:val="3A25474B"/>
    <w:rsid w:val="3B0E64B4"/>
    <w:rsid w:val="3E6B2E9F"/>
    <w:rsid w:val="3FAE1904"/>
    <w:rsid w:val="47A4392B"/>
    <w:rsid w:val="4AA43B88"/>
    <w:rsid w:val="4DB91C07"/>
    <w:rsid w:val="4F2D1826"/>
    <w:rsid w:val="506B2B73"/>
    <w:rsid w:val="51C957E0"/>
    <w:rsid w:val="52376698"/>
    <w:rsid w:val="56E408B3"/>
    <w:rsid w:val="5AC029C4"/>
    <w:rsid w:val="664F2219"/>
    <w:rsid w:val="6A074AD5"/>
    <w:rsid w:val="6CD213AC"/>
    <w:rsid w:val="73257025"/>
    <w:rsid w:val="75B96372"/>
    <w:rsid w:val="78E76149"/>
    <w:rsid w:val="79F92000"/>
    <w:rsid w:val="7A76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100" w:beforeLines="0" w:beforeAutospacing="1" w:after="100" w:afterLines="0" w:afterAutospacing="1" w:line="240" w:lineRule="auto"/>
      <w:ind w:firstLine="0" w:firstLineChars="0"/>
      <w:jc w:val="center"/>
      <w:outlineLvl w:val="0"/>
    </w:pPr>
    <w:rPr>
      <w:b/>
      <w:kern w:val="44"/>
      <w:sz w:val="44"/>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unhideWhenUsed/>
    <w:qFormat/>
    <w:uiPriority w:val="99"/>
    <w:pPr>
      <w:widowControl w:val="0"/>
      <w:autoSpaceDE w:val="0"/>
      <w:autoSpaceDN w:val="0"/>
    </w:pPr>
    <w:rPr>
      <w:rFonts w:hint="eastAsia" w:ascii="仿宋_GB2312" w:hAnsi="仿宋_GB2312" w:eastAsia="仿宋_GB2312" w:cs="Times New Roman"/>
      <w:color w:val="000000"/>
      <w:sz w:val="24"/>
      <w:lang w:val="en-US" w:eastAsia="zh-CN" w:bidi="ar-SA"/>
    </w:rPr>
  </w:style>
  <w:style w:type="paragraph" w:customStyle="1" w:styleId="3">
    <w:name w:val="纯文本1"/>
    <w:basedOn w:val="1"/>
    <w:qFormat/>
    <w:uiPriority w:val="0"/>
    <w:pPr>
      <w:adjustRightInd w:val="0"/>
    </w:pPr>
    <w:rPr>
      <w:rFonts w:ascii="宋体" w:hAnsi="Courier New"/>
    </w:rPr>
  </w:style>
  <w:style w:type="paragraph" w:styleId="6">
    <w:name w:val="index 5"/>
    <w:basedOn w:val="1"/>
    <w:next w:val="1"/>
    <w:semiHidden/>
    <w:qFormat/>
    <w:uiPriority w:val="0"/>
    <w:pPr>
      <w:ind w:left="1680"/>
    </w:pPr>
    <w:rPr>
      <w:rFonts w:eastAsia="Times New Roman"/>
      <w:sz w:val="32"/>
      <w:szCs w:val="24"/>
    </w:rPr>
  </w:style>
  <w:style w:type="paragraph" w:styleId="7">
    <w:name w:val="Body Text"/>
    <w:basedOn w:val="1"/>
    <w:next w:val="1"/>
    <w:qFormat/>
    <w:uiPriority w:val="0"/>
    <w:rPr>
      <w:b/>
      <w:bCs/>
      <w:sz w:val="24"/>
    </w:rPr>
  </w:style>
  <w:style w:type="paragraph" w:styleId="8">
    <w:name w:val="Body Text Indent"/>
    <w:basedOn w:val="1"/>
    <w:next w:val="1"/>
    <w:qFormat/>
    <w:uiPriority w:val="0"/>
    <w:pPr>
      <w:spacing w:after="120" w:afterLines="0"/>
      <w:ind w:left="420" w:leftChars="200"/>
    </w:pPr>
  </w:style>
  <w:style w:type="paragraph" w:styleId="9">
    <w:name w:val="Block Text"/>
    <w:basedOn w:val="1"/>
    <w:next w:val="1"/>
    <w:qFormat/>
    <w:uiPriority w:val="0"/>
    <w:pPr>
      <w:spacing w:line="320" w:lineRule="exact"/>
      <w:ind w:left="113" w:right="113"/>
      <w:jc w:val="center"/>
    </w:pPr>
    <w:rPr>
      <w:b/>
      <w:sz w:val="13"/>
      <w:szCs w:val="15"/>
    </w:rPr>
  </w:style>
  <w:style w:type="paragraph" w:styleId="10">
    <w:name w:val="footer"/>
    <w:basedOn w:val="1"/>
    <w:link w:val="20"/>
    <w:qFormat/>
    <w:uiPriority w:val="0"/>
    <w:pPr>
      <w:tabs>
        <w:tab w:val="center" w:pos="4153"/>
        <w:tab w:val="right" w:pos="8306"/>
      </w:tabs>
      <w:snapToGrid w:val="0"/>
      <w:jc w:val="left"/>
    </w:pPr>
    <w:rPr>
      <w:sz w:val="18"/>
      <w:szCs w:val="18"/>
    </w:rPr>
  </w:style>
  <w:style w:type="paragraph" w:styleId="11">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2"/>
    <w:basedOn w:val="8"/>
    <w:next w:val="1"/>
    <w:qFormat/>
    <w:uiPriority w:val="0"/>
    <w:pPr>
      <w:ind w:firstLine="200" w:firstLineChars="200"/>
    </w:pPr>
    <w:rPr>
      <w:szCs w:val="21"/>
    </w:rPr>
  </w:style>
  <w:style w:type="character" w:styleId="17">
    <w:name w:val="Strong"/>
    <w:basedOn w:val="16"/>
    <w:qFormat/>
    <w:uiPriority w:val="0"/>
    <w:rPr>
      <w:b/>
    </w:rPr>
  </w:style>
  <w:style w:type="character" w:styleId="18">
    <w:name w:val="annotation reference"/>
    <w:basedOn w:val="16"/>
    <w:qFormat/>
    <w:uiPriority w:val="0"/>
    <w:rPr>
      <w:sz w:val="21"/>
      <w:szCs w:val="21"/>
    </w:rPr>
  </w:style>
  <w:style w:type="character" w:customStyle="1" w:styleId="19">
    <w:name w:val="页眉 Char"/>
    <w:basedOn w:val="16"/>
    <w:link w:val="11"/>
    <w:qFormat/>
    <w:uiPriority w:val="0"/>
    <w:rPr>
      <w:rFonts w:asciiTheme="minorHAnsi" w:hAnsiTheme="minorHAnsi" w:eastAsiaTheme="minorEastAsia" w:cstheme="minorBidi"/>
      <w:kern w:val="2"/>
      <w:sz w:val="18"/>
      <w:szCs w:val="18"/>
    </w:rPr>
  </w:style>
  <w:style w:type="character" w:customStyle="1" w:styleId="20">
    <w:name w:val="页脚 Char"/>
    <w:basedOn w:val="16"/>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1632</Words>
  <Characters>1788</Characters>
  <Lines>1</Lines>
  <Paragraphs>2</Paragraphs>
  <TotalTime>0</TotalTime>
  <ScaleCrop>false</ScaleCrop>
  <LinksUpToDate>false</LinksUpToDate>
  <CharactersWithSpaces>1821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大卫</cp:lastModifiedBy>
  <dcterms:modified xsi:type="dcterms:W3CDTF">2024-10-29T02:41:02Z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8BE8F78994014D048921BA9B8DEF1A8D</vt:lpwstr>
  </property>
</Properties>
</file>