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5"/>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bookmarkStart w:id="0" w:name="_GoBack"/>
      <w:bookmarkEnd w:id="0"/>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0DAFEE15">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关于滑县勇将体育用品有限公司年生产</w:t>
      </w:r>
    </w:p>
    <w:p w14:paraId="77E3DBDF">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体育用品2.5万套建设项目环境影响</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滑县勇将体育用品有限公司：</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你公司（统一社会信用代码：91410526MA9FH3BM8R）上报的由河南邦驰环保科技有限公司</w:t>
      </w:r>
      <w:r>
        <w:rPr>
          <w:rFonts w:hint="default" w:ascii="Times New Roman" w:hAnsi="Times New Roman" w:eastAsia="仿宋_GB2312" w:cs="Times New Roman"/>
          <w:color w:val="000000"/>
          <w:sz w:val="32"/>
          <w:szCs w:val="32"/>
          <w:lang w:val="en-US" w:eastAsia="zh-CN"/>
        </w:rPr>
        <w:t>宗轲</w:t>
      </w:r>
      <w:r>
        <w:rPr>
          <w:rFonts w:hint="default" w:ascii="Times New Roman" w:hAnsi="Times New Roman" w:eastAsia="仿宋_GB2312" w:cs="Times New Roman"/>
          <w:color w:val="000000"/>
          <w:sz w:val="32"/>
          <w:szCs w:val="32"/>
        </w:rPr>
        <w:t>（职业资格证书管理号：</w:t>
      </w:r>
      <w:r>
        <w:rPr>
          <w:rFonts w:hint="default" w:ascii="Times New Roman" w:hAnsi="Times New Roman" w:eastAsia="仿宋_GB2312" w:cs="Times New Roman"/>
          <w:color w:val="000000"/>
          <w:sz w:val="32"/>
          <w:szCs w:val="32"/>
          <w:lang w:val="en-US" w:eastAsia="zh-CN"/>
        </w:rPr>
        <w:t>11354143510410535</w:t>
      </w:r>
      <w:r>
        <w:rPr>
          <w:rFonts w:hint="default" w:ascii="Times New Roman" w:hAnsi="Times New Roman" w:eastAsia="仿宋_GB2312" w:cs="Times New Roman"/>
          <w:color w:val="000000"/>
          <w:sz w:val="32"/>
          <w:szCs w:val="32"/>
        </w:rPr>
        <w:t>）主持编制完成的</w:t>
      </w:r>
      <w:r>
        <w:rPr>
          <w:rFonts w:hint="default" w:ascii="Times New Roman" w:hAnsi="Times New Roman" w:eastAsia="仿宋_GB2312" w:cs="Times New Roman"/>
          <w:sz w:val="32"/>
          <w:szCs w:val="32"/>
        </w:rPr>
        <w:t>《滑县勇将体育用品有限公司年生产体育用品2.5万套建设项目环境影响报告表（报批版）》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val="en-US" w:eastAsia="zh-CN"/>
        </w:rPr>
        <w:t>河南省</w:t>
      </w:r>
      <w:r>
        <w:rPr>
          <w:rFonts w:hint="default" w:ascii="Times New Roman" w:hAnsi="Times New Roman" w:eastAsia="仿宋_GB2312" w:cs="Times New Roman"/>
          <w:sz w:val="32"/>
          <w:szCs w:val="32"/>
        </w:rPr>
        <w:t>安阳市滑县白道口镇陈营村68号</w:t>
      </w:r>
      <w:r>
        <w:rPr>
          <w:rFonts w:hint="default" w:ascii="Times New Roman" w:hAnsi="Times New Roman" w:eastAsia="仿宋_GB2312" w:cs="Times New Roman"/>
          <w:sz w:val="32"/>
          <w:szCs w:val="32"/>
          <w:lang w:val="en-US" w:eastAsia="zh-CN"/>
        </w:rPr>
        <w:t>，占地面积为</w:t>
      </w:r>
      <w:r>
        <w:rPr>
          <w:rFonts w:hint="eastAsia" w:eastAsia="仿宋_GB2312" w:cs="Times New Roman"/>
          <w:sz w:val="32"/>
          <w:szCs w:val="32"/>
          <w:lang w:val="en-US" w:eastAsia="zh-CN"/>
        </w:rPr>
        <w:t>1200</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50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8.5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rPr>
        <w:t>1. 废气：</w:t>
      </w:r>
      <w:r>
        <w:rPr>
          <w:rFonts w:hint="default" w:ascii="Times New Roman" w:hAnsi="Times New Roman" w:eastAsia="仿宋_GB2312" w:cs="Times New Roman"/>
          <w:sz w:val="32"/>
          <w:szCs w:val="32"/>
          <w:highlight w:val="none"/>
          <w:lang w:val="en-US" w:eastAsia="zh-CN"/>
        </w:rPr>
        <w:t>上料</w:t>
      </w:r>
      <w:r>
        <w:rPr>
          <w:rFonts w:hint="eastAsia" w:eastAsia="仿宋_GB2312" w:cs="Times New Roman"/>
          <w:sz w:val="32"/>
          <w:szCs w:val="32"/>
          <w:highlight w:val="none"/>
          <w:lang w:val="en-US" w:eastAsia="zh-CN"/>
        </w:rPr>
        <w:t>三面密闭、</w:t>
      </w:r>
      <w:r>
        <w:rPr>
          <w:rFonts w:hint="default" w:ascii="Times New Roman" w:hAnsi="Times New Roman" w:eastAsia="仿宋_GB2312" w:cs="Times New Roman"/>
          <w:sz w:val="32"/>
          <w:szCs w:val="32"/>
          <w:highlight w:val="none"/>
          <w:lang w:val="en-US" w:eastAsia="zh-CN"/>
        </w:rPr>
        <w:t>雕刻工段四周加装软帘增加密闭性，干式抛光工段</w:t>
      </w:r>
      <w:r>
        <w:rPr>
          <w:rFonts w:hint="eastAsia" w:eastAsia="仿宋_GB2312" w:cs="Times New Roman"/>
          <w:sz w:val="32"/>
          <w:szCs w:val="32"/>
          <w:highlight w:val="none"/>
          <w:lang w:val="en-US" w:eastAsia="zh-CN"/>
        </w:rPr>
        <w:t>二次密闭</w:t>
      </w:r>
      <w:r>
        <w:rPr>
          <w:rFonts w:hint="default" w:ascii="Times New Roman" w:hAnsi="Times New Roman" w:eastAsia="仿宋_GB2312" w:cs="Times New Roman"/>
          <w:sz w:val="32"/>
          <w:szCs w:val="32"/>
          <w:highlight w:val="none"/>
          <w:lang w:val="en-US" w:eastAsia="zh-CN"/>
        </w:rPr>
        <w:t>，颗粒物经集气装置收集后由</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覆膜袋式除尘器</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处理通过15m高排气筒排放；成型</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脱模</w:t>
      </w:r>
      <w:r>
        <w:rPr>
          <w:rFonts w:hint="eastAsia" w:eastAsia="仿宋_GB2312" w:cs="Times New Roman"/>
          <w:sz w:val="32"/>
          <w:szCs w:val="32"/>
          <w:highlight w:val="none"/>
          <w:lang w:val="en-US" w:eastAsia="zh-CN"/>
        </w:rPr>
        <w:t>工序二次密闭，</w:t>
      </w:r>
      <w:r>
        <w:rPr>
          <w:rFonts w:hint="default" w:ascii="Times New Roman" w:hAnsi="Times New Roman" w:eastAsia="仿宋_GB2312" w:cs="Times New Roman"/>
          <w:sz w:val="32"/>
          <w:szCs w:val="32"/>
          <w:highlight w:val="none"/>
          <w:lang w:val="en-US" w:eastAsia="zh-CN"/>
        </w:rPr>
        <w:t>点漆工序密闭作业，有机废气</w:t>
      </w:r>
      <w:r>
        <w:rPr>
          <w:rFonts w:hint="eastAsia" w:eastAsia="仿宋_GB2312" w:cs="Times New Roman"/>
          <w:sz w:val="32"/>
          <w:szCs w:val="32"/>
          <w:highlight w:val="none"/>
          <w:lang w:val="en-US" w:eastAsia="zh-CN"/>
        </w:rPr>
        <w:t>分别</w:t>
      </w:r>
      <w:r>
        <w:rPr>
          <w:rFonts w:hint="default" w:ascii="Times New Roman" w:hAnsi="Times New Roman" w:eastAsia="仿宋_GB2312" w:cs="Times New Roman"/>
          <w:sz w:val="32"/>
          <w:szCs w:val="32"/>
          <w:highlight w:val="none"/>
          <w:lang w:val="en-US" w:eastAsia="zh-CN"/>
        </w:rPr>
        <w:t>经集气</w:t>
      </w:r>
      <w:r>
        <w:rPr>
          <w:rFonts w:hint="eastAsia" w:eastAsia="仿宋_GB2312" w:cs="Times New Roman"/>
          <w:sz w:val="32"/>
          <w:szCs w:val="32"/>
          <w:highlight w:val="none"/>
          <w:lang w:val="en-US" w:eastAsia="zh-CN"/>
        </w:rPr>
        <w:t>装置</w:t>
      </w:r>
      <w:r>
        <w:rPr>
          <w:rFonts w:hint="default" w:ascii="Times New Roman" w:hAnsi="Times New Roman" w:eastAsia="仿宋_GB2312" w:cs="Times New Roman"/>
          <w:sz w:val="32"/>
          <w:szCs w:val="32"/>
          <w:highlight w:val="none"/>
          <w:lang w:val="en-US" w:eastAsia="zh-CN"/>
        </w:rPr>
        <w:t>收集后由“两级活性炭吸附”处理通过15m高排气筒排放。废气排放须满足《大气污染物综合排放标准》（GB16297-1996）表2二级标准、《合成树脂工业污染物排放标准》（GB31572-2015）（含 2024 年修改单）表5及表9浓度限值、《重污染天气重点行业应急减排措施制定技术指南（2020 年修订版）》（环办大气函〔2020〕340号）中工业涂装绩效分级A级要求、《河南省重污染天气重点行业应急减排措施制定技术指南》（2021 年修订版）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14:paraId="5759AB13">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r>
        <w:rPr>
          <w:rFonts w:hint="default" w:ascii="Times New Roman" w:hAnsi="Times New Roman" w:eastAsia="仿宋_GB2312" w:cs="Times New Roman"/>
          <w:bCs/>
          <w:color w:val="000000"/>
          <w:sz w:val="32"/>
          <w:szCs w:val="32"/>
          <w:lang w:val="en-US" w:eastAsia="zh-CN"/>
        </w:rPr>
        <w:t>湿式抛光废水经20m</w:t>
      </w:r>
      <w:r>
        <w:rPr>
          <w:rFonts w:hint="eastAsia"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沉淀池沉淀处理后循环使用，不外排</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生活污水经</w:t>
      </w:r>
      <w:r>
        <w:rPr>
          <w:rFonts w:hint="eastAsia" w:eastAsia="仿宋_GB2312" w:cs="Times New Roman"/>
          <w:bCs/>
          <w:color w:val="000000"/>
          <w:sz w:val="32"/>
          <w:szCs w:val="32"/>
          <w:lang w:val="en-US" w:eastAsia="zh-CN"/>
        </w:rPr>
        <w:t>3</w:t>
      </w:r>
      <w:r>
        <w:rPr>
          <w:rFonts w:hint="default" w:ascii="Times New Roman" w:hAnsi="Times New Roman" w:eastAsia="仿宋_GB2312" w:cs="Times New Roman"/>
          <w:bCs/>
          <w:color w:val="000000"/>
          <w:sz w:val="32"/>
          <w:szCs w:val="32"/>
          <w:lang w:val="en-US" w:eastAsia="zh-CN"/>
        </w:rPr>
        <w:t>m</w:t>
      </w:r>
      <w:r>
        <w:rPr>
          <w:rFonts w:hint="eastAsia" w:eastAsia="仿宋_GB2312" w:cs="Times New Roman"/>
          <w:bCs/>
          <w:color w:val="000000"/>
          <w:sz w:val="32"/>
          <w:szCs w:val="32"/>
          <w:vertAlign w:val="superscript"/>
          <w:lang w:val="en-US" w:eastAsia="zh-CN"/>
        </w:rPr>
        <w:t>3</w:t>
      </w:r>
      <w:r>
        <w:rPr>
          <w:rFonts w:hint="default" w:ascii="Times New Roman" w:hAnsi="Times New Roman" w:eastAsia="仿宋_GB2312" w:cs="Times New Roman"/>
          <w:bCs/>
          <w:color w:val="000000"/>
          <w:sz w:val="32"/>
          <w:szCs w:val="32"/>
          <w:lang w:val="en-US" w:eastAsia="zh-CN"/>
        </w:rPr>
        <w:t>化粪池处理后定期清掏，用于沤制农肥。</w:t>
      </w:r>
    </w:p>
    <w:p w14:paraId="10DF34F2">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：热塑挤出成型机、抛光滚筒机、全自动点漆机、雕刻机、包装机、风机、空压机</w:t>
      </w:r>
      <w:r>
        <w:rPr>
          <w:rFonts w:hint="default" w:ascii="Times New Roman" w:hAnsi="Times New Roman" w:eastAsia="仿宋_GB2312" w:cs="Times New Roman"/>
          <w:sz w:val="32"/>
          <w:szCs w:val="32"/>
          <w:highlight w:val="none"/>
          <w:lang w:eastAsia="zh-CN"/>
        </w:rPr>
        <w:t>等设备运行时产生的噪声，通过厂房隔声、</w:t>
      </w:r>
      <w:r>
        <w:rPr>
          <w:rFonts w:hint="default" w:ascii="Times New Roman" w:hAnsi="Times New Roman" w:eastAsia="仿宋_GB2312" w:cs="Times New Roman"/>
          <w:sz w:val="32"/>
          <w:szCs w:val="32"/>
          <w:highlight w:val="none"/>
          <w:lang w:val="en-US" w:eastAsia="zh-CN"/>
        </w:rPr>
        <w:t>基础减振</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厂界噪声排放须满足《工业企业厂界环境噪声排放标准》（GB12348-2008）2类标准。</w:t>
      </w:r>
    </w:p>
    <w:p w14:paraId="141022E4">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固体废物：沉淀池废渣、废陶粒砂、残次品、除尘器收尘灰、除尘器废滤袋、废竹片</w:t>
      </w:r>
      <w:r>
        <w:rPr>
          <w:rFonts w:hint="default" w:ascii="Times New Roman" w:hAnsi="Times New Roman" w:eastAsia="仿宋_GB2312" w:cs="Times New Roman"/>
          <w:bCs/>
          <w:color w:val="000000"/>
          <w:sz w:val="32"/>
          <w:szCs w:val="32"/>
          <w:highlight w:val="none"/>
          <w:lang w:val="en-US" w:eastAsia="zh-CN"/>
        </w:rPr>
        <w:t>暂存在10m</w:t>
      </w:r>
      <w:r>
        <w:rPr>
          <w:rFonts w:hint="eastAsia" w:eastAsia="仿宋_GB2312" w:cs="Times New Roman"/>
          <w:bCs/>
          <w:color w:val="000000"/>
          <w:sz w:val="32"/>
          <w:szCs w:val="32"/>
          <w:highlight w:val="none"/>
          <w:vertAlign w:val="superscript"/>
          <w:lang w:val="en-US" w:eastAsia="zh-CN"/>
        </w:rPr>
        <w:t>2</w:t>
      </w:r>
      <w:r>
        <w:rPr>
          <w:rFonts w:hint="default" w:ascii="Times New Roman" w:hAnsi="Times New Roman" w:eastAsia="仿宋_GB2312" w:cs="Times New Roman"/>
          <w:bCs/>
          <w:color w:val="000000"/>
          <w:sz w:val="32"/>
          <w:szCs w:val="32"/>
          <w:highlight w:val="none"/>
          <w:lang w:val="en-US" w:eastAsia="zh-CN"/>
        </w:rPr>
        <w:t>一般固废暂存间后定期</w:t>
      </w:r>
      <w:r>
        <w:rPr>
          <w:rFonts w:hint="default" w:ascii="Times New Roman" w:hAnsi="Times New Roman" w:eastAsia="仿宋_GB2312" w:cs="Times New Roman"/>
          <w:bCs/>
          <w:color w:val="000000"/>
          <w:sz w:val="32"/>
          <w:szCs w:val="32"/>
          <w:highlight w:val="none"/>
        </w:rPr>
        <w:t>外售综合利用</w:t>
      </w:r>
      <w:r>
        <w:rPr>
          <w:rFonts w:hint="default" w:ascii="Times New Roman" w:hAnsi="Times New Roman" w:eastAsia="仿宋_GB2312" w:cs="Times New Roman"/>
          <w:bCs/>
          <w:color w:val="000000"/>
          <w:sz w:val="32"/>
          <w:szCs w:val="32"/>
          <w:highlight w:val="none"/>
          <w:lang w:val="en-US" w:eastAsia="zh-CN"/>
        </w:rPr>
        <w:t>；废活性炭、废润滑油、废漆桶暂存于10m</w:t>
      </w:r>
      <w:r>
        <w:rPr>
          <w:rFonts w:hint="eastAsia" w:eastAsia="仿宋_GB2312" w:cs="Times New Roman"/>
          <w:bCs/>
          <w:color w:val="000000"/>
          <w:sz w:val="32"/>
          <w:szCs w:val="32"/>
          <w:highlight w:val="none"/>
          <w:vertAlign w:val="superscript"/>
          <w:lang w:val="en-US" w:eastAsia="zh-CN"/>
        </w:rPr>
        <w:t>2</w:t>
      </w:r>
      <w:r>
        <w:rPr>
          <w:rFonts w:hint="default" w:ascii="Times New Roman" w:hAnsi="Times New Roman" w:eastAsia="仿宋_GB2312" w:cs="Times New Roman"/>
          <w:bCs/>
          <w:color w:val="000000"/>
          <w:sz w:val="32"/>
          <w:szCs w:val="32"/>
          <w:highlight w:val="none"/>
          <w:lang w:val="en-US" w:eastAsia="zh-CN"/>
        </w:rPr>
        <w:t>危险废物暂存间，定期交由有资质单位处置；</w:t>
      </w:r>
      <w:r>
        <w:rPr>
          <w:rFonts w:hint="default" w:ascii="Times New Roman" w:hAnsi="Times New Roman" w:eastAsia="仿宋_GB2312" w:cs="Times New Roman"/>
          <w:bCs/>
          <w:color w:val="000000"/>
          <w:sz w:val="32"/>
          <w:szCs w:val="32"/>
          <w:highlight w:val="none"/>
        </w:rPr>
        <w:t>生活垃圾经垃圾</w:t>
      </w:r>
      <w:r>
        <w:rPr>
          <w:rFonts w:hint="default" w:ascii="Times New Roman" w:hAnsi="Times New Roman" w:eastAsia="仿宋_GB2312" w:cs="Times New Roman"/>
          <w:bCs/>
          <w:color w:val="000000"/>
          <w:sz w:val="32"/>
          <w:szCs w:val="32"/>
          <w:highlight w:val="none"/>
          <w:lang w:val="en-US" w:eastAsia="zh-CN"/>
        </w:rPr>
        <w:t>桶</w:t>
      </w:r>
      <w:r>
        <w:rPr>
          <w:rFonts w:hint="default" w:ascii="Times New Roman" w:hAnsi="Times New Roman" w:eastAsia="仿宋_GB2312" w:cs="Times New Roman"/>
          <w:bCs/>
          <w:color w:val="000000"/>
          <w:sz w:val="32"/>
          <w:szCs w:val="32"/>
          <w:highlight w:val="none"/>
        </w:rPr>
        <w:t>收集，由环卫部门定期清运</w:t>
      </w:r>
      <w:r>
        <w:rPr>
          <w:rFonts w:hint="default" w:ascii="Times New Roman" w:hAnsi="Times New Roman" w:eastAsia="仿宋_GB2312" w:cs="Times New Roman"/>
          <w:bCs/>
          <w:color w:val="000000"/>
          <w:sz w:val="32"/>
          <w:szCs w:val="32"/>
          <w:highlight w:val="none"/>
          <w:lang w:val="en-US" w:eastAsia="zh-CN"/>
        </w:rPr>
        <w:t>统一处置。一般固体废物暂存应满足《一般工业固体废物贮存和填埋污染控制标准》（GB18599 -2020）要求，危险废物暂存应满足《危险废物贮存污染控制标准》（GB18597-2023）要求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03F97738">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本项目建成后主要污染物排放总量控制指标为：颗粒物0.0156t/a、VOCs0.0331t/a。颗粒物从滑县王庄镇高朗环保节能建材厂减排削减量中倍量替代；非甲烷总烃从河南中照塑业有限公司减排量中倍量替代。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2DAC387C">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600D388E">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4F938E79">
      <w:pPr>
        <w:pStyle w:val="2"/>
        <w:rPr>
          <w:rFonts w:hint="default" w:ascii="Times New Roman" w:hAnsi="Times New Roman" w:eastAsia="仿宋_GB2312" w:cs="Times New Roman"/>
          <w:color w:val="000000"/>
          <w:sz w:val="32"/>
          <w:szCs w:val="32"/>
        </w:rPr>
      </w:pPr>
    </w:p>
    <w:p w14:paraId="29A88987">
      <w:pPr>
        <w:pStyle w:val="2"/>
        <w:rPr>
          <w:rFonts w:hint="default" w:ascii="Times New Roman" w:hAnsi="Times New Roman" w:eastAsia="仿宋_GB2312" w:cs="Times New Roman"/>
          <w:color w:val="000000"/>
          <w:sz w:val="32"/>
          <w:szCs w:val="32"/>
        </w:rPr>
      </w:pPr>
    </w:p>
    <w:p w14:paraId="3E19199C">
      <w:pPr>
        <w:pStyle w:val="2"/>
        <w:rPr>
          <w:rFonts w:hint="default" w:ascii="Times New Roman" w:hAnsi="Times New Roman" w:eastAsia="仿宋_GB2312" w:cs="Times New Roman"/>
          <w:color w:val="000000"/>
          <w:sz w:val="32"/>
          <w:szCs w:val="32"/>
        </w:rPr>
      </w:pPr>
    </w:p>
    <w:p w14:paraId="07FA0CCB">
      <w:pPr>
        <w:pStyle w:val="2"/>
        <w:rPr>
          <w:rFonts w:hint="default" w:ascii="Times New Roman" w:hAnsi="Times New Roman" w:eastAsia="仿宋_GB2312" w:cs="Times New Roman"/>
          <w:color w:val="000000"/>
          <w:sz w:val="32"/>
          <w:szCs w:val="32"/>
        </w:rPr>
      </w:pPr>
    </w:p>
    <w:p w14:paraId="7419944C">
      <w:pPr>
        <w:pStyle w:val="2"/>
        <w:rPr>
          <w:rFonts w:hint="default" w:ascii="Times New Roman" w:hAnsi="Times New Roman" w:eastAsia="仿宋_GB2312" w:cs="Times New Roman"/>
          <w:color w:val="000000"/>
          <w:sz w:val="32"/>
          <w:szCs w:val="32"/>
        </w:rPr>
      </w:pPr>
    </w:p>
    <w:p w14:paraId="185D64C0">
      <w:pPr>
        <w:pStyle w:val="2"/>
        <w:rPr>
          <w:rFonts w:hint="default" w:ascii="Times New Roman" w:hAnsi="Times New Roman" w:eastAsia="仿宋_GB2312" w:cs="Times New Roman"/>
          <w:color w:val="000000"/>
          <w:sz w:val="32"/>
          <w:szCs w:val="32"/>
        </w:rPr>
      </w:pPr>
    </w:p>
    <w:p w14:paraId="73429300">
      <w:pPr>
        <w:pStyle w:val="2"/>
        <w:rPr>
          <w:rFonts w:hint="default" w:ascii="Times New Roman" w:hAnsi="Times New Roman" w:eastAsia="仿宋_GB2312" w:cs="Times New Roman"/>
          <w:color w:val="000000"/>
          <w:sz w:val="32"/>
          <w:szCs w:val="32"/>
        </w:rPr>
      </w:pPr>
    </w:p>
    <w:p w14:paraId="60344658">
      <w:pPr>
        <w:pStyle w:val="2"/>
        <w:rPr>
          <w:rFonts w:hint="default" w:ascii="Times New Roman" w:hAnsi="Times New Roman" w:eastAsia="仿宋_GB2312" w:cs="Times New Roman"/>
          <w:color w:val="000000"/>
          <w:sz w:val="32"/>
          <w:szCs w:val="32"/>
        </w:rPr>
      </w:pPr>
    </w:p>
    <w:p w14:paraId="006A0FAC">
      <w:pPr>
        <w:pStyle w:val="2"/>
        <w:rPr>
          <w:rFonts w:hint="default" w:ascii="Times New Roman" w:hAnsi="Times New Roman" w:eastAsia="仿宋_GB2312" w:cs="Times New Roman"/>
          <w:color w:val="000000"/>
          <w:sz w:val="32"/>
          <w:szCs w:val="32"/>
        </w:rPr>
      </w:pPr>
    </w:p>
    <w:p w14:paraId="70608BE1">
      <w:pPr>
        <w:pStyle w:val="2"/>
        <w:rPr>
          <w:rFonts w:hint="default" w:ascii="Times New Roman" w:hAnsi="Times New Roman" w:eastAsia="仿宋_GB2312" w:cs="Times New Roman"/>
          <w:color w:val="000000"/>
          <w:sz w:val="32"/>
          <w:szCs w:val="32"/>
        </w:rPr>
      </w:pPr>
    </w:p>
    <w:p w14:paraId="12885FE4">
      <w:pPr>
        <w:pStyle w:val="2"/>
        <w:rPr>
          <w:rFonts w:hint="default" w:ascii="Times New Roman" w:hAnsi="Times New Roman" w:eastAsia="仿宋_GB2312" w:cs="Times New Roman"/>
          <w:color w:val="000000"/>
          <w:sz w:val="32"/>
          <w:szCs w:val="32"/>
        </w:rPr>
      </w:pPr>
    </w:p>
    <w:p w14:paraId="7AF43866">
      <w:pPr>
        <w:pStyle w:val="2"/>
        <w:rPr>
          <w:rFonts w:hint="default" w:ascii="Times New Roman" w:hAnsi="Times New Roman" w:eastAsia="仿宋_GB2312" w:cs="Times New Roman"/>
          <w:color w:val="000000"/>
          <w:sz w:val="32"/>
          <w:szCs w:val="32"/>
        </w:rPr>
      </w:pPr>
    </w:p>
    <w:p w14:paraId="29D81532">
      <w:pPr>
        <w:pStyle w:val="2"/>
        <w:rPr>
          <w:rFonts w:hint="default" w:ascii="Times New Roman" w:hAnsi="Times New Roman" w:eastAsia="仿宋_GB2312" w:cs="Times New Roman"/>
          <w:color w:val="000000"/>
          <w:sz w:val="32"/>
          <w:szCs w:val="32"/>
        </w:rPr>
      </w:pPr>
    </w:p>
    <w:p w14:paraId="02C73C2B">
      <w:pPr>
        <w:pStyle w:val="2"/>
        <w:rPr>
          <w:rFonts w:hint="default" w:ascii="Times New Roman" w:hAnsi="Times New Roman" w:eastAsia="仿宋_GB2312" w:cs="Times New Roman"/>
          <w:color w:val="000000"/>
          <w:sz w:val="32"/>
          <w:szCs w:val="32"/>
        </w:rPr>
      </w:pPr>
    </w:p>
    <w:p w14:paraId="221AC534">
      <w:pPr>
        <w:pStyle w:val="2"/>
        <w:rPr>
          <w:rFonts w:hint="default" w:ascii="Times New Roman" w:hAnsi="Times New Roman" w:eastAsia="仿宋_GB2312" w:cs="Times New Roman"/>
          <w:color w:val="000000"/>
          <w:sz w:val="32"/>
          <w:szCs w:val="32"/>
        </w:rPr>
      </w:pPr>
    </w:p>
    <w:p w14:paraId="58505E71">
      <w:pPr>
        <w:pStyle w:val="2"/>
        <w:rPr>
          <w:rFonts w:hint="default" w:ascii="Times New Roman" w:hAnsi="Times New Roman" w:eastAsia="仿宋_GB2312" w:cs="Times New Roman"/>
          <w:color w:val="000000"/>
          <w:sz w:val="32"/>
          <w:szCs w:val="32"/>
        </w:rPr>
      </w:pPr>
    </w:p>
    <w:p w14:paraId="52DF0CBC">
      <w:pPr>
        <w:pStyle w:val="2"/>
        <w:rPr>
          <w:rFonts w:hint="default" w:ascii="Times New Roman" w:hAnsi="Times New Roman" w:eastAsia="仿宋_GB2312" w:cs="Times New Roman"/>
          <w:color w:val="000000"/>
          <w:sz w:val="32"/>
          <w:szCs w:val="32"/>
        </w:rPr>
      </w:pPr>
    </w:p>
    <w:p w14:paraId="5CC44A35">
      <w:pPr>
        <w:pStyle w:val="2"/>
        <w:rPr>
          <w:rFonts w:hint="default" w:ascii="Times New Roman" w:hAnsi="Times New Roman" w:eastAsia="仿宋_GB2312" w:cs="Times New Roman"/>
          <w:color w:val="000000"/>
          <w:sz w:val="32"/>
          <w:szCs w:val="32"/>
        </w:rPr>
      </w:pPr>
    </w:p>
    <w:p w14:paraId="66DB6208">
      <w:pPr>
        <w:pStyle w:val="2"/>
        <w:rPr>
          <w:rFonts w:hint="default" w:ascii="Times New Roman" w:hAnsi="Times New Roman" w:eastAsia="仿宋_GB2312" w:cs="Times New Roman"/>
          <w:color w:val="000000"/>
          <w:sz w:val="32"/>
          <w:szCs w:val="32"/>
        </w:rPr>
      </w:pPr>
    </w:p>
    <w:p w14:paraId="35088961">
      <w:pPr>
        <w:pStyle w:val="2"/>
        <w:rPr>
          <w:rFonts w:hint="default" w:ascii="Times New Roman" w:hAnsi="Times New Roman" w:eastAsia="仿宋_GB2312" w:cs="Times New Roman"/>
          <w:color w:val="000000"/>
          <w:sz w:val="32"/>
          <w:szCs w:val="32"/>
        </w:rPr>
      </w:pPr>
    </w:p>
    <w:p w14:paraId="660BC39E">
      <w:pPr>
        <w:pStyle w:val="2"/>
        <w:rPr>
          <w:rFonts w:hint="default" w:ascii="Times New Roman" w:hAnsi="Times New Roman" w:eastAsia="仿宋_GB2312" w:cs="Times New Roman"/>
          <w:color w:val="000000"/>
          <w:sz w:val="32"/>
          <w:szCs w:val="32"/>
        </w:rPr>
      </w:pPr>
    </w:p>
    <w:p w14:paraId="216BB396">
      <w:pPr>
        <w:pStyle w:val="2"/>
        <w:rPr>
          <w:rFonts w:hint="default" w:ascii="Times New Roman" w:hAnsi="Times New Roman" w:eastAsia="仿宋_GB2312" w:cs="Times New Roman"/>
          <w:color w:val="000000"/>
          <w:sz w:val="32"/>
          <w:szCs w:val="32"/>
        </w:rPr>
      </w:pPr>
    </w:p>
    <w:p w14:paraId="67FEF186">
      <w:pPr>
        <w:pStyle w:val="2"/>
        <w:rPr>
          <w:rFonts w:hint="default" w:ascii="Times New Roman" w:hAnsi="Times New Roman" w:eastAsia="仿宋_GB2312" w:cs="Times New Roman"/>
          <w:color w:val="000000"/>
          <w:sz w:val="32"/>
          <w:szCs w:val="32"/>
        </w:rPr>
      </w:pPr>
    </w:p>
    <w:p w14:paraId="7AAA0E30">
      <w:pPr>
        <w:pStyle w:val="2"/>
        <w:rPr>
          <w:rFonts w:hint="default" w:ascii="Times New Roman" w:hAnsi="Times New Roman" w:eastAsia="仿宋_GB2312" w:cs="Times New Roman"/>
          <w:color w:val="000000"/>
          <w:sz w:val="32"/>
          <w:szCs w:val="32"/>
        </w:rPr>
      </w:pPr>
    </w:p>
    <w:p w14:paraId="004FDC05">
      <w:pPr>
        <w:pStyle w:val="2"/>
        <w:rPr>
          <w:rFonts w:hint="default" w:ascii="Times New Roman" w:hAnsi="Times New Roman" w:eastAsia="仿宋_GB2312" w:cs="Times New Roman"/>
          <w:color w:val="000000"/>
          <w:sz w:val="32"/>
          <w:szCs w:val="32"/>
        </w:rPr>
      </w:pPr>
    </w:p>
    <w:p w14:paraId="24F53E91">
      <w:pPr>
        <w:pStyle w:val="2"/>
        <w:rPr>
          <w:rFonts w:hint="default" w:ascii="Times New Roman" w:hAnsi="Times New Roman" w:eastAsia="仿宋_GB2312" w:cs="Times New Roman"/>
          <w:color w:val="000000"/>
          <w:sz w:val="32"/>
          <w:szCs w:val="32"/>
        </w:rPr>
      </w:pPr>
    </w:p>
    <w:p w14:paraId="699F2E5E">
      <w:pPr>
        <w:pStyle w:val="2"/>
        <w:rPr>
          <w:rFonts w:hint="default" w:ascii="Times New Roman" w:hAnsi="Times New Roman" w:eastAsia="仿宋_GB2312" w:cs="Times New Roman"/>
          <w:color w:val="000000"/>
          <w:sz w:val="32"/>
          <w:szCs w:val="32"/>
        </w:rPr>
      </w:pPr>
    </w:p>
    <w:p w14:paraId="0B215800">
      <w:pPr>
        <w:pStyle w:val="2"/>
        <w:rPr>
          <w:rFonts w:hint="default" w:ascii="Times New Roman" w:hAnsi="Times New Roman" w:eastAsia="仿宋_GB2312" w:cs="Times New Roman"/>
          <w:color w:val="000000"/>
          <w:sz w:val="32"/>
          <w:szCs w:val="32"/>
        </w:rPr>
      </w:pPr>
    </w:p>
    <w:p w14:paraId="53EC284E">
      <w:pPr>
        <w:pStyle w:val="2"/>
        <w:rPr>
          <w:rFonts w:hint="default" w:ascii="Times New Roman" w:hAnsi="Times New Roman" w:eastAsia="仿宋_GB2312" w:cs="Times New Roman"/>
          <w:color w:val="000000"/>
          <w:sz w:val="32"/>
          <w:szCs w:val="32"/>
        </w:rPr>
      </w:pPr>
    </w:p>
    <w:p w14:paraId="236C3B69">
      <w:pPr>
        <w:pStyle w:val="2"/>
        <w:rPr>
          <w:rFonts w:hint="default" w:ascii="Times New Roman" w:hAnsi="Times New Roman" w:eastAsia="仿宋_GB2312" w:cs="Times New Roman"/>
          <w:color w:val="000000"/>
          <w:sz w:val="32"/>
          <w:szCs w:val="32"/>
        </w:rPr>
      </w:pPr>
    </w:p>
    <w:p w14:paraId="083F0AEA">
      <w:pPr>
        <w:pStyle w:val="2"/>
        <w:rPr>
          <w:rFonts w:hint="default" w:ascii="Times New Roman" w:hAnsi="Times New Roman" w:eastAsia="仿宋_GB2312" w:cs="Times New Roman"/>
          <w:color w:val="000000"/>
          <w:sz w:val="32"/>
          <w:szCs w:val="32"/>
        </w:rPr>
      </w:pPr>
    </w:p>
    <w:p w14:paraId="1FB64780">
      <w:pPr>
        <w:pStyle w:val="2"/>
        <w:rPr>
          <w:rFonts w:hint="default" w:ascii="Times New Roman" w:hAnsi="Times New Roman" w:eastAsia="仿宋_GB2312" w:cs="Times New Roman"/>
          <w:color w:val="000000"/>
          <w:sz w:val="32"/>
          <w:szCs w:val="32"/>
        </w:rPr>
      </w:pPr>
    </w:p>
    <w:p w14:paraId="48079851">
      <w:pPr>
        <w:pStyle w:val="2"/>
        <w:rPr>
          <w:rFonts w:hint="default" w:ascii="Times New Roman" w:hAnsi="Times New Roman" w:eastAsia="仿宋_GB2312" w:cs="Times New Roman"/>
          <w:color w:val="000000"/>
          <w:sz w:val="32"/>
          <w:szCs w:val="32"/>
        </w:rPr>
      </w:pPr>
    </w:p>
    <w:p w14:paraId="4829790D">
      <w:pPr>
        <w:pStyle w:val="2"/>
        <w:rPr>
          <w:rFonts w:hint="default" w:ascii="Times New Roman" w:hAnsi="Times New Roman" w:eastAsia="仿宋_GB2312" w:cs="Times New Roman"/>
          <w:color w:val="000000"/>
          <w:sz w:val="32"/>
          <w:szCs w:val="32"/>
        </w:rPr>
      </w:pPr>
    </w:p>
    <w:p w14:paraId="62099CE1">
      <w:pPr>
        <w:pStyle w:val="2"/>
        <w:rPr>
          <w:rFonts w:hint="default" w:ascii="Times New Roman" w:hAnsi="Times New Roman" w:eastAsia="仿宋_GB2312" w:cs="Times New Roman"/>
          <w:color w:val="000000"/>
          <w:sz w:val="32"/>
          <w:szCs w:val="32"/>
        </w:rPr>
      </w:pPr>
    </w:p>
    <w:p w14:paraId="1C53E63C">
      <w:pPr>
        <w:pStyle w:val="2"/>
        <w:rPr>
          <w:rFonts w:hint="default" w:ascii="Times New Roman" w:hAnsi="Times New Roman" w:eastAsia="仿宋_GB2312" w:cs="Times New Roman"/>
          <w:color w:val="000000"/>
          <w:sz w:val="32"/>
          <w:szCs w:val="32"/>
        </w:rPr>
      </w:pPr>
    </w:p>
    <w:p w14:paraId="4771F5DF">
      <w:pPr>
        <w:pStyle w:val="2"/>
        <w:rPr>
          <w:rFonts w:hint="default" w:ascii="Times New Roman" w:hAnsi="Times New Roman" w:eastAsia="仿宋_GB2312" w:cs="Times New Roman"/>
          <w:color w:val="000000"/>
          <w:sz w:val="32"/>
          <w:szCs w:val="32"/>
        </w:rPr>
      </w:pPr>
    </w:p>
    <w:p w14:paraId="4942689F">
      <w:pPr>
        <w:pStyle w:val="2"/>
        <w:rPr>
          <w:rFonts w:hint="default" w:ascii="Times New Roman" w:hAnsi="Times New Roman" w:eastAsia="仿宋_GB2312" w:cs="Times New Roman"/>
          <w:color w:val="000000"/>
          <w:sz w:val="32"/>
          <w:szCs w:val="32"/>
        </w:rPr>
      </w:pPr>
    </w:p>
    <w:p w14:paraId="552A0017">
      <w:pPr>
        <w:pStyle w:val="2"/>
        <w:rPr>
          <w:rFonts w:hint="default" w:ascii="Times New Roman" w:hAnsi="Times New Roman" w:eastAsia="仿宋_GB2312" w:cs="Times New Roman"/>
          <w:color w:val="000000"/>
          <w:sz w:val="32"/>
          <w:szCs w:val="32"/>
        </w:rPr>
      </w:pPr>
    </w:p>
    <w:p w14:paraId="6D46E0E9">
      <w:pPr>
        <w:pStyle w:val="2"/>
        <w:rPr>
          <w:rFonts w:hint="default" w:ascii="Times New Roman" w:hAnsi="Times New Roman" w:eastAsia="仿宋_GB2312" w:cs="Times New Roman"/>
          <w:color w:val="000000"/>
          <w:sz w:val="32"/>
          <w:szCs w:val="32"/>
        </w:rPr>
      </w:pPr>
    </w:p>
    <w:p w14:paraId="0078EB33">
      <w:pPr>
        <w:pStyle w:val="2"/>
        <w:rPr>
          <w:rFonts w:hint="default" w:ascii="Times New Roman" w:hAnsi="Times New Roman" w:eastAsia="仿宋_GB2312" w:cs="Times New Roman"/>
          <w:color w:val="000000"/>
          <w:sz w:val="32"/>
          <w:szCs w:val="32"/>
        </w:rPr>
      </w:pPr>
    </w:p>
    <w:p w14:paraId="58DBE857">
      <w:pPr>
        <w:pStyle w:val="2"/>
        <w:rPr>
          <w:rFonts w:hint="default" w:ascii="Times New Roman" w:hAnsi="Times New Roman" w:eastAsia="仿宋_GB2312" w:cs="Times New Roman"/>
          <w:color w:val="000000"/>
          <w:sz w:val="32"/>
          <w:szCs w:val="32"/>
        </w:rPr>
      </w:pPr>
    </w:p>
    <w:p w14:paraId="64CDC9B8">
      <w:pPr>
        <w:pStyle w:val="2"/>
        <w:rPr>
          <w:rFonts w:hint="default" w:ascii="Times New Roman" w:hAnsi="Times New Roman" w:eastAsia="仿宋_GB2312" w:cs="Times New Roman"/>
          <w:color w:val="000000"/>
          <w:sz w:val="32"/>
          <w:szCs w:val="32"/>
        </w:rPr>
      </w:pPr>
    </w:p>
    <w:p w14:paraId="34CAC4D0">
      <w:pPr>
        <w:pStyle w:val="2"/>
        <w:rPr>
          <w:rFonts w:hint="default" w:ascii="Times New Roman" w:hAnsi="Times New Roman" w:eastAsia="仿宋_GB2312" w:cs="Times New Roman"/>
          <w:color w:val="000000"/>
          <w:sz w:val="32"/>
          <w:szCs w:val="32"/>
        </w:rPr>
      </w:pPr>
    </w:p>
    <w:p w14:paraId="168C72F8">
      <w:pPr>
        <w:pStyle w:val="2"/>
        <w:rPr>
          <w:rFonts w:hint="default" w:ascii="Times New Roman" w:hAnsi="Times New Roman" w:eastAsia="仿宋_GB2312" w:cs="Times New Roman"/>
          <w:color w:val="000000"/>
          <w:sz w:val="32"/>
          <w:szCs w:val="32"/>
        </w:rPr>
      </w:pPr>
    </w:p>
    <w:p w14:paraId="2D1ABECE">
      <w:pPr>
        <w:pStyle w:val="2"/>
        <w:rPr>
          <w:rFonts w:hint="default" w:ascii="Times New Roman" w:hAnsi="Times New Roman" w:eastAsia="仿宋_GB2312" w:cs="Times New Roman"/>
          <w:color w:val="000000"/>
          <w:sz w:val="32"/>
          <w:szCs w:val="32"/>
        </w:rPr>
      </w:pPr>
    </w:p>
    <w:p w14:paraId="770DF3E9">
      <w:pPr>
        <w:pStyle w:val="2"/>
        <w:rPr>
          <w:rFonts w:hint="default" w:ascii="Times New Roman" w:hAnsi="Times New Roman" w:eastAsia="仿宋_GB2312" w:cs="Times New Roman"/>
          <w:color w:val="000000"/>
          <w:sz w:val="32"/>
          <w:szCs w:val="32"/>
        </w:rPr>
      </w:pPr>
    </w:p>
    <w:p w14:paraId="343DAFD2">
      <w:pPr>
        <w:pStyle w:val="2"/>
        <w:rPr>
          <w:rFonts w:hint="default" w:ascii="Times New Roman" w:hAnsi="Times New Roman" w:eastAsia="仿宋_GB2312" w:cs="Times New Roman"/>
          <w:color w:val="000000"/>
          <w:sz w:val="32"/>
          <w:szCs w:val="32"/>
        </w:rPr>
      </w:pPr>
    </w:p>
    <w:p w14:paraId="3BD4CE94">
      <w:pPr>
        <w:pStyle w:val="2"/>
        <w:rPr>
          <w:rFonts w:hint="default" w:ascii="Times New Roman" w:hAnsi="Times New Roman" w:eastAsia="仿宋_GB2312" w:cs="Times New Roman"/>
          <w:color w:val="000000"/>
          <w:sz w:val="32"/>
          <w:szCs w:val="32"/>
        </w:rPr>
      </w:pPr>
    </w:p>
    <w:p w14:paraId="232335B9">
      <w:pPr>
        <w:pStyle w:val="2"/>
        <w:rPr>
          <w:rFonts w:hint="default" w:ascii="Times New Roman" w:hAnsi="Times New Roman" w:eastAsia="仿宋_GB2312" w:cs="Times New Roman"/>
          <w:color w:val="000000"/>
          <w:sz w:val="32"/>
          <w:szCs w:val="32"/>
        </w:rPr>
      </w:pPr>
    </w:p>
    <w:p w14:paraId="1284ADDC">
      <w:pPr>
        <w:pStyle w:val="2"/>
        <w:rPr>
          <w:rFonts w:hint="default" w:ascii="Times New Roman" w:hAnsi="Times New Roman" w:eastAsia="仿宋_GB2312" w:cs="Times New Roman"/>
          <w:color w:val="000000"/>
          <w:sz w:val="32"/>
          <w:szCs w:val="32"/>
        </w:rPr>
      </w:pPr>
    </w:p>
    <w:p w14:paraId="17740004">
      <w:pPr>
        <w:pStyle w:val="2"/>
        <w:rPr>
          <w:rFonts w:hint="default" w:ascii="Times New Roman" w:hAnsi="Times New Roman" w:eastAsia="仿宋_GB2312" w:cs="Times New Roman"/>
          <w:color w:val="000000"/>
          <w:sz w:val="32"/>
          <w:szCs w:val="32"/>
        </w:rPr>
      </w:pPr>
    </w:p>
    <w:p w14:paraId="45881929">
      <w:pPr>
        <w:pStyle w:val="2"/>
        <w:rPr>
          <w:rFonts w:hint="default" w:ascii="Times New Roman" w:hAnsi="Times New Roman" w:eastAsia="仿宋_GB2312" w:cs="Times New Roman"/>
          <w:color w:val="000000"/>
          <w:sz w:val="32"/>
          <w:szCs w:val="32"/>
        </w:rPr>
      </w:pPr>
    </w:p>
    <w:p w14:paraId="7D588C7B">
      <w:pPr>
        <w:pStyle w:val="2"/>
        <w:rPr>
          <w:rFonts w:hint="default" w:ascii="Times New Roman" w:hAnsi="Times New Roman" w:eastAsia="仿宋_GB2312" w:cs="Times New Roman"/>
          <w:color w:val="000000"/>
          <w:sz w:val="32"/>
          <w:szCs w:val="32"/>
        </w:rPr>
      </w:pPr>
    </w:p>
    <w:p w14:paraId="44C1DD5E">
      <w:pPr>
        <w:pStyle w:val="2"/>
        <w:rPr>
          <w:rFonts w:hint="default" w:ascii="Times New Roman" w:hAnsi="Times New Roman" w:eastAsia="仿宋_GB2312" w:cs="Times New Roman"/>
          <w:color w:val="000000"/>
          <w:sz w:val="32"/>
          <w:szCs w:val="32"/>
        </w:rPr>
      </w:pPr>
    </w:p>
    <w:p w14:paraId="6EC3EDD7">
      <w:pPr>
        <w:pStyle w:val="2"/>
        <w:rPr>
          <w:rFonts w:hint="default" w:ascii="Times New Roman" w:hAnsi="Times New Roman" w:eastAsia="仿宋_GB2312" w:cs="Times New Roman"/>
          <w:color w:val="000000"/>
          <w:sz w:val="32"/>
          <w:szCs w:val="32"/>
        </w:rPr>
      </w:pPr>
    </w:p>
    <w:p w14:paraId="4475EEC7">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ind w:left="908" w:hanging="840" w:hangingChars="300"/>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白道口</w:t>
      </w:r>
      <w:r>
        <w:rPr>
          <w:rFonts w:hint="default" w:ascii="Times New Roman" w:hAnsi="Times New Roman" w:eastAsia="仿宋_GB2312" w:cs="Times New Roman"/>
          <w:color w:val="000000"/>
          <w:w w:val="100"/>
          <w:sz w:val="28"/>
          <w:szCs w:val="28"/>
          <w:lang w:val="en-US" w:eastAsia="zh-CN"/>
        </w:rPr>
        <w:t>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202</w:t>
      </w:r>
      <w:r>
        <w:rPr>
          <w:rFonts w:hint="default" w:ascii="Times New Roman" w:hAnsi="Times New Roman" w:eastAsia="仿宋_GB2312" w:cs="Times New Roman"/>
          <w:color w:val="000000"/>
          <w:w w:val="100"/>
          <w:sz w:val="28"/>
          <w:szCs w:val="28"/>
          <w:lang w:val="en-US" w:eastAsia="zh-CN"/>
        </w:rPr>
        <w:t>4</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10</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29</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6"/>
      <w:framePr w:wrap="around" w:vAnchor="text" w:hAnchor="margin" w:xAlign="outside" w:y="1"/>
      <w:rPr>
        <w:rStyle w:val="10"/>
        <w:rFonts w:asci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- 4 -</w:t>
    </w:r>
    <w:r>
      <w:rPr>
        <w:rFonts w:ascii="宋体" w:hAnsi="宋体"/>
        <w:sz w:val="28"/>
        <w:szCs w:val="28"/>
      </w:rPr>
      <w:fldChar w:fldCharType="end"/>
    </w:r>
  </w:p>
  <w:p w14:paraId="020BBEF8">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- 13 -</w:t>
    </w:r>
    <w:r>
      <w:fldChar w:fldCharType="end"/>
    </w:r>
  </w:p>
  <w:p w14:paraId="5F4568F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2F13BE"/>
    <w:multiLevelType w:val="singleLevel"/>
    <w:tmpl w:val="112F1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8E6656C"/>
    <w:rsid w:val="0B882E7B"/>
    <w:rsid w:val="11AE2812"/>
    <w:rsid w:val="17931B0A"/>
    <w:rsid w:val="1A907657"/>
    <w:rsid w:val="1C9B0535"/>
    <w:rsid w:val="22EA2C93"/>
    <w:rsid w:val="28862099"/>
    <w:rsid w:val="2BC17995"/>
    <w:rsid w:val="3CC01353"/>
    <w:rsid w:val="439028D3"/>
    <w:rsid w:val="45401AF6"/>
    <w:rsid w:val="4AD8457E"/>
    <w:rsid w:val="53733096"/>
    <w:rsid w:val="5B150ED7"/>
    <w:rsid w:val="705F6A24"/>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Normal Indent"/>
    <w:basedOn w:val="1"/>
    <w:autoRedefine/>
    <w:qFormat/>
    <w:uiPriority w:val="0"/>
    <w:pPr>
      <w:ind w:firstLine="420"/>
    </w:pPr>
    <w:rPr>
      <w:szCs w:val="20"/>
    </w:rPr>
  </w:style>
  <w:style w:type="paragraph" w:styleId="5">
    <w:name w:val="index 5"/>
    <w:basedOn w:val="1"/>
    <w:next w:val="1"/>
    <w:autoRedefine/>
    <w:semiHidden/>
    <w:qFormat/>
    <w:uiPriority w:val="0"/>
    <w:pPr>
      <w:ind w:left="1680"/>
    </w:pPr>
    <w:rPr>
      <w:rFonts w:eastAsia="Times New Roman"/>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1809</Words>
  <Characters>1994</Characters>
  <Lines>0</Lines>
  <Paragraphs>0</Paragraphs>
  <TotalTime>15</TotalTime>
  <ScaleCrop>false</ScaleCrop>
  <LinksUpToDate>false</LinksUpToDate>
  <CharactersWithSpaces>2042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2024-10-29T00:57:58Z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E5F8DC0008D14CEFBDEBB90A8F2C4154_13</vt:lpwstr>
  </property>
</Properties>
</file>