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80" w:after="360" w:line="500" w:lineRule="exact"/>
        <w:jc w:val="center"/>
        <w:rPr>
          <w:rFonts w:hint="default" w:ascii="Times New Roman" w:hAnsi="Times New Roman" w:eastAsia="等线" w:cs="Times New Roman"/>
          <w:b/>
          <w:bCs/>
          <w:color w:val="auto"/>
          <w:sz w:val="44"/>
          <w:szCs w:val="44"/>
        </w:rPr>
      </w:pPr>
      <w:bookmarkStart w:id="146" w:name="_GoBack"/>
      <w:bookmarkEnd w:id="146"/>
    </w:p>
    <w:p>
      <w:pPr>
        <w:widowControl/>
        <w:spacing w:before="480" w:after="360" w:line="500" w:lineRule="exact"/>
        <w:jc w:val="center"/>
        <w:rPr>
          <w:rFonts w:hint="default" w:ascii="Times New Roman" w:hAnsi="Times New Roman" w:eastAsia="等线" w:cs="Times New Roman"/>
          <w:b/>
          <w:bCs/>
          <w:color w:val="auto"/>
          <w:sz w:val="44"/>
          <w:szCs w:val="44"/>
        </w:rPr>
      </w:pPr>
    </w:p>
    <w:p>
      <w:pPr>
        <w:widowControl/>
        <w:spacing w:before="480" w:after="360" w:line="500" w:lineRule="exact"/>
        <w:jc w:val="center"/>
        <w:rPr>
          <w:rFonts w:hint="default" w:ascii="Times New Roman" w:hAnsi="Times New Roman" w:eastAsia="等线" w:cs="Times New Roman"/>
          <w:b/>
          <w:bCs/>
          <w:color w:val="auto"/>
          <w:sz w:val="44"/>
          <w:szCs w:val="44"/>
        </w:rPr>
      </w:pPr>
    </w:p>
    <w:p>
      <w:pPr>
        <w:pStyle w:val="25"/>
        <w:rPr>
          <w:rFonts w:hint="default" w:ascii="Times New Roman" w:hAnsi="Times New Roman" w:eastAsia="等线" w:cs="Times New Roman"/>
          <w:b/>
          <w:bCs/>
          <w:color w:val="auto"/>
          <w:sz w:val="44"/>
          <w:szCs w:val="44"/>
        </w:rPr>
      </w:pPr>
    </w:p>
    <w:p>
      <w:pPr>
        <w:pStyle w:val="14"/>
        <w:rPr>
          <w:rFonts w:hint="default" w:ascii="Times New Roman" w:hAnsi="Times New Roman" w:cs="Times New Roman"/>
          <w:color w:val="auto"/>
        </w:rPr>
      </w:pPr>
    </w:p>
    <w:p>
      <w:pPr>
        <w:widowControl/>
        <w:spacing w:before="120" w:after="120" w:line="500" w:lineRule="exact"/>
        <w:jc w:val="center"/>
        <w:rPr>
          <w:rFonts w:hint="default" w:ascii="Times New Roman" w:hAnsi="Times New Roman" w:eastAsia="黑体" w:cs="Times New Roman"/>
          <w:b/>
          <w:bCs/>
          <w:color w:val="auto"/>
          <w:sz w:val="44"/>
          <w:szCs w:val="44"/>
          <w:lang w:val="en-US" w:eastAsia="zh-CN"/>
        </w:rPr>
      </w:pPr>
      <w:r>
        <w:rPr>
          <w:rFonts w:hint="default" w:ascii="Times New Roman" w:hAnsi="Times New Roman" w:eastAsia="黑体" w:cs="Times New Roman"/>
          <w:b/>
          <w:bCs/>
          <w:color w:val="auto"/>
          <w:sz w:val="44"/>
          <w:szCs w:val="44"/>
          <w:lang w:val="en-US" w:eastAsia="zh-CN"/>
        </w:rPr>
        <w:t>2021年度滑县财政衔接推进乡村振兴补助</w:t>
      </w:r>
    </w:p>
    <w:p>
      <w:pPr>
        <w:widowControl/>
        <w:spacing w:before="120" w:after="120" w:line="500" w:lineRule="exact"/>
        <w:jc w:val="center"/>
        <w:rPr>
          <w:rFonts w:hint="default" w:ascii="Times New Roman" w:hAnsi="Times New Roman" w:eastAsia="黑体" w:cs="Times New Roman"/>
          <w:b/>
          <w:bCs/>
          <w:color w:val="auto"/>
          <w:sz w:val="44"/>
          <w:szCs w:val="44"/>
          <w:lang w:val="en-US" w:eastAsia="zh-CN"/>
        </w:rPr>
      </w:pPr>
    </w:p>
    <w:p>
      <w:pPr>
        <w:widowControl/>
        <w:spacing w:before="120" w:after="120" w:line="500" w:lineRule="exact"/>
        <w:jc w:val="center"/>
        <w:rPr>
          <w:rFonts w:hint="default" w:ascii="Times New Roman" w:hAnsi="Times New Roman" w:eastAsia="黑体" w:cs="Times New Roman"/>
          <w:b/>
          <w:bCs/>
          <w:color w:val="auto"/>
          <w:sz w:val="44"/>
          <w:szCs w:val="44"/>
          <w:lang w:val="en-US" w:eastAsia="zh-CN"/>
        </w:rPr>
      </w:pPr>
      <w:r>
        <w:rPr>
          <w:rFonts w:hint="default" w:ascii="Times New Roman" w:hAnsi="Times New Roman" w:eastAsia="黑体" w:cs="Times New Roman"/>
          <w:b/>
          <w:bCs/>
          <w:color w:val="auto"/>
          <w:sz w:val="44"/>
          <w:szCs w:val="44"/>
          <w:lang w:val="en-US" w:eastAsia="zh-CN"/>
        </w:rPr>
        <w:t>资金绩效评价报告</w:t>
      </w:r>
    </w:p>
    <w:p>
      <w:pPr>
        <w:pStyle w:val="2"/>
        <w:rPr>
          <w:rFonts w:hint="default"/>
        </w:rPr>
      </w:pPr>
    </w:p>
    <w:p>
      <w:pPr>
        <w:widowControl/>
        <w:spacing w:before="120" w:after="120" w:line="500" w:lineRule="exact"/>
        <w:jc w:val="center"/>
        <w:rPr>
          <w:rFonts w:hint="default" w:ascii="Times New Roman" w:hAnsi="Times New Roman" w:eastAsia="仿宋_GB2312" w:cs="Times New Roman"/>
          <w:color w:val="auto"/>
          <w:kern w:val="0"/>
          <w:sz w:val="44"/>
          <w:szCs w:val="44"/>
          <w:lang w:bidi="en-US"/>
        </w:rPr>
      </w:pPr>
    </w:p>
    <w:p>
      <w:pPr>
        <w:widowControl/>
        <w:spacing w:before="120" w:after="120" w:line="500" w:lineRule="exact"/>
        <w:jc w:val="center"/>
        <w:rPr>
          <w:rFonts w:hint="default" w:ascii="Times New Roman" w:hAnsi="Times New Roman" w:eastAsia="仿宋_GB2312" w:cs="Times New Roman"/>
          <w:color w:val="auto"/>
          <w:kern w:val="0"/>
          <w:sz w:val="44"/>
          <w:szCs w:val="44"/>
          <w:lang w:bidi="en-US"/>
        </w:rPr>
      </w:pPr>
    </w:p>
    <w:p>
      <w:pPr>
        <w:widowControl/>
        <w:spacing w:before="120" w:after="120" w:line="500" w:lineRule="exact"/>
        <w:jc w:val="center"/>
        <w:rPr>
          <w:rFonts w:hint="default" w:ascii="Times New Roman" w:hAnsi="Times New Roman" w:eastAsia="仿宋_GB2312" w:cs="Times New Roman"/>
          <w:color w:val="auto"/>
          <w:kern w:val="0"/>
          <w:sz w:val="44"/>
          <w:szCs w:val="44"/>
          <w:lang w:bidi="en-US"/>
        </w:rPr>
      </w:pPr>
    </w:p>
    <w:p>
      <w:pPr>
        <w:widowControl/>
        <w:spacing w:before="120" w:after="120" w:line="500" w:lineRule="exact"/>
        <w:jc w:val="center"/>
        <w:rPr>
          <w:rFonts w:hint="default" w:ascii="Times New Roman" w:hAnsi="Times New Roman" w:eastAsia="仿宋_GB2312" w:cs="Times New Roman"/>
          <w:color w:val="auto"/>
          <w:kern w:val="0"/>
          <w:sz w:val="44"/>
          <w:szCs w:val="44"/>
          <w:lang w:bidi="en-US"/>
        </w:rPr>
      </w:pPr>
    </w:p>
    <w:p>
      <w:pPr>
        <w:widowControl/>
        <w:spacing w:before="120" w:after="120" w:line="500" w:lineRule="exact"/>
        <w:jc w:val="center"/>
        <w:rPr>
          <w:rFonts w:hint="default" w:ascii="Times New Roman" w:hAnsi="Times New Roman" w:eastAsia="仿宋_GB2312" w:cs="Times New Roman"/>
          <w:color w:val="auto"/>
          <w:kern w:val="0"/>
          <w:sz w:val="44"/>
          <w:szCs w:val="44"/>
          <w:lang w:bidi="en-US"/>
        </w:rPr>
      </w:pPr>
    </w:p>
    <w:p>
      <w:pPr>
        <w:widowControl/>
        <w:spacing w:before="120" w:after="120" w:line="500" w:lineRule="exact"/>
        <w:jc w:val="center"/>
        <w:rPr>
          <w:rFonts w:hint="default" w:ascii="Times New Roman" w:hAnsi="Times New Roman" w:eastAsia="仿宋_GB2312" w:cs="Times New Roman"/>
          <w:color w:val="auto"/>
          <w:kern w:val="0"/>
          <w:sz w:val="44"/>
          <w:szCs w:val="44"/>
          <w:lang w:bidi="en-US"/>
        </w:rPr>
      </w:pPr>
    </w:p>
    <w:p>
      <w:pPr>
        <w:widowControl/>
        <w:spacing w:before="120" w:after="120" w:line="500" w:lineRule="exact"/>
        <w:jc w:val="center"/>
        <w:rPr>
          <w:rFonts w:hint="default" w:ascii="Times New Roman" w:hAnsi="Times New Roman" w:eastAsia="仿宋_GB2312" w:cs="Times New Roman"/>
          <w:color w:val="auto"/>
          <w:kern w:val="0"/>
          <w:sz w:val="44"/>
          <w:szCs w:val="44"/>
          <w:lang w:bidi="en-US"/>
        </w:rPr>
      </w:pPr>
    </w:p>
    <w:p>
      <w:pPr>
        <w:widowControl/>
        <w:spacing w:before="120" w:after="120" w:line="500" w:lineRule="exact"/>
        <w:jc w:val="center"/>
        <w:rPr>
          <w:rFonts w:hint="default" w:ascii="Times New Roman" w:hAnsi="Times New Roman" w:eastAsia="仿宋_GB2312" w:cs="Times New Roman"/>
          <w:color w:val="auto"/>
          <w:kern w:val="0"/>
          <w:sz w:val="44"/>
          <w:szCs w:val="44"/>
          <w:lang w:bidi="en-US"/>
        </w:rPr>
      </w:pPr>
    </w:p>
    <w:p>
      <w:pPr>
        <w:widowControl/>
        <w:spacing w:before="120" w:after="120" w:line="500" w:lineRule="exact"/>
        <w:jc w:val="center"/>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河南安策绩效信息科技有限公司</w:t>
      </w:r>
    </w:p>
    <w:p>
      <w:pPr>
        <w:widowControl/>
        <w:spacing w:before="120" w:after="120" w:line="500" w:lineRule="exact"/>
        <w:jc w:val="center"/>
        <w:rPr>
          <w:rFonts w:hint="default" w:ascii="Times New Roman" w:hAnsi="Times New Roman" w:eastAsia="黑体" w:cs="Times New Roman"/>
          <w:b/>
          <w:bCs/>
          <w:color w:val="auto"/>
          <w:kern w:val="0"/>
          <w:sz w:val="28"/>
          <w:szCs w:val="28"/>
        </w:rPr>
      </w:pPr>
    </w:p>
    <w:p>
      <w:pPr>
        <w:widowControl/>
        <w:spacing w:before="120" w:after="120" w:line="500" w:lineRule="exact"/>
        <w:jc w:val="center"/>
        <w:rPr>
          <w:rFonts w:hint="default" w:ascii="Times New Roman" w:hAnsi="Times New Roman" w:eastAsia="黑体" w:cs="Times New Roman"/>
          <w:b/>
          <w:bCs/>
          <w:color w:val="auto"/>
          <w:kern w:val="0"/>
          <w:sz w:val="28"/>
          <w:szCs w:val="28"/>
        </w:rPr>
      </w:pPr>
      <w:r>
        <w:rPr>
          <w:rFonts w:hint="default" w:ascii="Times New Roman" w:hAnsi="Times New Roman" w:eastAsia="黑体" w:cs="Times New Roman"/>
          <w:b/>
          <w:bCs/>
          <w:color w:val="auto"/>
          <w:kern w:val="0"/>
          <w:sz w:val="28"/>
          <w:szCs w:val="28"/>
        </w:rPr>
        <w:t>20</w:t>
      </w:r>
      <w:r>
        <w:rPr>
          <w:rFonts w:hint="default" w:ascii="Times New Roman" w:hAnsi="Times New Roman" w:eastAsia="黑体" w:cs="Times New Roman"/>
          <w:b/>
          <w:bCs/>
          <w:color w:val="auto"/>
          <w:kern w:val="0"/>
          <w:sz w:val="28"/>
          <w:szCs w:val="28"/>
          <w:lang w:val="en-US" w:eastAsia="zh-CN"/>
        </w:rPr>
        <w:t>21</w:t>
      </w:r>
      <w:r>
        <w:rPr>
          <w:rFonts w:hint="default" w:ascii="Times New Roman" w:hAnsi="Times New Roman" w:eastAsia="黑体" w:cs="Times New Roman"/>
          <w:b/>
          <w:bCs/>
          <w:color w:val="auto"/>
          <w:kern w:val="0"/>
          <w:sz w:val="28"/>
          <w:szCs w:val="28"/>
        </w:rPr>
        <w:t>年</w:t>
      </w:r>
      <w:r>
        <w:rPr>
          <w:rFonts w:hint="default" w:ascii="Times New Roman" w:hAnsi="Times New Roman" w:eastAsia="黑体" w:cs="Times New Roman"/>
          <w:b/>
          <w:bCs/>
          <w:color w:val="auto"/>
          <w:kern w:val="0"/>
          <w:sz w:val="28"/>
          <w:szCs w:val="28"/>
          <w:lang w:val="en-US" w:eastAsia="zh-CN"/>
        </w:rPr>
        <w:t>12</w:t>
      </w:r>
      <w:r>
        <w:rPr>
          <w:rFonts w:hint="default" w:ascii="Times New Roman" w:hAnsi="Times New Roman" w:eastAsia="黑体" w:cs="Times New Roman"/>
          <w:b/>
          <w:bCs/>
          <w:color w:val="auto"/>
          <w:kern w:val="0"/>
          <w:sz w:val="28"/>
          <w:szCs w:val="28"/>
        </w:rPr>
        <w:t>月</w:t>
      </w:r>
    </w:p>
    <w:p>
      <w:pPr>
        <w:widowControl/>
        <w:jc w:val="left"/>
        <w:rPr>
          <w:rFonts w:hint="default" w:ascii="Times New Roman" w:hAnsi="Times New Roman" w:eastAsia="仿宋_GB2312" w:cs="Times New Roman"/>
          <w:b/>
          <w:bCs/>
          <w:color w:val="auto"/>
          <w:kern w:val="0"/>
          <w:sz w:val="32"/>
          <w:szCs w:val="28"/>
        </w:rPr>
      </w:pPr>
      <w:r>
        <w:rPr>
          <w:rFonts w:hint="default" w:ascii="Times New Roman" w:hAnsi="Times New Roman" w:eastAsia="仿宋_GB2312" w:cs="Times New Roman"/>
          <w:b/>
          <w:bCs/>
          <w:color w:val="auto"/>
          <w:kern w:val="0"/>
          <w:sz w:val="32"/>
          <w:szCs w:val="28"/>
        </w:rPr>
        <w:br w:type="page"/>
      </w:r>
    </w:p>
    <w:p>
      <w:pPr>
        <w:spacing w:before="156" w:beforeLines="50" w:line="360" w:lineRule="auto"/>
        <w:ind w:left="0" w:leftChars="0" w:firstLine="0" w:firstLineChars="0"/>
        <w:rPr>
          <w:rFonts w:hint="eastAsia" w:ascii="仿宋" w:hAnsi="仿宋" w:eastAsia="仿宋" w:cs="仿宋"/>
          <w:b/>
          <w:sz w:val="36"/>
          <w:szCs w:val="32"/>
        </w:rPr>
      </w:pPr>
      <w:bookmarkStart w:id="0" w:name="_Toc10984"/>
      <w:bookmarkStart w:id="1" w:name="_Toc20592"/>
      <w:bookmarkStart w:id="2" w:name="_Toc28170"/>
      <w:bookmarkStart w:id="3" w:name="_Toc23265712"/>
      <w:bookmarkStart w:id="4" w:name="_Toc23264180"/>
      <w:r>
        <w:rPr>
          <w:rFonts w:hint="eastAsia" w:ascii="仿宋" w:hAnsi="仿宋" w:eastAsia="仿宋" w:cs="仿宋"/>
          <w:b/>
          <w:sz w:val="36"/>
          <w:szCs w:val="32"/>
        </w:rPr>
        <w:t>评价组人员名单:</w:t>
      </w:r>
    </w:p>
    <w:p>
      <w:pPr>
        <w:spacing w:line="360" w:lineRule="auto"/>
        <w:ind w:left="0" w:leftChars="0" w:firstLine="0" w:firstLineChars="0"/>
        <w:rPr>
          <w:rFonts w:hint="eastAsia" w:ascii="仿宋" w:hAnsi="仿宋" w:eastAsia="仿宋" w:cs="仿宋"/>
          <w:sz w:val="32"/>
          <w:szCs w:val="32"/>
        </w:rPr>
      </w:pPr>
      <w:bookmarkStart w:id="5" w:name="OLE_LINK4"/>
      <w:bookmarkStart w:id="6" w:name="OLE_LINK8"/>
      <w:r>
        <w:rPr>
          <w:rFonts w:hint="eastAsia" w:ascii="仿宋" w:hAnsi="仿宋" w:eastAsia="仿宋" w:cs="仿宋"/>
          <w:sz w:val="32"/>
          <w:szCs w:val="32"/>
        </w:rPr>
        <w:t>项目组长：</w:t>
      </w:r>
      <w:bookmarkStart w:id="7" w:name="OLE_LINK6"/>
      <w:r>
        <w:rPr>
          <w:rFonts w:hint="eastAsia" w:ascii="仿宋" w:hAnsi="仿宋" w:eastAsia="仿宋" w:cs="仿宋"/>
          <w:sz w:val="36"/>
          <w:szCs w:val="32"/>
        </w:rPr>
        <w:t xml:space="preserve"> </w:t>
      </w:r>
      <w:bookmarkEnd w:id="7"/>
      <w:r>
        <w:rPr>
          <w:rFonts w:hint="eastAsia" w:ascii="仿宋" w:hAnsi="仿宋" w:eastAsia="仿宋" w:cs="仿宋"/>
          <w:sz w:val="32"/>
          <w:szCs w:val="32"/>
          <w:lang w:val="en-US" w:eastAsia="zh-CN"/>
        </w:rPr>
        <w:t>李闪闪</w:t>
      </w:r>
      <w:r>
        <w:rPr>
          <w:rFonts w:hint="eastAsia" w:ascii="仿宋" w:hAnsi="仿宋" w:eastAsia="仿宋" w:cs="仿宋"/>
          <w:sz w:val="32"/>
          <w:szCs w:val="32"/>
        </w:rPr>
        <w:t xml:space="preserve">                          </w:t>
      </w:r>
    </w:p>
    <w:p>
      <w:pPr>
        <w:spacing w:line="360" w:lineRule="auto"/>
        <w:ind w:left="0" w:leftChars="0" w:firstLine="0" w:firstLineChars="0"/>
        <w:rPr>
          <w:rFonts w:hint="default" w:ascii="仿宋" w:hAnsi="仿宋" w:eastAsia="仿宋" w:cs="仿宋"/>
          <w:sz w:val="32"/>
          <w:szCs w:val="32"/>
          <w:lang w:val="en-US"/>
        </w:rPr>
      </w:pPr>
      <w:bookmarkStart w:id="8" w:name="OLE_LINK3"/>
      <w:r>
        <w:rPr>
          <w:rFonts w:hint="eastAsia" w:ascii="仿宋" w:hAnsi="仿宋" w:eastAsia="仿宋" w:cs="仿宋"/>
          <w:sz w:val="32"/>
          <w:szCs w:val="32"/>
        </w:rPr>
        <w:t>项目组员：</w:t>
      </w:r>
      <w:bookmarkEnd w:id="5"/>
      <w:bookmarkEnd w:id="6"/>
      <w:bookmarkEnd w:id="8"/>
      <w:r>
        <w:rPr>
          <w:rFonts w:hint="eastAsia" w:ascii="仿宋" w:hAnsi="仿宋" w:eastAsia="仿宋" w:cs="仿宋"/>
          <w:sz w:val="32"/>
          <w:szCs w:val="32"/>
          <w:lang w:val="en-US" w:eastAsia="zh-CN"/>
        </w:rPr>
        <w:t xml:space="preserve"> 赵红雨、陈永卓、任超凡、刘淅璞</w:t>
      </w:r>
    </w:p>
    <w:p>
      <w:pPr>
        <w:spacing w:line="360" w:lineRule="auto"/>
        <w:rPr>
          <w:rFonts w:hint="eastAsia" w:ascii="仿宋" w:hAnsi="仿宋" w:eastAsia="仿宋" w:cs="仿宋"/>
          <w:b/>
          <w:bCs/>
          <w:sz w:val="36"/>
          <w:szCs w:val="32"/>
        </w:rPr>
      </w:pPr>
    </w:p>
    <w:p>
      <w:pPr>
        <w:spacing w:line="360" w:lineRule="auto"/>
        <w:rPr>
          <w:rFonts w:hint="eastAsia" w:ascii="仿宋" w:hAnsi="仿宋" w:eastAsia="仿宋" w:cs="仿宋"/>
          <w:b/>
          <w:bCs/>
          <w:sz w:val="36"/>
          <w:szCs w:val="32"/>
        </w:rPr>
      </w:pPr>
    </w:p>
    <w:p>
      <w:pPr>
        <w:spacing w:line="360" w:lineRule="auto"/>
        <w:ind w:left="0" w:leftChars="0" w:firstLine="0" w:firstLineChars="0"/>
        <w:rPr>
          <w:rFonts w:hint="eastAsia" w:ascii="仿宋" w:hAnsi="仿宋" w:eastAsia="仿宋" w:cs="仿宋"/>
          <w:sz w:val="32"/>
          <w:szCs w:val="32"/>
        </w:rPr>
      </w:pPr>
    </w:p>
    <w:p>
      <w:pPr>
        <w:spacing w:line="360" w:lineRule="auto"/>
        <w:ind w:left="0" w:leftChars="0" w:firstLine="0" w:firstLineChars="0"/>
        <w:rPr>
          <w:rFonts w:hint="eastAsia" w:ascii="仿宋" w:hAnsi="仿宋" w:eastAsia="仿宋" w:cs="仿宋"/>
          <w:b/>
          <w:sz w:val="36"/>
          <w:szCs w:val="32"/>
          <w:lang w:eastAsia="zh-CN"/>
        </w:rPr>
      </w:pPr>
      <w:r>
        <w:rPr>
          <w:rFonts w:hint="eastAsia" w:ascii="仿宋" w:hAnsi="仿宋" w:eastAsia="仿宋" w:cs="仿宋"/>
          <w:b/>
          <w:sz w:val="36"/>
          <w:szCs w:val="32"/>
        </w:rPr>
        <w:t>主</w:t>
      </w:r>
      <w:r>
        <w:rPr>
          <w:rFonts w:hint="eastAsia" w:ascii="仿宋" w:hAnsi="仿宋" w:eastAsia="仿宋" w:cs="仿宋"/>
          <w:b/>
          <w:sz w:val="36"/>
          <w:szCs w:val="32"/>
          <w:lang w:val="en-US" w:eastAsia="zh-CN"/>
        </w:rPr>
        <w:t>评人</w:t>
      </w:r>
      <w:r>
        <w:rPr>
          <w:rFonts w:hint="eastAsia" w:ascii="仿宋" w:hAnsi="仿宋" w:eastAsia="仿宋" w:cs="仿宋"/>
          <w:b/>
          <w:sz w:val="36"/>
          <w:szCs w:val="32"/>
        </w:rPr>
        <w:t>（签</w:t>
      </w:r>
      <w:r>
        <w:rPr>
          <w:rFonts w:hint="eastAsia" w:ascii="仿宋" w:hAnsi="仿宋" w:eastAsia="仿宋" w:cs="仿宋"/>
          <w:b/>
          <w:sz w:val="36"/>
          <w:szCs w:val="32"/>
          <w:lang w:val="en-US" w:eastAsia="zh-CN"/>
        </w:rPr>
        <w:t>章</w:t>
      </w:r>
      <w:r>
        <w:rPr>
          <w:rFonts w:hint="eastAsia" w:ascii="仿宋" w:hAnsi="仿宋" w:eastAsia="仿宋" w:cs="仿宋"/>
          <w:b/>
          <w:sz w:val="36"/>
          <w:szCs w:val="32"/>
        </w:rPr>
        <w:t>）</w:t>
      </w:r>
      <w:r>
        <w:rPr>
          <w:rFonts w:hint="eastAsia" w:ascii="仿宋" w:hAnsi="仿宋" w:cs="仿宋"/>
          <w:b/>
          <w:sz w:val="36"/>
          <w:szCs w:val="32"/>
          <w:lang w:eastAsia="zh-CN"/>
        </w:rPr>
        <w:t>：</w:t>
      </w:r>
    </w:p>
    <w:p>
      <w:pPr>
        <w:spacing w:line="360" w:lineRule="auto"/>
        <w:rPr>
          <w:rFonts w:hint="eastAsia" w:ascii="仿宋" w:hAnsi="仿宋" w:eastAsia="仿宋" w:cs="仿宋"/>
          <w:b/>
          <w:sz w:val="36"/>
          <w:szCs w:val="32"/>
        </w:rPr>
      </w:pPr>
    </w:p>
    <w:p>
      <w:pPr>
        <w:spacing w:line="360" w:lineRule="auto"/>
        <w:rPr>
          <w:rFonts w:hint="eastAsia" w:ascii="仿宋" w:hAnsi="仿宋" w:eastAsia="仿宋" w:cs="仿宋"/>
          <w:sz w:val="36"/>
          <w:szCs w:val="32"/>
        </w:rPr>
      </w:pPr>
    </w:p>
    <w:p>
      <w:pPr>
        <w:spacing w:line="360" w:lineRule="auto"/>
        <w:ind w:firstLine="6490" w:firstLineChars="2950"/>
        <w:rPr>
          <w:rFonts w:hint="eastAsia" w:ascii="仿宋" w:hAnsi="仿宋" w:eastAsia="仿宋" w:cs="仿宋"/>
          <w:sz w:val="22"/>
        </w:rPr>
      </w:pPr>
    </w:p>
    <w:p>
      <w:pPr>
        <w:pStyle w:val="2"/>
        <w:rPr>
          <w:rFonts w:hint="eastAsia" w:ascii="仿宋" w:hAnsi="仿宋" w:eastAsia="仿宋" w:cs="仿宋"/>
          <w:sz w:val="22"/>
        </w:rPr>
      </w:pPr>
    </w:p>
    <w:p>
      <w:pPr>
        <w:pStyle w:val="2"/>
        <w:rPr>
          <w:rFonts w:hint="eastAsia" w:ascii="仿宋" w:hAnsi="仿宋" w:eastAsia="仿宋" w:cs="仿宋"/>
          <w:sz w:val="22"/>
        </w:rPr>
      </w:pPr>
    </w:p>
    <w:p>
      <w:pPr>
        <w:pStyle w:val="2"/>
        <w:rPr>
          <w:rFonts w:hint="eastAsia" w:ascii="仿宋" w:hAnsi="仿宋" w:eastAsia="仿宋" w:cs="仿宋"/>
          <w:sz w:val="22"/>
        </w:rPr>
      </w:pPr>
    </w:p>
    <w:p>
      <w:pPr>
        <w:pStyle w:val="2"/>
        <w:rPr>
          <w:rFonts w:hint="eastAsia" w:ascii="仿宋" w:hAnsi="仿宋" w:eastAsia="仿宋" w:cs="仿宋"/>
          <w:sz w:val="22"/>
        </w:rPr>
      </w:pP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（盖章）</w:t>
      </w:r>
    </w:p>
    <w:p>
      <w:pPr>
        <w:wordWrap w:val="0"/>
        <w:spacing w:line="360" w:lineRule="auto"/>
        <w:jc w:val="right"/>
        <w:rPr>
          <w:rFonts w:hint="eastAsia" w:ascii="仿宋" w:hAnsi="仿宋" w:eastAsia="仿宋" w:cs="仿宋"/>
          <w:sz w:val="32"/>
          <w:szCs w:val="32"/>
        </w:rPr>
      </w:pPr>
    </w:p>
    <w:p>
      <w:pPr>
        <w:widowControl w:val="0"/>
        <w:wordWrap/>
        <w:adjustRightInd/>
        <w:snapToGrid/>
        <w:spacing w:line="500" w:lineRule="exact"/>
        <w:jc w:val="right"/>
        <w:textAlignment w:val="auto"/>
        <w:rPr>
          <w:rFonts w:hint="eastAsia" w:ascii="Times New Roman" w:hAnsi="Times New Roman" w:eastAsia="黑体" w:cs="Times New Roman"/>
          <w:color w:val="auto"/>
          <w:sz w:val="36"/>
          <w:szCs w:val="36"/>
          <w:lang w:val="en-US" w:eastAsia="zh-CN"/>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月</w:t>
      </w:r>
    </w:p>
    <w:p>
      <w:pPr>
        <w:widowControl w:val="0"/>
        <w:wordWrap/>
        <w:adjustRightInd/>
        <w:snapToGrid/>
        <w:spacing w:line="500" w:lineRule="exact"/>
        <w:jc w:val="center"/>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目  录</w:t>
      </w:r>
      <w:bookmarkEnd w:id="0"/>
      <w:bookmarkEnd w:id="1"/>
      <w:bookmarkEnd w:id="2"/>
    </w:p>
    <w:p>
      <w:pPr>
        <w:widowControl w:val="0"/>
        <w:wordWrap/>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en-US"/>
        </w:rPr>
        <w:fldChar w:fldCharType="begin"/>
      </w:r>
      <w:r>
        <w:rPr>
          <w:rFonts w:hint="default" w:ascii="Times New Roman" w:hAnsi="Times New Roman" w:eastAsia="仿宋_GB2312" w:cs="Times New Roman"/>
          <w:color w:val="auto"/>
          <w:kern w:val="0"/>
          <w:sz w:val="32"/>
          <w:szCs w:val="32"/>
          <w:lang w:bidi="en-US"/>
        </w:rPr>
        <w:instrText xml:space="preserve"> TOC \o "1-2" \h \z \u </w:instrText>
      </w:r>
      <w:r>
        <w:rPr>
          <w:rFonts w:hint="default" w:ascii="Times New Roman" w:hAnsi="Times New Roman" w:eastAsia="仿宋_GB2312" w:cs="Times New Roman"/>
          <w:color w:val="auto"/>
          <w:kern w:val="0"/>
          <w:sz w:val="32"/>
          <w:szCs w:val="32"/>
          <w:lang w:bidi="en-US"/>
        </w:rPr>
        <w:fldChar w:fldCharType="separate"/>
      </w:r>
    </w:p>
    <w:p>
      <w:pPr>
        <w:pStyle w:val="13"/>
        <w:widowControl w:val="0"/>
        <w:tabs>
          <w:tab w:val="right" w:leader="dot" w:pos="8306"/>
          <w:tab w:val="clear" w:pos="829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_Toc22235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kern w:val="0"/>
          <w:sz w:val="32"/>
          <w:szCs w:val="32"/>
          <w:lang w:bidi="en-US"/>
        </w:rPr>
        <w:t>摘  要</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_Toc22235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I</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3"/>
        <w:widowControl w:val="0"/>
        <w:tabs>
          <w:tab w:val="right" w:leader="dot" w:pos="8306"/>
          <w:tab w:val="clear" w:pos="829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_Toc11952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一、项目基本情况</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_Toc11952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6"/>
        <w:widowControl w:val="0"/>
        <w:tabs>
          <w:tab w:val="right" w:leader="dot" w:pos="830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_Toc32264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（一）项目概况</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_Toc32264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6"/>
        <w:widowControl w:val="0"/>
        <w:tabs>
          <w:tab w:val="right" w:leader="dot" w:pos="830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_Toc8804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highlight w:val="none"/>
        </w:rPr>
        <w:t>（二）项目绩效目标</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_Toc8804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3"/>
        <w:widowControl w:val="0"/>
        <w:tabs>
          <w:tab w:val="right" w:leader="dot" w:pos="8306"/>
          <w:tab w:val="clear" w:pos="829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_Toc31057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二、绩效评价开展情况</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_Toc31057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12</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6"/>
        <w:widowControl w:val="0"/>
        <w:tabs>
          <w:tab w:val="right" w:leader="dot" w:pos="830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_Toc30456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（一）绩效评价目的</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_Toc30456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12</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6"/>
        <w:widowControl w:val="0"/>
        <w:tabs>
          <w:tab w:val="right" w:leader="dot" w:pos="830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_Toc19308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（二）绩效评价原则与方法</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_Toc19308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12</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6"/>
        <w:widowControl w:val="0"/>
        <w:tabs>
          <w:tab w:val="right" w:leader="dot" w:pos="830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_Toc10183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lang w:val="en-US" w:eastAsia="zh-CN"/>
        </w:rPr>
        <w:t>（三）绩效评价指标体系框架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_Toc10183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13</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6"/>
        <w:widowControl w:val="0"/>
        <w:tabs>
          <w:tab w:val="right" w:leader="dot" w:pos="830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_Toc32700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）绩效评价工作过程</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_Toc32700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14</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3"/>
        <w:widowControl w:val="0"/>
        <w:tabs>
          <w:tab w:val="right" w:leader="dot" w:pos="8306"/>
          <w:tab w:val="clear" w:pos="829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_Toc573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三、综合评价过程及指标分析</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_Toc573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15</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6"/>
        <w:widowControl w:val="0"/>
        <w:tabs>
          <w:tab w:val="right" w:leader="dot" w:pos="830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_Toc10061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（一）总体评价结论</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_Toc10061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15</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6"/>
        <w:widowControl w:val="0"/>
        <w:tabs>
          <w:tab w:val="right" w:leader="dot" w:pos="830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_Toc3924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（二）指标分析</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_Toc3924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17</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3"/>
        <w:widowControl w:val="0"/>
        <w:tabs>
          <w:tab w:val="right" w:leader="dot" w:pos="8306"/>
          <w:tab w:val="clear" w:pos="829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_Toc31429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highlight w:val="none"/>
        </w:rPr>
        <w:t>四、主要成绩和经验做法</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_Toc31429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21</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3"/>
        <w:widowControl w:val="0"/>
        <w:tabs>
          <w:tab w:val="right" w:leader="dot" w:pos="8306"/>
          <w:tab w:val="clear" w:pos="829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_Toc4687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五、存在的主要问题</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_Toc4687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23</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3"/>
        <w:widowControl w:val="0"/>
        <w:tabs>
          <w:tab w:val="right" w:leader="dot" w:pos="8306"/>
          <w:tab w:val="clear" w:pos="829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_Toc12491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color w:val="auto"/>
          <w:sz w:val="32"/>
          <w:szCs w:val="32"/>
        </w:rPr>
        <w:t>六、有关建议</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_Toc12491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24</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13"/>
        <w:widowControl w:val="0"/>
        <w:tabs>
          <w:tab w:val="right" w:leader="dot" w:pos="8306"/>
          <w:tab w:val="clear" w:pos="8296"/>
        </w:tabs>
        <w:wordWrap/>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bidi="en-US"/>
        </w:rPr>
        <w:fldChar w:fldCharType="begin"/>
      </w:r>
      <w:r>
        <w:rPr>
          <w:rFonts w:hint="default" w:ascii="Times New Roman" w:hAnsi="Times New Roman" w:eastAsia="仿宋_GB2312" w:cs="Times New Roman"/>
          <w:color w:val="auto"/>
          <w:sz w:val="32"/>
          <w:szCs w:val="32"/>
          <w:lang w:bidi="en-US"/>
        </w:rPr>
        <w:instrText xml:space="preserve"> HYPERLINK \l _Toc3579 </w:instrText>
      </w:r>
      <w:r>
        <w:rPr>
          <w:rFonts w:hint="default" w:ascii="Times New Roman" w:hAnsi="Times New Roman" w:eastAsia="仿宋_GB2312" w:cs="Times New Roman"/>
          <w:color w:val="auto"/>
          <w:sz w:val="32"/>
          <w:szCs w:val="32"/>
          <w:lang w:bidi="en-US"/>
        </w:rPr>
        <w:fldChar w:fldCharType="separate"/>
      </w:r>
      <w:r>
        <w:rPr>
          <w:rFonts w:hint="default" w:ascii="Times New Roman" w:hAnsi="Times New Roman" w:eastAsia="仿宋_GB2312" w:cs="Times New Roman"/>
          <w:snapToGrid w:val="0"/>
          <w:color w:val="auto"/>
          <w:kern w:val="0"/>
          <w:sz w:val="32"/>
          <w:szCs w:val="32"/>
        </w:rPr>
        <w:t xml:space="preserve">附件一 </w:t>
      </w:r>
      <w:r>
        <w:rPr>
          <w:rFonts w:hint="default" w:ascii="Times New Roman" w:hAnsi="Times New Roman" w:cs="Times New Roman"/>
          <w:snapToGrid w:val="0"/>
          <w:color w:val="auto"/>
          <w:kern w:val="0"/>
          <w:sz w:val="32"/>
          <w:szCs w:val="32"/>
          <w:lang w:val="en-US" w:eastAsia="zh-CN"/>
        </w:rPr>
        <w:t>绩效评价</w:t>
      </w:r>
      <w:r>
        <w:rPr>
          <w:rFonts w:hint="default" w:ascii="Times New Roman" w:hAnsi="Times New Roman" w:eastAsia="仿宋_GB2312" w:cs="Times New Roman"/>
          <w:color w:val="auto"/>
          <w:sz w:val="32"/>
          <w:szCs w:val="32"/>
        </w:rPr>
        <w:t>综合评分表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_Toc3579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27</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bidi="en-US"/>
        </w:rPr>
        <w:fldChar w:fldCharType="end"/>
      </w:r>
    </w:p>
    <w:p>
      <w:pPr>
        <w:pStyle w:val="26"/>
        <w:widowControl w:val="0"/>
        <w:wordWrap/>
        <w:adjustRightInd/>
        <w:snapToGrid/>
        <w:spacing w:line="560" w:lineRule="exact"/>
        <w:textAlignment w:val="auto"/>
        <w:rPr>
          <w:rFonts w:hint="default" w:ascii="Times New Roman" w:hAnsi="Times New Roman" w:eastAsia="仿宋_GB2312" w:cs="Times New Roman"/>
          <w:color w:val="auto"/>
          <w:sz w:val="30"/>
          <w:szCs w:val="30"/>
          <w:lang w:bidi="en-US"/>
        </w:rPr>
        <w:sectPr>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仿宋_GB2312" w:cs="Times New Roman"/>
          <w:color w:val="auto"/>
          <w:sz w:val="32"/>
          <w:szCs w:val="32"/>
          <w:lang w:bidi="en-US"/>
        </w:rPr>
        <w:fldChar w:fldCharType="end"/>
      </w:r>
    </w:p>
    <w:p>
      <w:pPr>
        <w:pStyle w:val="3"/>
        <w:ind w:firstLine="0" w:firstLineChars="0"/>
        <w:jc w:val="center"/>
        <w:rPr>
          <w:rFonts w:hint="default" w:ascii="Times New Roman" w:hAnsi="Times New Roman" w:cs="Times New Roman"/>
          <w:color w:val="auto"/>
          <w:kern w:val="0"/>
          <w:lang w:bidi="en-US"/>
        </w:rPr>
      </w:pPr>
      <w:bookmarkStart w:id="9" w:name="_Toc22235"/>
      <w:r>
        <w:rPr>
          <w:rFonts w:hint="default" w:ascii="Times New Roman" w:hAnsi="Times New Roman" w:cs="Times New Roman"/>
          <w:color w:val="auto"/>
          <w:kern w:val="0"/>
          <w:lang w:bidi="en-US"/>
        </w:rPr>
        <w:t>摘  要</w:t>
      </w:r>
      <w:bookmarkEnd w:id="3"/>
      <w:bookmarkEnd w:id="4"/>
      <w:bookmarkEnd w:id="9"/>
    </w:p>
    <w:p>
      <w:pPr>
        <w:pStyle w:val="26"/>
        <w:rPr>
          <w:rFonts w:hint="default" w:ascii="Times New Roman" w:hAnsi="Times New Roman" w:cs="Times New Roman"/>
          <w:color w:val="auto"/>
        </w:rPr>
      </w:pPr>
      <w:r>
        <w:rPr>
          <w:rFonts w:hint="default" w:ascii="Times New Roman" w:hAnsi="Times New Roman" w:cs="Times New Roman"/>
          <w:color w:val="auto"/>
        </w:rPr>
        <w:t>实施乡村振兴战略，是对“三农”工作作出的重大决策部署，是决胜全面建成小康社会、全面建设社会主义现代化国家的重大历史任务，是新时代做好“三农”工作的总抓手。为贯彻落实党中央、国务院关于</w:t>
      </w:r>
      <w:r>
        <w:rPr>
          <w:rFonts w:hint="default" w:ascii="Times New Roman" w:hAnsi="Times New Roman" w:cs="Times New Roman"/>
          <w:color w:val="auto"/>
          <w:lang w:val="en-US" w:eastAsia="zh-CN"/>
        </w:rPr>
        <w:t>乡村振兴的</w:t>
      </w:r>
      <w:r>
        <w:rPr>
          <w:rFonts w:hint="default" w:ascii="Times New Roman" w:hAnsi="Times New Roman" w:cs="Times New Roman"/>
          <w:color w:val="auto"/>
        </w:rPr>
        <w:t>决策部署，</w:t>
      </w:r>
      <w:r>
        <w:rPr>
          <w:rFonts w:hint="default" w:ascii="Times New Roman" w:hAnsi="Times New Roman" w:cs="Times New Roman"/>
          <w:color w:val="auto"/>
          <w:lang w:eastAsia="zh-CN"/>
        </w:rPr>
        <w:t>中共河南省委、河南省人民政府发布《关于全面推进乡村振兴加快农业农村现代化的实施意见》，明确要求实现巩固拓展脱贫攻坚成果同乡村振兴有效衔接。</w:t>
      </w:r>
      <w:bookmarkStart w:id="10" w:name="_Toc23264181"/>
      <w:r>
        <w:rPr>
          <w:rFonts w:hint="default" w:ascii="Times New Roman" w:hAnsi="Times New Roman" w:cs="Times New Roman"/>
          <w:color w:val="auto"/>
          <w:lang w:val="en-US" w:eastAsia="zh-CN"/>
        </w:rPr>
        <w:t>滑县</w:t>
      </w:r>
      <w:r>
        <w:rPr>
          <w:rFonts w:hint="default" w:ascii="Times New Roman" w:hAnsi="Times New Roman" w:cs="Times New Roman"/>
          <w:color w:val="auto"/>
        </w:rPr>
        <w:t>以</w:t>
      </w:r>
      <w:r>
        <w:rPr>
          <w:rFonts w:hint="default" w:ascii="Times New Roman" w:hAnsi="Times New Roman" w:cs="Times New Roman"/>
          <w:color w:val="auto"/>
          <w:lang w:val="en-US" w:eastAsia="zh-CN"/>
        </w:rPr>
        <w:t>省持续推进减贫工作衔接试点县为契机，不断创新思路和模式，先行先试，多措并举高质量完成脱贫攻坚工作。</w:t>
      </w:r>
      <w:bookmarkEnd w:id="10"/>
      <w:r>
        <w:rPr>
          <w:rFonts w:hint="default" w:ascii="Times New Roman" w:hAnsi="Times New Roman" w:cs="Times New Roman"/>
          <w:color w:val="auto"/>
        </w:rPr>
        <w:t>为贯彻落实全面推进绩效管理的要求，根据《关于全面实施预算绩效管理的意见》</w:t>
      </w:r>
      <w:r>
        <w:rPr>
          <w:rFonts w:hint="default" w:ascii="Times New Roman" w:hAnsi="Times New Roman" w:cs="Times New Roman"/>
          <w:color w:val="auto"/>
          <w:lang w:eastAsia="zh-CN"/>
        </w:rPr>
        <w:t>（</w:t>
      </w:r>
      <w:r>
        <w:rPr>
          <w:rFonts w:hint="default" w:ascii="Times New Roman" w:hAnsi="Times New Roman" w:cs="Times New Roman"/>
          <w:color w:val="auto"/>
        </w:rPr>
        <w:t>中发〔2018〕34号</w:t>
      </w:r>
      <w:r>
        <w:rPr>
          <w:rFonts w:hint="default" w:ascii="Times New Roman" w:hAnsi="Times New Roman" w:cs="Times New Roman"/>
          <w:color w:val="auto"/>
          <w:lang w:eastAsia="zh-CN"/>
        </w:rPr>
        <w:t>）</w:t>
      </w:r>
      <w:r>
        <w:rPr>
          <w:rFonts w:hint="default" w:ascii="Times New Roman" w:hAnsi="Times New Roman" w:cs="Times New Roman"/>
          <w:color w:val="auto"/>
        </w:rPr>
        <w:t>、《中共河南省委 河南省人民政府 关于全面实施预算绩效管理的实施意见》（豫发〔2019〕10号）</w:t>
      </w:r>
      <w:r>
        <w:rPr>
          <w:rFonts w:hint="default" w:ascii="Times New Roman" w:hAnsi="Times New Roman" w:cs="Times New Roman"/>
          <w:color w:val="auto"/>
          <w:lang w:val="en-US" w:eastAsia="zh-CN"/>
        </w:rPr>
        <w:t>等</w:t>
      </w:r>
      <w:r>
        <w:rPr>
          <w:rFonts w:hint="default" w:ascii="Times New Roman" w:hAnsi="Times New Roman" w:cs="Times New Roman"/>
          <w:color w:val="auto"/>
        </w:rPr>
        <w:t>相关规定，</w:t>
      </w:r>
      <w:r>
        <w:rPr>
          <w:rFonts w:hint="default" w:ascii="Times New Roman" w:hAnsi="Times New Roman" w:cs="Times New Roman"/>
          <w:color w:val="auto"/>
          <w:lang w:val="en-US" w:eastAsia="zh-CN"/>
        </w:rPr>
        <w:t>滑县</w:t>
      </w:r>
      <w:r>
        <w:rPr>
          <w:rFonts w:hint="default" w:ascii="Times New Roman" w:hAnsi="Times New Roman" w:cs="Times New Roman"/>
          <w:color w:val="auto"/>
        </w:rPr>
        <w:t>财政局</w:t>
      </w:r>
      <w:r>
        <w:rPr>
          <w:rFonts w:hint="default" w:ascii="Times New Roman" w:hAnsi="Times New Roman" w:cs="Times New Roman"/>
          <w:color w:val="auto"/>
          <w:lang w:val="en-US" w:eastAsia="zh-CN"/>
        </w:rPr>
        <w:t>组织</w:t>
      </w:r>
      <w:r>
        <w:rPr>
          <w:rFonts w:hint="default" w:ascii="Times New Roman" w:hAnsi="Times New Roman" w:cs="Times New Roman"/>
          <w:color w:val="auto"/>
        </w:rPr>
        <w:t>开展</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20</w:t>
      </w:r>
      <w:r>
        <w:rPr>
          <w:rFonts w:hint="default" w:ascii="Times New Roman" w:hAnsi="Times New Roman" w:cs="Times New Roman"/>
          <w:color w:val="auto"/>
          <w:lang w:val="en-US" w:eastAsia="zh-CN"/>
        </w:rPr>
        <w:t>21</w:t>
      </w:r>
      <w:r>
        <w:rPr>
          <w:rFonts w:hint="default" w:ascii="Times New Roman" w:hAnsi="Times New Roman" w:cs="Times New Roman"/>
          <w:color w:val="auto"/>
          <w:lang w:eastAsia="zh-CN"/>
        </w:rPr>
        <w:t>年</w:t>
      </w:r>
      <w:r>
        <w:rPr>
          <w:rFonts w:hint="eastAsia" w:ascii="Times New Roman" w:hAnsi="Times New Roman" w:cs="Times New Roman"/>
          <w:color w:val="auto"/>
          <w:lang w:val="en-US" w:eastAsia="zh-CN"/>
        </w:rPr>
        <w:t>度</w:t>
      </w:r>
      <w:r>
        <w:rPr>
          <w:rFonts w:hint="default" w:ascii="Times New Roman" w:hAnsi="Times New Roman" w:cs="Times New Roman"/>
          <w:color w:val="auto"/>
          <w:lang w:eastAsia="zh-CN"/>
        </w:rPr>
        <w:t>财政衔接推进乡村振兴补助资金</w:t>
      </w:r>
      <w:r>
        <w:rPr>
          <w:rFonts w:hint="default" w:ascii="Times New Roman" w:hAnsi="Times New Roman" w:cs="Times New Roman"/>
          <w:color w:val="auto"/>
        </w:rPr>
        <w:t>绩效评价工作。</w:t>
      </w:r>
    </w:p>
    <w:p>
      <w:pPr>
        <w:pStyle w:val="26"/>
        <w:rPr>
          <w:rFonts w:hint="default" w:ascii="Times New Roman" w:hAnsi="Times New Roman" w:eastAsia="黑体" w:cs="Times New Roman"/>
          <w:b/>
          <w:bCs/>
          <w:color w:val="auto"/>
          <w:lang w:val="en-US" w:eastAsia="zh-CN"/>
        </w:rPr>
      </w:pPr>
      <w:r>
        <w:rPr>
          <w:rFonts w:hint="default" w:ascii="Times New Roman" w:hAnsi="Times New Roman" w:eastAsia="黑体" w:cs="Times New Roman"/>
          <w:b/>
          <w:bCs/>
          <w:color w:val="auto"/>
          <w:lang w:val="en-US" w:eastAsia="zh-CN"/>
        </w:rPr>
        <w:t>一、项目基本情况</w:t>
      </w:r>
    </w:p>
    <w:p>
      <w:pPr>
        <w:pStyle w:val="26"/>
        <w:rPr>
          <w:rFonts w:hint="default" w:ascii="Times New Roman" w:hAnsi="Times New Roman" w:cs="Times New Roman"/>
          <w:color w:val="auto"/>
        </w:rPr>
      </w:pPr>
      <w:r>
        <w:rPr>
          <w:rFonts w:hint="default" w:ascii="Times New Roman" w:hAnsi="Times New Roman" w:cs="Times New Roman"/>
          <w:color w:val="auto"/>
          <w:lang w:val="en-US" w:eastAsia="zh-CN"/>
        </w:rPr>
        <w:t>2021年，滑县</w:t>
      </w:r>
      <w:r>
        <w:rPr>
          <w:rFonts w:hint="default" w:ascii="Times New Roman" w:hAnsi="Times New Roman" w:cs="Times New Roman"/>
          <w:color w:val="auto"/>
          <w:lang w:eastAsia="zh-CN"/>
        </w:rPr>
        <w:t>财政衔接推进乡村振兴补助资金</w:t>
      </w:r>
      <w:r>
        <w:rPr>
          <w:rFonts w:hint="default" w:ascii="Times New Roman" w:hAnsi="Times New Roman" w:cs="Times New Roman"/>
          <w:color w:val="auto"/>
        </w:rPr>
        <w:t>涉及</w:t>
      </w:r>
      <w:r>
        <w:rPr>
          <w:rFonts w:hint="default" w:ascii="Times New Roman" w:hAnsi="Times New Roman" w:cs="Times New Roman"/>
          <w:color w:val="auto"/>
          <w:lang w:val="en-US" w:eastAsia="zh-CN"/>
        </w:rPr>
        <w:t>全县各类项目38</w:t>
      </w:r>
      <w:r>
        <w:rPr>
          <w:rFonts w:hint="eastAsia" w:cs="Times New Roman"/>
          <w:color w:val="auto"/>
          <w:lang w:val="en-US" w:eastAsia="zh-CN"/>
        </w:rPr>
        <w:t>8</w:t>
      </w:r>
      <w:r>
        <w:rPr>
          <w:rFonts w:hint="default" w:ascii="Times New Roman" w:hAnsi="Times New Roman" w:cs="Times New Roman"/>
          <w:color w:val="auto"/>
          <w:lang w:val="en-US" w:eastAsia="zh-CN"/>
        </w:rPr>
        <w:t>个</w:t>
      </w:r>
      <w:r>
        <w:rPr>
          <w:rFonts w:hint="default" w:ascii="Times New Roman" w:hAnsi="Times New Roman" w:cs="Times New Roman"/>
          <w:color w:val="auto"/>
        </w:rPr>
        <w:t>，</w:t>
      </w:r>
      <w:r>
        <w:rPr>
          <w:rFonts w:hint="default" w:ascii="Times New Roman" w:hAnsi="Times New Roman" w:cs="Times New Roman"/>
          <w:color w:val="auto"/>
          <w:lang w:val="en-US" w:eastAsia="zh-CN"/>
        </w:rPr>
        <w:t>包括农村基础设施类项目（背街小巷硬化奖补、道路硬化、农村生活废水排水、危房改造、以工代赈）277个、产业发展类项目（产业设施配套、村集体经济发展滑丰智能化种子加工产业、冷库建设扶持、设施农业产业扶持、农产品加工扶持）107个、雨露计划、小额贷款贴息等其他类项目</w:t>
      </w:r>
      <w:r>
        <w:rPr>
          <w:rFonts w:hint="eastAsia" w:cs="Times New Roman"/>
          <w:color w:val="auto"/>
          <w:lang w:val="en-US" w:eastAsia="zh-CN"/>
        </w:rPr>
        <w:t>4</w:t>
      </w:r>
      <w:r>
        <w:rPr>
          <w:rFonts w:hint="default" w:ascii="Times New Roman" w:hAnsi="Times New Roman" w:cs="Times New Roman"/>
          <w:color w:val="auto"/>
          <w:lang w:val="en-US" w:eastAsia="zh-CN"/>
        </w:rPr>
        <w:t>个。截至评价期结束，38</w:t>
      </w:r>
      <w:r>
        <w:rPr>
          <w:rFonts w:hint="eastAsia" w:cs="Times New Roman"/>
          <w:color w:val="auto"/>
          <w:lang w:val="en-US" w:eastAsia="zh-CN"/>
        </w:rPr>
        <w:t>5</w:t>
      </w:r>
      <w:r>
        <w:rPr>
          <w:rFonts w:hint="default" w:ascii="Times New Roman" w:hAnsi="Times New Roman" w:cs="Times New Roman"/>
          <w:color w:val="auto"/>
          <w:lang w:val="en-US" w:eastAsia="zh-CN"/>
        </w:rPr>
        <w:t>个项目</w:t>
      </w:r>
      <w:r>
        <w:rPr>
          <w:rFonts w:hint="default" w:ascii="Times New Roman" w:hAnsi="Times New Roman" w:cs="Times New Roman"/>
          <w:color w:val="auto"/>
        </w:rPr>
        <w:t>已完成</w:t>
      </w:r>
      <w:r>
        <w:rPr>
          <w:rFonts w:hint="default" w:ascii="Times New Roman" w:hAnsi="Times New Roman" w:cs="Times New Roman"/>
          <w:color w:val="auto"/>
          <w:lang w:val="en-US" w:eastAsia="zh-CN"/>
        </w:rPr>
        <w:t>建设任务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项目完工率为</w:t>
      </w:r>
      <w:r>
        <w:rPr>
          <w:rFonts w:hint="eastAsia" w:cs="Times New Roman"/>
          <w:color w:val="auto"/>
          <w:lang w:val="en-US" w:eastAsia="zh-CN"/>
        </w:rPr>
        <w:t>99.22</w:t>
      </w:r>
      <w:r>
        <w:rPr>
          <w:rFonts w:hint="default" w:ascii="Times New Roman" w:hAnsi="Times New Roman" w:cs="Times New Roman"/>
          <w:color w:val="auto"/>
          <w:lang w:val="en-US" w:eastAsia="zh-CN"/>
        </w:rPr>
        <w:t>%，项目开工实施率为100%</w:t>
      </w:r>
      <w:r>
        <w:rPr>
          <w:rFonts w:hint="default" w:ascii="Times New Roman" w:hAnsi="Times New Roman" w:cs="Times New Roman"/>
          <w:color w:val="auto"/>
        </w:rPr>
        <w:t>。</w:t>
      </w:r>
    </w:p>
    <w:p>
      <w:pPr>
        <w:pStyle w:val="2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2021年滑县涉农资金项目共安排财政衔接推进乡村振兴补助资金16</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143.21万元，包括中央资金8</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578万元，省级资金2</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219万元，县级资金5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346.21万元。其中，各级资金用于产业发展项目资金规模为9</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127.12万元，占比56.54%。实际到位资金16</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143.21万元，资金到位率为100%。截至评价期结束，累计支出资金15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969.79万元，预算执行率为98.93%。</w:t>
      </w:r>
      <w:r>
        <w:rPr>
          <w:rFonts w:hint="eastAsia" w:ascii="Times New Roman" w:hAnsi="Times New Roman" w:cs="Times New Roman"/>
          <w:color w:val="auto"/>
          <w:lang w:val="en-US" w:eastAsia="zh-CN"/>
        </w:rPr>
        <w:t>结合项目单位自评情况，</w:t>
      </w:r>
      <w:r>
        <w:rPr>
          <w:rFonts w:hint="default" w:ascii="Times New Roman" w:hAnsi="Times New Roman" w:cs="Times New Roman"/>
          <w:color w:val="auto"/>
          <w:lang w:val="en-US" w:eastAsia="zh-CN"/>
        </w:rPr>
        <w:t>抽取的5类项目</w:t>
      </w:r>
      <w:r>
        <w:rPr>
          <w:rFonts w:hint="eastAsia" w:cs="Times New Roman"/>
          <w:color w:val="auto"/>
          <w:lang w:val="en-US" w:eastAsia="zh-CN"/>
        </w:rPr>
        <w:t>（</w:t>
      </w:r>
      <w:r>
        <w:rPr>
          <w:rFonts w:hint="default" w:ascii="Times New Roman" w:hAnsi="Times New Roman" w:cs="Times New Roman"/>
          <w:color w:val="auto"/>
          <w:lang w:val="en-US" w:eastAsia="zh-CN"/>
        </w:rPr>
        <w:t>背街小巷硬化奖补、农村生活废水排水、产业设施配套、村集体经济发展滑丰智能化种子加工产业、职业教育助学补助</w:t>
      </w:r>
      <w:r>
        <w:rPr>
          <w:rFonts w:hint="eastAsia" w:cs="Times New Roman"/>
          <w:color w:val="auto"/>
          <w:lang w:val="en-US" w:eastAsia="zh-CN"/>
        </w:rPr>
        <w:t>）</w:t>
      </w:r>
      <w:r>
        <w:rPr>
          <w:rFonts w:hint="default" w:ascii="Times New Roman" w:hAnsi="Times New Roman" w:cs="Times New Roman"/>
          <w:color w:val="auto"/>
          <w:lang w:val="en-US" w:eastAsia="zh-CN"/>
        </w:rPr>
        <w:t>年初预算安排</w:t>
      </w:r>
      <w:r>
        <w:rPr>
          <w:rFonts w:hint="eastAsia" w:cs="Times New Roman"/>
          <w:color w:val="auto"/>
          <w:lang w:val="en-US" w:eastAsia="zh-CN"/>
        </w:rPr>
        <w:t>资金</w:t>
      </w:r>
      <w:r>
        <w:rPr>
          <w:rFonts w:hint="default" w:ascii="Times New Roman" w:hAnsi="Times New Roman" w:cs="Times New Roman"/>
          <w:color w:val="auto"/>
          <w:lang w:val="en-US" w:eastAsia="zh-CN"/>
        </w:rPr>
        <w:t>7</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196.</w:t>
      </w:r>
      <w:r>
        <w:rPr>
          <w:rFonts w:hint="eastAsia" w:cs="Times New Roman"/>
          <w:color w:val="auto"/>
          <w:lang w:val="en-US" w:eastAsia="zh-CN"/>
        </w:rPr>
        <w:t>6</w:t>
      </w:r>
      <w:r>
        <w:rPr>
          <w:rFonts w:hint="default" w:ascii="Times New Roman" w:hAnsi="Times New Roman" w:cs="Times New Roman"/>
          <w:color w:val="auto"/>
          <w:lang w:val="en-US" w:eastAsia="zh-CN"/>
        </w:rPr>
        <w:t>4万元，全年实际到位7</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165.67万元，</w:t>
      </w:r>
      <w:r>
        <w:rPr>
          <w:rFonts w:hint="eastAsia" w:cs="Times New Roman"/>
          <w:color w:val="auto"/>
          <w:lang w:val="en-US" w:eastAsia="zh-CN"/>
        </w:rPr>
        <w:t>已形成支出</w:t>
      </w:r>
      <w:r>
        <w:rPr>
          <w:rFonts w:hint="default" w:ascii="Times New Roman" w:hAnsi="Times New Roman" w:cs="Times New Roman"/>
          <w:color w:val="auto"/>
          <w:lang w:val="en-US" w:eastAsia="zh-CN"/>
        </w:rPr>
        <w:t>7</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154.53万元，预算执行率为99.84%</w:t>
      </w:r>
      <w:r>
        <w:rPr>
          <w:rFonts w:hint="eastAsia" w:cs="Times New Roman"/>
          <w:color w:val="auto"/>
          <w:lang w:val="en-US" w:eastAsia="zh-CN"/>
        </w:rPr>
        <w:t>，资金支付进度总体较好。</w:t>
      </w:r>
    </w:p>
    <w:p>
      <w:pPr>
        <w:pStyle w:val="26"/>
        <w:rPr>
          <w:rFonts w:hint="default" w:ascii="Times New Roman" w:hAnsi="Times New Roman" w:eastAsia="黑体" w:cs="Times New Roman"/>
          <w:b/>
          <w:bCs/>
          <w:color w:val="auto"/>
          <w:lang w:val="en-US" w:eastAsia="zh-CN"/>
        </w:rPr>
      </w:pPr>
      <w:r>
        <w:rPr>
          <w:rFonts w:hint="default" w:ascii="Times New Roman" w:hAnsi="Times New Roman" w:eastAsia="黑体" w:cs="Times New Roman"/>
          <w:b/>
          <w:bCs/>
          <w:color w:val="auto"/>
          <w:lang w:val="en-US" w:eastAsia="zh-CN"/>
        </w:rPr>
        <w:t>二、总体评价结论</w:t>
      </w:r>
    </w:p>
    <w:p>
      <w:pPr>
        <w:pStyle w:val="26"/>
        <w:rPr>
          <w:rFonts w:hint="default" w:ascii="Times New Roman" w:hAnsi="Times New Roman" w:cs="Times New Roman"/>
          <w:color w:val="auto"/>
        </w:rPr>
      </w:pPr>
      <w:r>
        <w:rPr>
          <w:rFonts w:hint="default" w:ascii="Times New Roman" w:hAnsi="Times New Roman" w:cs="Times New Roman"/>
          <w:color w:val="auto"/>
          <w:highlight w:val="none"/>
          <w:lang w:val="en-US" w:eastAsia="zh-CN"/>
        </w:rPr>
        <w:t>通过</w:t>
      </w:r>
      <w:r>
        <w:rPr>
          <w:rFonts w:hint="default" w:ascii="Times New Roman" w:hAnsi="Times New Roman" w:cs="Times New Roman"/>
          <w:color w:val="auto"/>
        </w:rPr>
        <w:t>运用绩效评价指标体系，采用基础数据采集、实地访谈和问卷调研等方式，评价组对</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20</w:t>
      </w:r>
      <w:r>
        <w:rPr>
          <w:rFonts w:hint="default" w:ascii="Times New Roman" w:hAnsi="Times New Roman" w:cs="Times New Roman"/>
          <w:color w:val="auto"/>
          <w:lang w:val="en-US" w:eastAsia="zh-CN"/>
        </w:rPr>
        <w:t>21</w:t>
      </w:r>
      <w:r>
        <w:rPr>
          <w:rFonts w:hint="default" w:ascii="Times New Roman" w:hAnsi="Times New Roman" w:cs="Times New Roman"/>
          <w:color w:val="auto"/>
          <w:lang w:eastAsia="zh-CN"/>
        </w:rPr>
        <w:t>年财政衔接推进乡村振兴补助资金</w:t>
      </w:r>
      <w:r>
        <w:rPr>
          <w:rFonts w:hint="default" w:ascii="Times New Roman" w:hAnsi="Times New Roman" w:cs="Times New Roman"/>
          <w:color w:val="auto"/>
        </w:rPr>
        <w:t>绩效评价项目进行了客观评价，最终得分为</w:t>
      </w:r>
      <w:r>
        <w:rPr>
          <w:rFonts w:hint="default" w:ascii="Times New Roman" w:hAnsi="Times New Roman" w:cs="Times New Roman"/>
          <w:color w:val="auto"/>
          <w:lang w:val="en-US" w:eastAsia="zh-CN"/>
        </w:rPr>
        <w:t>96.</w:t>
      </w:r>
      <w:r>
        <w:rPr>
          <w:rFonts w:hint="eastAsia" w:cs="Times New Roman"/>
          <w:color w:val="auto"/>
          <w:lang w:val="en-US" w:eastAsia="zh-CN"/>
        </w:rPr>
        <w:t>23</w:t>
      </w:r>
      <w:r>
        <w:rPr>
          <w:rFonts w:hint="default" w:ascii="Times New Roman" w:hAnsi="Times New Roman" w:cs="Times New Roman"/>
          <w:color w:val="auto"/>
        </w:rPr>
        <w:t>分，总体评价结论为“</w:t>
      </w:r>
      <w:r>
        <w:rPr>
          <w:rFonts w:hint="default" w:ascii="Times New Roman" w:hAnsi="Times New Roman" w:cs="Times New Roman"/>
          <w:color w:val="auto"/>
          <w:lang w:val="en-US" w:eastAsia="zh-CN"/>
        </w:rPr>
        <w:t>优</w:t>
      </w:r>
      <w:r>
        <w:rPr>
          <w:rFonts w:hint="default" w:ascii="Times New Roman" w:hAnsi="Times New Roman" w:cs="Times New Roman"/>
          <w:color w:val="auto"/>
        </w:rPr>
        <w:t>”。</w:t>
      </w:r>
    </w:p>
    <w:p>
      <w:pPr>
        <w:pStyle w:val="26"/>
        <w:rPr>
          <w:rFonts w:hint="default" w:ascii="Times New Roman" w:hAnsi="Times New Roman" w:cs="Times New Roman"/>
          <w:color w:val="auto"/>
          <w:lang w:val="en-US"/>
        </w:rPr>
      </w:pPr>
      <w:r>
        <w:rPr>
          <w:rFonts w:hint="default" w:ascii="Times New Roman" w:hAnsi="Times New Roman" w:cs="Times New Roman"/>
          <w:color w:val="auto"/>
        </w:rPr>
        <w:t>总体来看，</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202</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年财政衔接推进乡村振兴补助资金</w:t>
      </w:r>
      <w:r>
        <w:rPr>
          <w:rFonts w:hint="default" w:ascii="Times New Roman" w:hAnsi="Times New Roman" w:cs="Times New Roman"/>
          <w:color w:val="auto"/>
        </w:rPr>
        <w:t>项目</w:t>
      </w:r>
      <w:r>
        <w:rPr>
          <w:rFonts w:hint="default" w:ascii="Times New Roman" w:hAnsi="Times New Roman" w:cs="Times New Roman"/>
          <w:color w:val="auto"/>
          <w:lang w:val="en-US" w:eastAsia="zh-CN"/>
        </w:rPr>
        <w:t>实施取得了一定成效。</w:t>
      </w:r>
      <w:r>
        <w:rPr>
          <w:rFonts w:hint="default" w:ascii="Times New Roman" w:hAnsi="Times New Roman" w:cs="Times New Roman"/>
          <w:b/>
          <w:bCs/>
          <w:color w:val="auto"/>
          <w:lang w:val="en-US" w:eastAsia="zh-CN"/>
        </w:rPr>
        <w:t>项目决策方面，</w:t>
      </w:r>
      <w:r>
        <w:rPr>
          <w:rFonts w:hint="default" w:ascii="Times New Roman" w:hAnsi="Times New Roman" w:cs="Times New Roman"/>
          <w:color w:val="auto"/>
          <w:lang w:val="en-US" w:eastAsia="zh-CN"/>
        </w:rPr>
        <w:t>项目</w:t>
      </w:r>
      <w:r>
        <w:rPr>
          <w:rFonts w:hint="default" w:ascii="Times New Roman" w:hAnsi="Times New Roman" w:cs="Times New Roman"/>
          <w:color w:val="auto"/>
        </w:rPr>
        <w:t>立项依据充分、立项程序规范、预算编制合理</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绩效目标设置总体较为规范</w:t>
      </w:r>
      <w:r>
        <w:rPr>
          <w:rFonts w:hint="default" w:ascii="Times New Roman" w:hAnsi="Times New Roman" w:cs="Times New Roman"/>
          <w:color w:val="auto"/>
        </w:rPr>
        <w:t>。</w:t>
      </w:r>
      <w:r>
        <w:rPr>
          <w:rFonts w:hint="default" w:ascii="Times New Roman" w:hAnsi="Times New Roman" w:cs="Times New Roman"/>
          <w:b/>
          <w:bCs/>
          <w:color w:val="auto"/>
        </w:rPr>
        <w:t>项目过程</w:t>
      </w:r>
      <w:r>
        <w:rPr>
          <w:rFonts w:hint="default" w:ascii="Times New Roman" w:hAnsi="Times New Roman" w:cs="Times New Roman"/>
          <w:b/>
          <w:bCs/>
          <w:color w:val="auto"/>
          <w:lang w:val="en-US" w:eastAsia="zh-CN"/>
        </w:rPr>
        <w:t>方面</w:t>
      </w:r>
      <w:r>
        <w:rPr>
          <w:rFonts w:hint="default" w:ascii="Times New Roman" w:hAnsi="Times New Roman" w:cs="Times New Roman"/>
          <w:b/>
          <w:bCs/>
          <w:color w:val="auto"/>
        </w:rPr>
        <w:t>，</w:t>
      </w:r>
      <w:r>
        <w:rPr>
          <w:rFonts w:hint="default" w:ascii="Times New Roman" w:hAnsi="Times New Roman" w:cs="Times New Roman"/>
          <w:color w:val="auto"/>
          <w:lang w:val="en-US" w:eastAsia="zh-CN"/>
        </w:rPr>
        <w:t>滑县</w:t>
      </w:r>
      <w:r>
        <w:rPr>
          <w:rFonts w:hint="default" w:ascii="Times New Roman" w:hAnsi="Times New Roman" w:cs="Times New Roman"/>
          <w:color w:val="auto"/>
        </w:rPr>
        <w:t>财政局、</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乡村振兴局</w:t>
      </w:r>
      <w:r>
        <w:rPr>
          <w:rFonts w:hint="default" w:ascii="Times New Roman" w:hAnsi="Times New Roman" w:cs="Times New Roman"/>
          <w:color w:val="auto"/>
        </w:rPr>
        <w:t>、各乡镇政府等单位职责分工明确</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项目管理制度较为健全，制度执行规范、有效</w:t>
      </w:r>
      <w:r>
        <w:rPr>
          <w:rFonts w:hint="default" w:ascii="Times New Roman" w:hAnsi="Times New Roman" w:cs="Times New Roman"/>
          <w:color w:val="auto"/>
        </w:rPr>
        <w:t>。</w:t>
      </w:r>
      <w:r>
        <w:rPr>
          <w:rFonts w:hint="default" w:ascii="Times New Roman" w:hAnsi="Times New Roman" w:cs="Times New Roman"/>
          <w:color w:val="auto"/>
          <w:lang w:val="en-US" w:eastAsia="zh-CN"/>
        </w:rPr>
        <w:t>资金支付进度总体良好，预算执行率为98.93%；财政衔接推进乡村振兴补助资金用于产业项目比例为56.54%，且高于2020年度产业项目资金占比；</w:t>
      </w:r>
      <w:r>
        <w:rPr>
          <w:rFonts w:hint="default" w:ascii="Times New Roman" w:hAnsi="Times New Roman" w:cs="Times New Roman"/>
          <w:b/>
          <w:bCs/>
          <w:color w:val="auto"/>
          <w:lang w:val="en-US" w:eastAsia="zh-CN"/>
        </w:rPr>
        <w:t>项目产出方面，</w:t>
      </w:r>
      <w:r>
        <w:rPr>
          <w:rFonts w:hint="default" w:ascii="Times New Roman" w:hAnsi="Times New Roman" w:cs="Times New Roman"/>
          <w:color w:val="auto"/>
          <w:lang w:val="en-US" w:eastAsia="zh-CN"/>
        </w:rPr>
        <w:t>2021年度全县衔接推进乡村振兴补助资金扶持项目及时完工，项目一次验收合格率达100%。</w:t>
      </w:r>
      <w:r>
        <w:rPr>
          <w:rFonts w:hint="default" w:ascii="Times New Roman" w:hAnsi="Times New Roman" w:cs="Times New Roman"/>
          <w:b/>
          <w:bCs/>
          <w:color w:val="auto"/>
          <w:lang w:val="en-US" w:eastAsia="zh-CN"/>
        </w:rPr>
        <w:t>项目效益方面，</w:t>
      </w:r>
      <w:r>
        <w:rPr>
          <w:rFonts w:hint="default" w:ascii="Times New Roman" w:hAnsi="Times New Roman" w:cs="Times New Roman"/>
          <w:color w:val="auto"/>
          <w:lang w:val="en-US" w:eastAsia="zh-CN"/>
        </w:rPr>
        <w:t>通过项目实施，受扶持乡镇、行政村农民人均可支配收入、带动村集体经济收入均高于2020年，脱贫户和防止返贫监测对象满意度达96.53%。但在项目实施过程中仍存在部分乡村公告公示内容不够完整、部分项目联农带农机制不够健全、完善，有待进一步优化、改进。</w:t>
      </w:r>
    </w:p>
    <w:p>
      <w:pPr>
        <w:pStyle w:val="26"/>
        <w:rPr>
          <w:rFonts w:hint="default" w:ascii="Times New Roman" w:hAnsi="Times New Roman" w:eastAsia="黑体" w:cs="Times New Roman"/>
          <w:b/>
          <w:bCs/>
          <w:color w:val="auto"/>
          <w:lang w:val="en-US" w:eastAsia="zh-CN"/>
        </w:rPr>
      </w:pPr>
      <w:r>
        <w:rPr>
          <w:rFonts w:hint="default" w:ascii="Times New Roman" w:hAnsi="Times New Roman" w:eastAsia="黑体" w:cs="Times New Roman"/>
          <w:b/>
          <w:bCs/>
          <w:color w:val="auto"/>
          <w:lang w:val="en-US" w:eastAsia="zh-CN"/>
        </w:rPr>
        <w:t>三、主要成绩及经验做法</w:t>
      </w:r>
    </w:p>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一是突出接续核心，巩固拓展脱贫攻坚成果。</w:t>
      </w:r>
      <w:r>
        <w:rPr>
          <w:rFonts w:hint="default" w:ascii="Times New Roman" w:hAnsi="Times New Roman" w:cs="Times New Roman"/>
          <w:color w:val="auto"/>
          <w:lang w:val="en-US" w:eastAsia="zh-CN"/>
        </w:rPr>
        <w:t>严格落实“四不摘”要求，保持现有帮扶政策、资金支持、帮扶力量总体稳定。</w:t>
      </w:r>
      <w:r>
        <w:rPr>
          <w:rFonts w:hint="default" w:ascii="Times New Roman" w:hAnsi="Times New Roman" w:cs="Times New Roman"/>
          <w:color w:val="auto"/>
        </w:rPr>
        <w:t>完善体制机制，成立巩固拓展脱贫攻坚成果同乡村振兴有效衔接工作领导小组和8个工作专班；出台《滑县推进乡村振兴实施办法》，依据先整治、后提升、梯次创建的工作思路，将全县所有自然村按照</w:t>
      </w:r>
      <w:r>
        <w:rPr>
          <w:rFonts w:hint="eastAsia" w:ascii="Times New Roman" w:hAnsi="Times New Roman" w:cs="Times New Roman"/>
          <w:color w:val="auto"/>
          <w:lang w:eastAsia="zh-CN"/>
        </w:rPr>
        <w:t>“</w:t>
      </w:r>
      <w:r>
        <w:rPr>
          <w:rFonts w:hint="default" w:ascii="Times New Roman" w:hAnsi="Times New Roman" w:cs="Times New Roman"/>
          <w:color w:val="auto"/>
        </w:rPr>
        <w:t>整洁达标村、特色示范村、富裕文明村</w:t>
      </w:r>
      <w:r>
        <w:rPr>
          <w:rFonts w:hint="eastAsia" w:ascii="Times New Roman" w:hAnsi="Times New Roman" w:cs="Times New Roman"/>
          <w:color w:val="auto"/>
          <w:lang w:eastAsia="zh-CN"/>
        </w:rPr>
        <w:t>”</w:t>
      </w:r>
      <w:r>
        <w:rPr>
          <w:rFonts w:hint="default" w:ascii="Times New Roman" w:hAnsi="Times New Roman" w:cs="Times New Roman"/>
          <w:color w:val="auto"/>
        </w:rPr>
        <w:t>进行创建命名，积极开展农村背街小巷硬化，大力推进农村厕所革命，全面推进乡村振兴工作开展。</w:t>
      </w:r>
    </w:p>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二是实行全流程管理，实施过程分工明确责任落实。</w:t>
      </w:r>
      <w:r>
        <w:rPr>
          <w:rFonts w:hint="default" w:ascii="Times New Roman" w:hAnsi="Times New Roman" w:cs="Times New Roman"/>
          <w:color w:val="auto"/>
          <w:lang w:val="en-US" w:eastAsia="zh-CN"/>
        </w:rPr>
        <w:t>项目实施过程中村级主要负责项目申报、对项目开竣工和实施情况进行公开公示，保障群众对帮扶项目监督约束作用，保障项目顺利实施；乡级主要负责督促施工进度，监督施工质量，协调村级与施工单位关系，遇到问题及时解决，保障项目按预期计划顺利实施，按时、高质量完成项目交付；县级主要对整体项目进度进行把控，督促指导各乡镇按项目实施方案实施项目，保障项目实施过程中无偏差，对项目实施关键环节进行监督指导，委托监理负责质量把关，保障项目不存在质量问题。</w:t>
      </w:r>
    </w:p>
    <w:p>
      <w:pPr>
        <w:pStyle w:val="26"/>
        <w:rPr>
          <w:rFonts w:hint="default" w:ascii="Times New Roman" w:hAnsi="Times New Roman" w:cs="Times New Roman"/>
          <w:color w:val="auto"/>
        </w:rPr>
      </w:pPr>
      <w:r>
        <w:rPr>
          <w:rFonts w:hint="default" w:ascii="Times New Roman" w:hAnsi="Times New Roman" w:cs="Times New Roman"/>
          <w:b/>
          <w:bCs/>
          <w:color w:val="auto"/>
          <w:lang w:val="en-US" w:eastAsia="zh-CN"/>
        </w:rPr>
        <w:t>三是资金投入保障有力，</w:t>
      </w:r>
      <w:r>
        <w:rPr>
          <w:rFonts w:hint="default" w:ascii="Times New Roman" w:hAnsi="Times New Roman" w:cs="Times New Roman"/>
          <w:b/>
          <w:bCs/>
          <w:color w:val="auto"/>
        </w:rPr>
        <w:t>项目建设完成度相对较高</w:t>
      </w:r>
      <w:r>
        <w:rPr>
          <w:rFonts w:hint="default" w:ascii="Times New Roman" w:hAnsi="Times New Roman" w:cs="Times New Roman"/>
          <w:b/>
          <w:bCs/>
          <w:color w:val="auto"/>
          <w:lang w:eastAsia="zh-CN"/>
        </w:rPr>
        <w:t>。</w:t>
      </w:r>
      <w:r>
        <w:rPr>
          <w:rFonts w:hint="default" w:ascii="Times New Roman" w:hAnsi="Times New Roman" w:cs="Times New Roman"/>
          <w:color w:val="auto"/>
          <w:lang w:val="en-US" w:eastAsia="zh-CN"/>
        </w:rPr>
        <w:t>资金投入稳中有增。一方面，县本级预算安排资金有所增加。2021年度滑县县本级预算安排衔接财政资金规模5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346.21万元，相较于2020年5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318.02万元增幅为0.53%。另一方面，用于产业项目资金比例大幅提升。2021年，滑县共安排落实财政衔接推进乡村振兴补助资金16</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143.21万元，各级资金用于产业发展项目资金规模为9</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127.12万元，占比56.54%，远高于2020年。同时，</w:t>
      </w:r>
      <w:r>
        <w:rPr>
          <w:rFonts w:hint="default" w:ascii="Times New Roman" w:hAnsi="Times New Roman" w:cs="Times New Roman"/>
          <w:color w:val="auto"/>
        </w:rPr>
        <w:t>为推动</w:t>
      </w:r>
      <w:r>
        <w:rPr>
          <w:rFonts w:hint="default" w:ascii="Times New Roman" w:hAnsi="Times New Roman" w:cs="Times New Roman"/>
          <w:color w:val="auto"/>
          <w:lang w:val="en-US" w:eastAsia="zh-CN"/>
        </w:rPr>
        <w:t>脱贫攻坚巩固</w:t>
      </w:r>
      <w:r>
        <w:rPr>
          <w:rFonts w:hint="default" w:ascii="Times New Roman" w:hAnsi="Times New Roman" w:cs="Times New Roman"/>
          <w:color w:val="auto"/>
        </w:rPr>
        <w:t>工作有序开展，</w:t>
      </w:r>
      <w:r>
        <w:rPr>
          <w:rFonts w:hint="default" w:ascii="Times New Roman" w:hAnsi="Times New Roman" w:cs="Times New Roman"/>
          <w:color w:val="auto"/>
          <w:lang w:val="en-US" w:eastAsia="zh-CN"/>
        </w:rPr>
        <w:t>滑县对全县涉农项目进行统筹管理</w:t>
      </w:r>
      <w:r>
        <w:rPr>
          <w:rFonts w:hint="default" w:ascii="Times New Roman" w:hAnsi="Times New Roman" w:cs="Times New Roman"/>
          <w:color w:val="auto"/>
        </w:rPr>
        <w:t>。制定帮扶计划</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设计项目</w:t>
      </w:r>
      <w:r>
        <w:rPr>
          <w:rFonts w:hint="default" w:ascii="Times New Roman" w:hAnsi="Times New Roman" w:cs="Times New Roman"/>
          <w:color w:val="auto"/>
        </w:rPr>
        <w:t>实施方案，明确帮扶责任单位、帮扶人员</w:t>
      </w:r>
      <w:r>
        <w:rPr>
          <w:rFonts w:hint="default" w:ascii="Times New Roman" w:hAnsi="Times New Roman" w:cs="Times New Roman"/>
          <w:color w:val="auto"/>
          <w:lang w:val="en-US" w:eastAsia="zh-CN"/>
        </w:rPr>
        <w:t>等，项目建设进度总体良好</w:t>
      </w:r>
      <w:r>
        <w:rPr>
          <w:rFonts w:hint="default" w:ascii="Times New Roman" w:hAnsi="Times New Roman" w:cs="Times New Roman"/>
          <w:color w:val="auto"/>
        </w:rPr>
        <w:t>。</w:t>
      </w:r>
    </w:p>
    <w:p>
      <w:pPr>
        <w:pStyle w:val="26"/>
        <w:rPr>
          <w:rFonts w:hint="default" w:ascii="Times New Roman" w:hAnsi="Times New Roman" w:cs="Times New Roman"/>
          <w:color w:val="auto"/>
        </w:rPr>
      </w:pPr>
      <w:r>
        <w:rPr>
          <w:rFonts w:hint="default" w:ascii="Times New Roman" w:hAnsi="Times New Roman" w:cs="Times New Roman"/>
          <w:b/>
          <w:bCs/>
          <w:color w:val="auto"/>
          <w:lang w:val="en-US" w:eastAsia="zh-CN"/>
        </w:rPr>
        <w:t>四是项目实施成效显著</w:t>
      </w:r>
      <w:r>
        <w:rPr>
          <w:rFonts w:hint="default" w:ascii="Times New Roman" w:hAnsi="Times New Roman" w:cs="Times New Roman"/>
          <w:b/>
          <w:bCs/>
          <w:color w:val="auto"/>
          <w:lang w:eastAsia="zh-CN"/>
        </w:rPr>
        <w:t>，</w:t>
      </w:r>
      <w:r>
        <w:rPr>
          <w:rFonts w:hint="default" w:ascii="Times New Roman" w:hAnsi="Times New Roman" w:cs="Times New Roman"/>
          <w:b/>
          <w:bCs/>
          <w:color w:val="auto"/>
        </w:rPr>
        <w:t>受扶持村民整体满意度较高</w:t>
      </w:r>
      <w:r>
        <w:rPr>
          <w:rFonts w:hint="default" w:ascii="Times New Roman" w:hAnsi="Times New Roman" w:cs="Times New Roman"/>
          <w:b/>
          <w:bCs/>
          <w:color w:val="auto"/>
          <w:lang w:eastAsia="zh-CN"/>
        </w:rPr>
        <w:t>。</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乡村振兴局</w:t>
      </w:r>
      <w:r>
        <w:rPr>
          <w:rFonts w:hint="default" w:ascii="Times New Roman" w:hAnsi="Times New Roman" w:cs="Times New Roman"/>
          <w:color w:val="auto"/>
        </w:rPr>
        <w:t>根据各村（含贫困户、贫困人口）</w:t>
      </w:r>
      <w:r>
        <w:rPr>
          <w:rFonts w:hint="default" w:ascii="Times New Roman" w:hAnsi="Times New Roman" w:cs="Times New Roman"/>
          <w:color w:val="auto"/>
          <w:lang w:val="en-US" w:eastAsia="zh-CN"/>
        </w:rPr>
        <w:t>脱贫攻坚成果巩固</w:t>
      </w:r>
      <w:r>
        <w:rPr>
          <w:rFonts w:hint="default" w:ascii="Times New Roman" w:hAnsi="Times New Roman" w:cs="Times New Roman"/>
          <w:color w:val="auto"/>
        </w:rPr>
        <w:t>需求，建立科学有效的</w:t>
      </w:r>
      <w:r>
        <w:rPr>
          <w:rFonts w:hint="default" w:ascii="Times New Roman" w:hAnsi="Times New Roman" w:cs="Times New Roman"/>
          <w:color w:val="auto"/>
          <w:lang w:val="en-US" w:eastAsia="zh-CN"/>
        </w:rPr>
        <w:t>资金</w:t>
      </w:r>
      <w:r>
        <w:rPr>
          <w:rFonts w:hint="default" w:ascii="Times New Roman" w:hAnsi="Times New Roman" w:cs="Times New Roman"/>
          <w:color w:val="auto"/>
        </w:rPr>
        <w:t>投入机制，</w:t>
      </w:r>
      <w:r>
        <w:rPr>
          <w:rFonts w:hint="default" w:ascii="Times New Roman" w:hAnsi="Times New Roman" w:cs="Times New Roman"/>
          <w:color w:val="auto"/>
          <w:lang w:val="en-US" w:eastAsia="zh-CN"/>
        </w:rPr>
        <w:t>项目实施</w:t>
      </w:r>
      <w:r>
        <w:rPr>
          <w:rFonts w:hint="default" w:ascii="Times New Roman" w:hAnsi="Times New Roman" w:cs="Times New Roman"/>
          <w:color w:val="auto"/>
        </w:rPr>
        <w:t>效果显著。</w:t>
      </w:r>
      <w:r>
        <w:rPr>
          <w:rFonts w:hint="default" w:ascii="Times New Roman" w:hAnsi="Times New Roman" w:cs="Times New Roman"/>
          <w:color w:val="auto"/>
          <w:lang w:val="en-US" w:eastAsia="zh-CN"/>
        </w:rPr>
        <w:t>受扶持乡镇、行政村的农村居民人均可支配收入、带动村集体经济年收入均高于2020年。惠及群众数量达到预期标准，</w:t>
      </w:r>
      <w:r>
        <w:rPr>
          <w:rFonts w:hint="default" w:ascii="Times New Roman" w:hAnsi="Times New Roman" w:cs="Times New Roman"/>
          <w:color w:val="auto"/>
        </w:rPr>
        <w:t>未发现返贫、复贫现象。</w:t>
      </w:r>
      <w:r>
        <w:rPr>
          <w:rFonts w:hint="default" w:ascii="Times New Roman" w:hAnsi="Times New Roman" w:cs="Times New Roman"/>
          <w:color w:val="auto"/>
          <w:lang w:val="en-US" w:eastAsia="zh-CN"/>
        </w:rPr>
        <w:t>另</w:t>
      </w:r>
      <w:r>
        <w:rPr>
          <w:rFonts w:hint="default" w:ascii="Times New Roman" w:hAnsi="Times New Roman" w:cs="Times New Roman"/>
          <w:color w:val="auto"/>
        </w:rPr>
        <w:t>通过对</w:t>
      </w:r>
      <w:r>
        <w:rPr>
          <w:rFonts w:hint="default" w:ascii="Times New Roman" w:hAnsi="Times New Roman" w:cs="Times New Roman"/>
          <w:color w:val="auto"/>
          <w:lang w:val="en-US" w:eastAsia="zh-CN"/>
        </w:rPr>
        <w:t>滑县</w:t>
      </w:r>
      <w:r>
        <w:rPr>
          <w:rFonts w:hint="default" w:ascii="Times New Roman" w:hAnsi="Times New Roman" w:cs="Times New Roman"/>
          <w:color w:val="auto"/>
        </w:rPr>
        <w:t>受扶持村民进行满意度调查，脱贫户和防止返贫监测对象整体满意度为</w:t>
      </w:r>
      <w:r>
        <w:rPr>
          <w:rFonts w:hint="default" w:ascii="Times New Roman" w:hAnsi="Times New Roman" w:cs="Times New Roman"/>
          <w:color w:val="auto"/>
          <w:lang w:val="en-US" w:eastAsia="zh-CN"/>
        </w:rPr>
        <w:t>96.53%</w:t>
      </w:r>
      <w:r>
        <w:rPr>
          <w:rFonts w:hint="default" w:ascii="Times New Roman" w:hAnsi="Times New Roman" w:cs="Times New Roman"/>
          <w:color w:val="auto"/>
        </w:rPr>
        <w:t>，</w:t>
      </w:r>
      <w:r>
        <w:rPr>
          <w:rFonts w:hint="default" w:ascii="Times New Roman" w:hAnsi="Times New Roman" w:cs="Times New Roman"/>
          <w:color w:val="auto"/>
          <w:lang w:val="en-US" w:eastAsia="zh-CN"/>
        </w:rPr>
        <w:t>满意度水平总体较高</w:t>
      </w:r>
      <w:r>
        <w:rPr>
          <w:rFonts w:hint="default" w:ascii="Times New Roman" w:hAnsi="Times New Roman" w:cs="Times New Roman"/>
          <w:color w:val="auto"/>
        </w:rPr>
        <w:t>。其中，</w:t>
      </w:r>
      <w:r>
        <w:rPr>
          <w:rFonts w:hint="default" w:ascii="Times New Roman" w:hAnsi="Times New Roman" w:cs="Times New Roman"/>
          <w:color w:val="auto"/>
          <w:lang w:val="en-US" w:eastAsia="zh-CN"/>
        </w:rPr>
        <w:t>受益村民对扶持</w:t>
      </w:r>
      <w:r>
        <w:rPr>
          <w:rFonts w:hint="default" w:ascii="Times New Roman" w:hAnsi="Times New Roman" w:cs="Times New Roman"/>
          <w:color w:val="auto"/>
        </w:rPr>
        <w:t>项目遴选公开、公平、公正性的满意度</w:t>
      </w:r>
      <w:r>
        <w:rPr>
          <w:rFonts w:hint="default" w:ascii="Times New Roman" w:hAnsi="Times New Roman" w:cs="Times New Roman"/>
          <w:color w:val="auto"/>
          <w:lang w:val="en-US" w:eastAsia="zh-CN"/>
        </w:rPr>
        <w:t>达</w:t>
      </w:r>
      <w:r>
        <w:rPr>
          <w:rFonts w:hint="default" w:ascii="Times New Roman" w:hAnsi="Times New Roman" w:cs="Times New Roman"/>
          <w:color w:val="auto"/>
        </w:rPr>
        <w:t>9</w:t>
      </w:r>
      <w:r>
        <w:rPr>
          <w:rFonts w:hint="eastAsia" w:ascii="Times New Roman" w:hAnsi="Times New Roman" w:cs="Times New Roman"/>
          <w:color w:val="auto"/>
          <w:lang w:val="en-US" w:eastAsia="zh-CN"/>
        </w:rPr>
        <w:t>5</w:t>
      </w:r>
      <w:r>
        <w:rPr>
          <w:rFonts w:hint="default" w:ascii="Times New Roman" w:hAnsi="Times New Roman" w:cs="Times New Roman"/>
          <w:color w:val="auto"/>
        </w:rPr>
        <w:t>.64%</w:t>
      </w:r>
      <w:r>
        <w:rPr>
          <w:rFonts w:hint="default" w:ascii="Times New Roman" w:hAnsi="Times New Roman" w:cs="Times New Roman"/>
          <w:color w:val="auto"/>
          <w:lang w:eastAsia="zh-CN"/>
        </w:rPr>
        <w:t>，对本村项目实施过程的满意度</w:t>
      </w:r>
      <w:r>
        <w:rPr>
          <w:rFonts w:hint="default" w:ascii="Times New Roman" w:hAnsi="Times New Roman" w:cs="Times New Roman"/>
          <w:color w:val="auto"/>
          <w:lang w:val="en-US" w:eastAsia="zh-CN"/>
        </w:rPr>
        <w:t>达</w:t>
      </w:r>
      <w:r>
        <w:rPr>
          <w:rFonts w:hint="default" w:ascii="Times New Roman" w:hAnsi="Times New Roman" w:cs="Times New Roman"/>
          <w:color w:val="auto"/>
          <w:lang w:eastAsia="zh-CN"/>
        </w:rPr>
        <w:t>9</w:t>
      </w:r>
      <w:r>
        <w:rPr>
          <w:rFonts w:hint="eastAsia" w:ascii="Times New Roman" w:hAnsi="Times New Roman" w:cs="Times New Roman"/>
          <w:color w:val="auto"/>
          <w:lang w:val="en-US" w:eastAsia="zh-CN"/>
        </w:rPr>
        <w:t>4</w:t>
      </w:r>
      <w:r>
        <w:rPr>
          <w:rFonts w:hint="default" w:ascii="Times New Roman" w:hAnsi="Times New Roman" w:cs="Times New Roman"/>
          <w:color w:val="auto"/>
          <w:lang w:eastAsia="zh-CN"/>
        </w:rPr>
        <w:t>.97%，对</w:t>
      </w:r>
      <w:r>
        <w:rPr>
          <w:rFonts w:hint="default" w:ascii="Times New Roman" w:hAnsi="Times New Roman" w:cs="Times New Roman"/>
          <w:color w:val="auto"/>
          <w:lang w:val="en-US" w:eastAsia="zh-CN"/>
        </w:rPr>
        <w:t>帮扶</w:t>
      </w:r>
      <w:r>
        <w:rPr>
          <w:rFonts w:hint="default" w:ascii="Times New Roman" w:hAnsi="Times New Roman" w:cs="Times New Roman"/>
          <w:color w:val="auto"/>
          <w:lang w:eastAsia="zh-CN"/>
        </w:rPr>
        <w:t>人员工作态度和能力的满意度</w:t>
      </w:r>
      <w:r>
        <w:rPr>
          <w:rFonts w:hint="default" w:ascii="Times New Roman" w:hAnsi="Times New Roman" w:cs="Times New Roman"/>
          <w:color w:val="auto"/>
          <w:lang w:val="en-US" w:eastAsia="zh-CN"/>
        </w:rPr>
        <w:t>达</w:t>
      </w:r>
      <w:r>
        <w:rPr>
          <w:rFonts w:hint="default" w:ascii="Times New Roman" w:hAnsi="Times New Roman" w:cs="Times New Roman"/>
          <w:color w:val="auto"/>
          <w:lang w:eastAsia="zh-CN"/>
        </w:rPr>
        <w:t>9</w:t>
      </w:r>
      <w:r>
        <w:rPr>
          <w:rFonts w:hint="eastAsia" w:ascii="Times New Roman" w:hAnsi="Times New Roman" w:cs="Times New Roman"/>
          <w:color w:val="auto"/>
          <w:lang w:val="en-US" w:eastAsia="zh-CN"/>
        </w:rPr>
        <w:t>6.</w:t>
      </w:r>
      <w:r>
        <w:rPr>
          <w:rFonts w:hint="default" w:ascii="Times New Roman" w:hAnsi="Times New Roman" w:cs="Times New Roman"/>
          <w:color w:val="auto"/>
          <w:lang w:eastAsia="zh-CN"/>
        </w:rPr>
        <w:t>64%</w:t>
      </w:r>
      <w:r>
        <w:rPr>
          <w:rFonts w:hint="default" w:ascii="Times New Roman" w:hAnsi="Times New Roman" w:cs="Times New Roman"/>
          <w:color w:val="auto"/>
        </w:rPr>
        <w:t>，</w:t>
      </w:r>
      <w:r>
        <w:rPr>
          <w:rFonts w:hint="default" w:ascii="Times New Roman" w:hAnsi="Times New Roman" w:cs="Times New Roman"/>
          <w:color w:val="auto"/>
          <w:lang w:eastAsia="zh-CN"/>
        </w:rPr>
        <w:t>对本村项目促进农民增收效果的满意度</w:t>
      </w:r>
      <w:r>
        <w:rPr>
          <w:rFonts w:hint="default" w:ascii="Times New Roman" w:hAnsi="Times New Roman" w:cs="Times New Roman"/>
          <w:color w:val="auto"/>
          <w:lang w:val="en-US" w:eastAsia="zh-CN"/>
        </w:rPr>
        <w:t>达</w:t>
      </w:r>
      <w:r>
        <w:rPr>
          <w:rFonts w:hint="default" w:ascii="Times New Roman" w:hAnsi="Times New Roman" w:cs="Times New Roman"/>
          <w:color w:val="auto"/>
          <w:lang w:eastAsia="zh-CN"/>
        </w:rPr>
        <w:t>9</w:t>
      </w:r>
      <w:r>
        <w:rPr>
          <w:rFonts w:hint="eastAsia" w:ascii="Times New Roman" w:hAnsi="Times New Roman" w:cs="Times New Roman"/>
          <w:color w:val="auto"/>
          <w:lang w:val="en-US" w:eastAsia="zh-CN"/>
        </w:rPr>
        <w:t>7</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5</w:t>
      </w:r>
      <w:r>
        <w:rPr>
          <w:rFonts w:hint="default" w:ascii="Times New Roman" w:hAnsi="Times New Roman" w:cs="Times New Roman"/>
          <w:color w:val="auto"/>
          <w:lang w:eastAsia="zh-CN"/>
        </w:rPr>
        <w:t>4%，</w:t>
      </w:r>
      <w:r>
        <w:rPr>
          <w:rFonts w:hint="default" w:ascii="Times New Roman" w:hAnsi="Times New Roman" w:cs="Times New Roman"/>
          <w:color w:val="auto"/>
          <w:lang w:val="en-US" w:eastAsia="zh-CN"/>
        </w:rPr>
        <w:t>滑县脱贫攻坚巩固</w:t>
      </w:r>
      <w:r>
        <w:rPr>
          <w:rFonts w:hint="default" w:ascii="Times New Roman" w:hAnsi="Times New Roman" w:cs="Times New Roman"/>
          <w:color w:val="auto"/>
        </w:rPr>
        <w:t>工作得到村民</w:t>
      </w:r>
      <w:r>
        <w:rPr>
          <w:rFonts w:hint="default" w:ascii="Times New Roman" w:hAnsi="Times New Roman" w:cs="Times New Roman"/>
          <w:color w:val="auto"/>
          <w:lang w:val="en-US" w:eastAsia="zh-CN"/>
        </w:rPr>
        <w:t>广泛</w:t>
      </w:r>
      <w:r>
        <w:rPr>
          <w:rFonts w:hint="default" w:ascii="Times New Roman" w:hAnsi="Times New Roman" w:cs="Times New Roman"/>
          <w:color w:val="auto"/>
        </w:rPr>
        <w:t>认可。</w:t>
      </w:r>
    </w:p>
    <w:p>
      <w:pPr>
        <w:pStyle w:val="26"/>
        <w:rPr>
          <w:rFonts w:hint="default" w:ascii="Times New Roman" w:hAnsi="Times New Roman" w:eastAsia="黑体" w:cs="Times New Roman"/>
          <w:b/>
          <w:bCs/>
          <w:color w:val="auto"/>
          <w:lang w:val="en-US" w:eastAsia="zh-CN"/>
        </w:rPr>
      </w:pPr>
      <w:r>
        <w:rPr>
          <w:rFonts w:hint="default" w:ascii="Times New Roman" w:hAnsi="Times New Roman" w:eastAsia="黑体" w:cs="Times New Roman"/>
          <w:b/>
          <w:bCs/>
          <w:color w:val="auto"/>
          <w:lang w:val="en-US" w:eastAsia="zh-CN"/>
        </w:rPr>
        <w:t>四、存在问题</w:t>
      </w:r>
    </w:p>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一是部分产业类项目联动带农模式</w:t>
      </w:r>
      <w:r>
        <w:rPr>
          <w:rFonts w:hint="eastAsia" w:cs="Times New Roman"/>
          <w:b/>
          <w:bCs/>
          <w:color w:val="auto"/>
          <w:lang w:val="en-US" w:eastAsia="zh-CN"/>
        </w:rPr>
        <w:t>需优化完善</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eastAsia="zh-CN"/>
        </w:rPr>
        <w:t>滑县2021年村集体经济发展滑丰智能化种子加工产业项目主要实施内容为按照项目资金额度，河南滑丰种业科技有限公司按每个村集体实际投资额的8%向村集体缴纳租金。通过实施该项目，可</w:t>
      </w:r>
      <w:r>
        <w:rPr>
          <w:rFonts w:hint="eastAsia" w:cs="Times New Roman"/>
          <w:color w:val="auto"/>
          <w:lang w:val="en-US" w:eastAsia="zh-CN"/>
        </w:rPr>
        <w:t>为</w:t>
      </w:r>
      <w:r>
        <w:rPr>
          <w:rFonts w:hint="default" w:ascii="Times New Roman" w:hAnsi="Times New Roman" w:cs="Times New Roman"/>
          <w:color w:val="auto"/>
          <w:lang w:val="en-US" w:eastAsia="zh-CN"/>
        </w:rPr>
        <w:t>村集体经济发展积累资金，收益也可用于扶贫带贫及村内各项公益事业。联农带农模式</w:t>
      </w:r>
      <w:r>
        <w:rPr>
          <w:rFonts w:hint="eastAsia" w:cs="Times New Roman"/>
          <w:color w:val="auto"/>
          <w:lang w:val="en-US" w:eastAsia="zh-CN"/>
        </w:rPr>
        <w:t>一是</w:t>
      </w:r>
      <w:r>
        <w:rPr>
          <w:rFonts w:hint="default" w:ascii="Times New Roman" w:hAnsi="Times New Roman" w:cs="Times New Roman"/>
          <w:color w:val="auto"/>
          <w:lang w:val="en-US" w:eastAsia="zh-CN"/>
        </w:rPr>
        <w:t>滑丰种业缴纳租金，</w:t>
      </w:r>
      <w:r>
        <w:rPr>
          <w:rFonts w:hint="eastAsia" w:cs="Times New Roman"/>
          <w:color w:val="auto"/>
          <w:lang w:val="en-US" w:eastAsia="zh-CN"/>
        </w:rPr>
        <w:t>并</w:t>
      </w:r>
      <w:r>
        <w:rPr>
          <w:rFonts w:hint="default" w:ascii="Times New Roman" w:hAnsi="Times New Roman" w:cs="Times New Roman"/>
          <w:color w:val="auto"/>
          <w:lang w:val="en-US" w:eastAsia="zh-CN"/>
        </w:rPr>
        <w:t>与村内小麦种植农户签订优质小麦订单收购合同，增加签订合同户种植收入</w:t>
      </w:r>
      <w:r>
        <w:rPr>
          <w:rFonts w:hint="eastAsia" w:cs="Times New Roman"/>
          <w:color w:val="auto"/>
          <w:lang w:val="en-US" w:eastAsia="zh-CN"/>
        </w:rPr>
        <w:t>，联动带农模式需进一步优化完善</w:t>
      </w:r>
      <w:r>
        <w:rPr>
          <w:rFonts w:hint="default" w:ascii="Times New Roman" w:hAnsi="Times New Roman" w:cs="Times New Roman"/>
          <w:color w:val="auto"/>
          <w:lang w:val="en-US" w:eastAsia="zh-CN"/>
        </w:rPr>
        <w:t>。</w:t>
      </w:r>
    </w:p>
    <w:p>
      <w:pPr>
        <w:pStyle w:val="26"/>
        <w:rPr>
          <w:rFonts w:hint="default" w:ascii="Times New Roman" w:hAnsi="Times New Roman" w:cs="Times New Roman"/>
          <w:color w:val="auto"/>
          <w:lang w:val="en-US" w:eastAsia="zh-CN"/>
        </w:rPr>
      </w:pPr>
      <w:r>
        <w:rPr>
          <w:rFonts w:hint="eastAsia" w:cs="Times New Roman"/>
          <w:b/>
          <w:bCs/>
          <w:color w:val="auto"/>
          <w:lang w:val="en-US" w:eastAsia="zh-CN"/>
        </w:rPr>
        <w:t>二</w:t>
      </w:r>
      <w:r>
        <w:rPr>
          <w:rFonts w:hint="default" w:ascii="Times New Roman" w:hAnsi="Times New Roman" w:cs="Times New Roman"/>
          <w:b/>
          <w:bCs/>
          <w:color w:val="auto"/>
          <w:lang w:val="en-US" w:eastAsia="zh-CN"/>
        </w:rPr>
        <w:t>是部分乡（镇）、村级公告公示内容不够完整。</w:t>
      </w:r>
      <w:r>
        <w:rPr>
          <w:rFonts w:hint="default" w:ascii="Times New Roman" w:hAnsi="Times New Roman" w:cs="Times New Roman"/>
          <w:color w:val="auto"/>
          <w:lang w:val="en-US" w:eastAsia="zh-CN"/>
        </w:rPr>
        <w:t>根据脱贫攻坚项目公告公示要求，乡（镇）、村级应设置脱贫攻坚专项公告公示牌，对相关内容进行公示。公示内容应包括：资金项目公告公示制度、年度资金项目安排计划、上年度资金项目计划完成情况、脱贫攻坚项目库等内容。经评价组实地核查，部分乡（镇）、村级公告公示未就项目公告公示制度等进行公告公示。</w:t>
      </w:r>
    </w:p>
    <w:p>
      <w:pPr>
        <w:pStyle w:val="26"/>
        <w:rPr>
          <w:rFonts w:hint="default" w:ascii="Times New Roman" w:hAnsi="Times New Roman" w:eastAsia="黑体" w:cs="Times New Roman"/>
          <w:b/>
          <w:bCs/>
          <w:color w:val="auto"/>
          <w:lang w:val="en-US" w:eastAsia="zh-CN"/>
        </w:rPr>
      </w:pPr>
      <w:r>
        <w:rPr>
          <w:rFonts w:hint="default" w:ascii="Times New Roman" w:hAnsi="Times New Roman" w:eastAsia="黑体" w:cs="Times New Roman"/>
          <w:b/>
          <w:bCs/>
          <w:color w:val="auto"/>
          <w:lang w:val="en-US" w:eastAsia="zh-CN"/>
        </w:rPr>
        <w:t>五、有关建议</w:t>
      </w:r>
    </w:p>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一是完善项目联农带农和后续帮扶跟进机制。</w:t>
      </w:r>
      <w:r>
        <w:rPr>
          <w:rFonts w:hint="default" w:ascii="Times New Roman" w:hAnsi="Times New Roman" w:cs="Times New Roman"/>
          <w:color w:val="auto"/>
          <w:lang w:val="en-US" w:eastAsia="zh-CN"/>
        </w:rPr>
        <w:t>通过政策引导，根据受扶持村民自身条件与发展需求，与村民建立多形式的利益联结方式，如股份联结、订单联结、服务联结、劳务联结等形式，促进利益联结机制多样化，全面巩固脱贫攻坚成果，避免出现复贫、返贫现象。同时，建议各乡镇政府和村委完善扶持项目后期帮扶跟进措施，并增加浮动收益，保障实施效果。明确在项目建设结束后，如何在一定期限内继续帮助受扶持村民持续受益。可通过对扶持人口进行定期跟踪、反馈的方式，了解帮扶村有关设施投入使用、运营情况，以及村民实际生活情况，避免出现脱贫人口再次返贫等问题。</w:t>
      </w:r>
    </w:p>
    <w:p>
      <w:pPr>
        <w:pStyle w:val="26"/>
        <w:rPr>
          <w:rFonts w:hint="default" w:ascii="Times New Roman" w:hAnsi="Times New Roman" w:cs="Times New Roman"/>
          <w:color w:val="auto"/>
          <w:lang w:val="en-US" w:eastAsia="zh-CN"/>
        </w:rPr>
      </w:pPr>
      <w:r>
        <w:rPr>
          <w:rFonts w:hint="eastAsia" w:cs="Times New Roman"/>
          <w:color w:val="auto"/>
          <w:lang w:val="en-US" w:eastAsia="zh-CN"/>
        </w:rPr>
        <w:t>二</w:t>
      </w:r>
      <w:r>
        <w:rPr>
          <w:rFonts w:hint="default" w:ascii="Times New Roman" w:hAnsi="Times New Roman" w:cs="Times New Roman"/>
          <w:b/>
          <w:bCs/>
          <w:color w:val="auto"/>
          <w:lang w:val="en-US" w:eastAsia="zh-CN"/>
        </w:rPr>
        <w:t>是加强乡（镇）、村级公告公示管理。</w:t>
      </w:r>
      <w:r>
        <w:rPr>
          <w:rFonts w:hint="default" w:ascii="Times New Roman" w:hAnsi="Times New Roman" w:cs="Times New Roman"/>
          <w:color w:val="auto"/>
          <w:lang w:val="en-US" w:eastAsia="zh-CN"/>
        </w:rPr>
        <w:t>一方面，加强宣传、讲解工作。建议滑县乡村振兴局、财政局定期派出工作人员对各乡（镇）、行政村脱贫攻坚项目负责人进行公告公示制度宣传，可通过集中培训或定期调研等形式，在每年项目申报前，针对项目公告公示制度的完整性、规范性等内容进行讲解，帮助项目申报单位答疑解惑，提高乡（镇）、村公告公示制度完整性、规范性，并由此促进项目建设实施的规范性与可行性。另一方面，加强监督管理工作。建议滑县乡村振兴局在项目公告公示关键节点定期开展专项督导工作，以图片资料、实地调研等形式审核各乡（镇）、村级公告公示制度完整性、规范性，将公告公示工作完成较好的单位树立为学习典型，促进全县项目公告公示工作全面提升。</w:t>
      </w:r>
    </w:p>
    <w:p>
      <w:pPr>
        <w:pStyle w:val="26"/>
        <w:rPr>
          <w:rFonts w:hint="default" w:ascii="Times New Roman" w:hAnsi="Times New Roman" w:cs="Times New Roman"/>
          <w:color w:val="auto"/>
          <w:lang w:val="en-US" w:eastAsia="zh-CN"/>
        </w:rPr>
      </w:pPr>
      <w:r>
        <w:rPr>
          <w:rFonts w:hint="eastAsia" w:cs="Times New Roman"/>
          <w:b/>
          <w:bCs/>
          <w:color w:val="auto"/>
          <w:lang w:val="en-US" w:eastAsia="zh-CN"/>
        </w:rPr>
        <w:t>三</w:t>
      </w:r>
      <w:r>
        <w:rPr>
          <w:rFonts w:hint="default" w:ascii="Times New Roman" w:hAnsi="Times New Roman" w:cs="Times New Roman"/>
          <w:b/>
          <w:bCs/>
          <w:color w:val="auto"/>
          <w:lang w:val="en-US" w:eastAsia="zh-CN"/>
        </w:rPr>
        <w:t>是提升产业类项目联农带农模式多样化。</w:t>
      </w:r>
      <w:r>
        <w:rPr>
          <w:rFonts w:hint="default" w:ascii="Times New Roman" w:hAnsi="Times New Roman" w:cs="Times New Roman"/>
          <w:color w:val="auto"/>
          <w:lang w:val="en-US" w:eastAsia="zh-CN"/>
        </w:rPr>
        <w:t>以多样化、多类型产业类项目促进脱贫攻坚成果巩固模式多样化、可持续性。一是对外学习借鉴。通过不定期对其他县区脱贫攻坚工作调研考察，学习先进经验，研究如何进一步通过产业类项目带动困难群众就业情况，通过就业带动困难群众技能提升，促进脱贫攻坚项目与扶持群众之间形成良性循环。二是对内深度挖掘。立足滑县固有条件，精准定位产业类项目发展方向，因地制宜挖掘本地优势产业，打造一批特色产业类项目，提升产业类项目多样性，促进利益链接模式多样化。</w:t>
      </w:r>
    </w:p>
    <w:p>
      <w:pPr>
        <w:widowControl/>
        <w:wordWrap/>
        <w:adjustRightInd/>
        <w:snapToGrid/>
        <w:spacing w:line="560" w:lineRule="exact"/>
        <w:ind w:firstLine="880" w:firstLineChars="200"/>
        <w:jc w:val="center"/>
        <w:textAlignment w:val="auto"/>
        <w:rPr>
          <w:rFonts w:hint="default" w:ascii="Times New Roman" w:hAnsi="Times New Roman" w:eastAsia="方正小标宋简体" w:cs="Times New Roman"/>
          <w:color w:val="auto"/>
          <w:kern w:val="0"/>
          <w:sz w:val="44"/>
          <w:szCs w:val="44"/>
          <w:highlight w:val="none"/>
          <w:lang w:val="en-US" w:eastAsia="zh-CN" w:bidi="en-US"/>
        </w:rPr>
        <w:sectPr>
          <w:footerReference r:id="rId5" w:type="default"/>
          <w:pgSz w:w="11906" w:h="16838"/>
          <w:pgMar w:top="1440" w:right="1800" w:bottom="1440" w:left="1800" w:header="851" w:footer="992" w:gutter="0"/>
          <w:pgNumType w:fmt="upperRoman" w:start="1"/>
          <w:cols w:space="720" w:num="1"/>
          <w:docGrid w:type="lines" w:linePitch="312" w:charSpace="0"/>
        </w:sectPr>
      </w:pPr>
    </w:p>
    <w:p>
      <w:pPr>
        <w:widowControl/>
        <w:wordWrap/>
        <w:adjustRightInd/>
        <w:snapToGrid/>
        <w:spacing w:line="560" w:lineRule="exact"/>
        <w:ind w:firstLine="880" w:firstLineChars="200"/>
        <w:jc w:val="center"/>
        <w:textAlignment w:val="auto"/>
        <w:rPr>
          <w:rFonts w:hint="default" w:ascii="Times New Roman" w:hAnsi="Times New Roman" w:eastAsia="仿宋_GB2312" w:cs="Times New Roman"/>
          <w:color w:val="auto"/>
          <w:kern w:val="0"/>
          <w:sz w:val="28"/>
          <w:szCs w:val="32"/>
          <w:highlight w:val="none"/>
          <w:lang w:val="en-US" w:eastAsia="zh-CN" w:bidi="en-US"/>
        </w:rPr>
      </w:pPr>
      <w:r>
        <w:rPr>
          <w:rFonts w:hint="default" w:ascii="Times New Roman" w:hAnsi="Times New Roman" w:eastAsia="方正小标宋简体" w:cs="Times New Roman"/>
          <w:color w:val="auto"/>
          <w:kern w:val="0"/>
          <w:sz w:val="44"/>
          <w:szCs w:val="44"/>
          <w:highlight w:val="none"/>
          <w:lang w:val="en-US" w:eastAsia="zh-CN" w:bidi="en-US"/>
        </w:rPr>
        <w:t>2021年度滑县财政衔接推进乡村振兴补助资金绩效评价报告</w:t>
      </w:r>
    </w:p>
    <w:p>
      <w:pPr>
        <w:pStyle w:val="26"/>
        <w:rPr>
          <w:rFonts w:hint="default" w:ascii="Times New Roman" w:hAnsi="Times New Roman" w:eastAsia="仿宋" w:cs="Times New Roman"/>
          <w:color w:val="auto"/>
          <w:lang w:val="en-US" w:eastAsia="zh-CN"/>
        </w:rPr>
      </w:pPr>
      <w:r>
        <w:rPr>
          <w:rFonts w:hint="default" w:ascii="Times New Roman" w:hAnsi="Times New Roman" w:cs="Times New Roman"/>
          <w:color w:val="auto"/>
        </w:rPr>
        <w:t>为贯彻财政支出预算绩效管理要求，科学评价</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财政衔接推进乡村振兴补助资金</w:t>
      </w:r>
      <w:r>
        <w:rPr>
          <w:rFonts w:hint="default" w:ascii="Times New Roman" w:hAnsi="Times New Roman" w:cs="Times New Roman"/>
          <w:color w:val="auto"/>
        </w:rPr>
        <w:t>使用效果，</w:t>
      </w:r>
      <w:r>
        <w:rPr>
          <w:rFonts w:hint="default" w:ascii="Times New Roman" w:hAnsi="Times New Roman" w:cs="Times New Roman"/>
          <w:color w:val="auto"/>
          <w:lang w:val="en-US" w:eastAsia="zh-CN"/>
        </w:rPr>
        <w:t>滑县财政局组织开展此次</w:t>
      </w:r>
      <w:r>
        <w:rPr>
          <w:rFonts w:hint="default" w:ascii="Times New Roman" w:hAnsi="Times New Roman" w:cs="Times New Roman"/>
          <w:color w:val="auto"/>
          <w:lang w:eastAsia="zh-CN"/>
        </w:rPr>
        <w:t>财政衔接推进乡村振兴补助资金</w:t>
      </w:r>
      <w:r>
        <w:rPr>
          <w:rFonts w:hint="default" w:ascii="Times New Roman" w:hAnsi="Times New Roman" w:cs="Times New Roman"/>
          <w:color w:val="auto"/>
        </w:rPr>
        <w:t>绩效评价工作。本次评价遵循科学规范、公正客观、绩效相关等基本原则，以客观、全面反映</w:t>
      </w:r>
      <w:r>
        <w:rPr>
          <w:rFonts w:hint="default" w:ascii="Times New Roman" w:hAnsi="Times New Roman" w:cs="Times New Roman"/>
          <w:color w:val="auto"/>
          <w:lang w:val="en-US" w:eastAsia="zh-CN"/>
        </w:rPr>
        <w:t>滑县2021年</w:t>
      </w:r>
      <w:r>
        <w:rPr>
          <w:rFonts w:hint="default" w:ascii="Times New Roman" w:hAnsi="Times New Roman" w:cs="Times New Roman"/>
          <w:color w:val="auto"/>
          <w:lang w:eastAsia="zh-CN"/>
        </w:rPr>
        <w:t>财政衔接推进乡村振兴补助资金</w:t>
      </w:r>
      <w:r>
        <w:rPr>
          <w:rFonts w:hint="default" w:ascii="Times New Roman" w:hAnsi="Times New Roman" w:cs="Times New Roman"/>
          <w:color w:val="auto"/>
        </w:rPr>
        <w:t>使用与项目管理情况。</w:t>
      </w:r>
      <w:r>
        <w:rPr>
          <w:rFonts w:hint="eastAsia" w:ascii="Times New Roman" w:hAnsi="Times New Roman" w:cs="Times New Roman"/>
          <w:color w:val="auto"/>
          <w:lang w:val="en-US" w:eastAsia="zh-CN"/>
        </w:rPr>
        <w:t>现将主要评价结果报告如下：</w:t>
      </w:r>
    </w:p>
    <w:p>
      <w:pPr>
        <w:pStyle w:val="3"/>
        <w:ind w:firstLine="643"/>
        <w:rPr>
          <w:rFonts w:hint="default" w:ascii="Times New Roman" w:hAnsi="Times New Roman" w:cs="Times New Roman"/>
          <w:color w:val="auto"/>
        </w:rPr>
      </w:pPr>
      <w:bookmarkStart w:id="11" w:name="_Toc23264183"/>
      <w:bookmarkStart w:id="12" w:name="_Toc11952"/>
      <w:bookmarkStart w:id="13" w:name="_Toc23265713"/>
      <w:r>
        <w:rPr>
          <w:rFonts w:hint="default" w:ascii="Times New Roman" w:hAnsi="Times New Roman" w:cs="Times New Roman"/>
          <w:color w:val="auto"/>
        </w:rPr>
        <w:t>一、项目基本情况</w:t>
      </w:r>
      <w:bookmarkEnd w:id="11"/>
      <w:bookmarkEnd w:id="12"/>
      <w:bookmarkEnd w:id="13"/>
    </w:p>
    <w:p>
      <w:pPr>
        <w:pStyle w:val="27"/>
        <w:rPr>
          <w:rFonts w:hint="default" w:ascii="Times New Roman" w:hAnsi="Times New Roman" w:cs="Times New Roman"/>
          <w:color w:val="auto"/>
        </w:rPr>
      </w:pPr>
      <w:bookmarkStart w:id="14" w:name="_Toc21781966"/>
      <w:bookmarkStart w:id="15" w:name="_Toc21781788"/>
      <w:bookmarkStart w:id="16" w:name="_Toc21782397"/>
      <w:bookmarkStart w:id="17" w:name="_Toc21781488"/>
      <w:bookmarkStart w:id="18" w:name="_Toc23264184"/>
      <w:bookmarkStart w:id="19" w:name="_Toc32264"/>
      <w:bookmarkStart w:id="20" w:name="_Toc23265714"/>
      <w:r>
        <w:rPr>
          <w:rFonts w:hint="default" w:ascii="Times New Roman" w:hAnsi="Times New Roman" w:cs="Times New Roman"/>
          <w:color w:val="auto"/>
        </w:rPr>
        <w:t>（一）项目</w:t>
      </w:r>
      <w:bookmarkEnd w:id="14"/>
      <w:bookmarkEnd w:id="15"/>
      <w:bookmarkEnd w:id="16"/>
      <w:bookmarkEnd w:id="17"/>
      <w:r>
        <w:rPr>
          <w:rFonts w:hint="default" w:ascii="Times New Roman" w:hAnsi="Times New Roman" w:cs="Times New Roman"/>
          <w:color w:val="auto"/>
        </w:rPr>
        <w:t>概况</w:t>
      </w:r>
      <w:bookmarkEnd w:id="18"/>
      <w:bookmarkEnd w:id="19"/>
      <w:bookmarkEnd w:id="20"/>
    </w:p>
    <w:p>
      <w:pPr>
        <w:pStyle w:val="5"/>
        <w:rPr>
          <w:rFonts w:hint="default" w:ascii="Times New Roman" w:hAnsi="Times New Roman" w:cs="Times New Roman"/>
          <w:color w:val="auto"/>
        </w:rPr>
      </w:pPr>
      <w:bookmarkStart w:id="21" w:name="_Toc23264185"/>
      <w:bookmarkStart w:id="22" w:name="_Toc23266455"/>
      <w:bookmarkStart w:id="23" w:name="_Toc15869"/>
      <w:bookmarkStart w:id="24" w:name="_Toc23265715"/>
      <w:bookmarkStart w:id="25" w:name="_Toc27624"/>
      <w:r>
        <w:rPr>
          <w:rFonts w:hint="default" w:ascii="Times New Roman" w:hAnsi="Times New Roman" w:cs="Times New Roman"/>
          <w:color w:val="auto"/>
        </w:rPr>
        <w:t>1.项目背景</w:t>
      </w:r>
      <w:bookmarkEnd w:id="21"/>
      <w:bookmarkEnd w:id="22"/>
      <w:bookmarkEnd w:id="23"/>
      <w:bookmarkEnd w:id="24"/>
      <w:bookmarkEnd w:id="25"/>
    </w:p>
    <w:p>
      <w:pPr>
        <w:pStyle w:val="26"/>
        <w:rPr>
          <w:rFonts w:hint="default" w:ascii="Times New Roman" w:hAnsi="Times New Roman" w:cs="Times New Roman"/>
          <w:color w:val="auto"/>
          <w:lang w:eastAsia="zh-CN"/>
        </w:rPr>
      </w:pPr>
      <w:bookmarkStart w:id="26" w:name="_Toc21781491"/>
      <w:bookmarkStart w:id="27" w:name="_Toc23264188"/>
      <w:r>
        <w:rPr>
          <w:rFonts w:hint="default" w:ascii="Times New Roman" w:hAnsi="Times New Roman" w:cs="Times New Roman"/>
          <w:color w:val="auto"/>
          <w:lang w:eastAsia="zh-CN"/>
        </w:rPr>
        <w:t>实施乡村振兴战略，是以</w:t>
      </w:r>
      <w:r>
        <w:rPr>
          <w:rFonts w:hint="eastAsia" w:cs="Times New Roman"/>
          <w:color w:val="auto"/>
          <w:lang w:eastAsia="zh-CN"/>
        </w:rPr>
        <w:t>习近平同志为核心的党中央</w:t>
      </w:r>
      <w:r>
        <w:rPr>
          <w:rFonts w:hint="default" w:ascii="Times New Roman" w:hAnsi="Times New Roman" w:cs="Times New Roman"/>
          <w:color w:val="auto"/>
          <w:lang w:eastAsia="zh-CN"/>
        </w:rPr>
        <w:t>，着眼党和国家事业全局，深刻把握现代化建设规律和城乡关系变化特征，顺应亿万农民对美好生活的向往，对“三农”工作作出的重大决策部署。到2020年我国现行标准下农村贫困人口全部实现脱贫、贫困县全部摘帽、区域性整体贫困得到解决，脱贫攻坚取得全面胜利，全面建成小康社会，实现了第一个百年奋斗目标。</w:t>
      </w:r>
    </w:p>
    <w:p>
      <w:pPr>
        <w:pStyle w:val="26"/>
        <w:rPr>
          <w:rFonts w:hint="default" w:ascii="Times New Roman" w:hAnsi="Times New Roman" w:cs="Times New Roman"/>
          <w:color w:val="auto"/>
          <w:lang w:eastAsia="zh-CN"/>
        </w:rPr>
      </w:pPr>
      <w:r>
        <w:rPr>
          <w:rFonts w:hint="default" w:ascii="Times New Roman" w:hAnsi="Times New Roman" w:cs="Times New Roman"/>
          <w:color w:val="auto"/>
          <w:lang w:eastAsia="zh-CN"/>
        </w:rPr>
        <w:t>为进一步巩固拓展脱贫攻坚成果，接续推动脱贫地区发展和乡村全面振兴，助力实现第二个百年奋斗目标，2020年12月，中共中央、国务院发布了《关于实现巩固拓展脱贫攻坚成果同乡村振兴有效衔接的意见》，明确指出打赢脱贫攻坚战、全面建成小康社会后，要在巩固拓展脱贫攻坚成果的基础上，做好乡村振兴这篇大文章，接续推进脱贫地区发展和群众生活改善。做好巩固拓展脱贫攻坚成果同乡村振兴有效衔接，这不仅关系到构建以国内大循环为主体、国内国际双循环相互促进的新发展格局，更关系到我国全面建设社会主义现代化国家全局和实现第二个百年奋斗目标</w:t>
      </w:r>
      <w:r>
        <w:rPr>
          <w:rFonts w:hint="default" w:ascii="Times New Roman" w:hAnsi="Times New Roman" w:cs="Times New Roman"/>
          <w:color w:val="auto"/>
          <w:lang w:val="en-US" w:eastAsia="zh-CN"/>
        </w:rPr>
        <w:t>的</w:t>
      </w:r>
      <w:r>
        <w:rPr>
          <w:rFonts w:hint="default" w:ascii="Times New Roman" w:hAnsi="Times New Roman" w:cs="Times New Roman"/>
          <w:color w:val="auto"/>
          <w:lang w:eastAsia="zh-CN"/>
        </w:rPr>
        <w:t>总体国家建设发展蓝图。</w:t>
      </w:r>
    </w:p>
    <w:p>
      <w:pPr>
        <w:pStyle w:val="26"/>
        <w:rPr>
          <w:rFonts w:hint="default" w:ascii="Times New Roman" w:hAnsi="Times New Roman" w:cs="Times New Roman"/>
          <w:color w:val="auto"/>
          <w:lang w:eastAsia="zh-CN"/>
        </w:rPr>
      </w:pPr>
      <w:r>
        <w:rPr>
          <w:rFonts w:hint="default" w:ascii="Times New Roman" w:hAnsi="Times New Roman" w:cs="Times New Roman"/>
          <w:color w:val="auto"/>
          <w:lang w:eastAsia="zh-CN"/>
        </w:rPr>
        <w:t>为深入贯彻落实党中央、国务院文件精神，巩固河南省脱贫攻坚成果，中共河南省委、河南省人民政府发布《关于全面推进乡村振兴加快农业农村现代化的实施意见》，明确要求实现巩固拓展脱贫攻坚成果同乡村振兴有效衔接。落实五年衔接过渡期要求，落实好教育、医疗、住房、饮水等民生保障普惠性政策，并根据脱贫人口实际困难给予适度倾斜；持续巩固拓展脱贫攻坚成果，健全防止返贫动态监测和帮扶机制，实施帮扶对象动态管理，落实行业主管部门工作责任，巩固</w:t>
      </w:r>
      <w:r>
        <w:rPr>
          <w:rFonts w:hint="eastAsia" w:cs="Times New Roman"/>
          <w:color w:val="auto"/>
          <w:lang w:eastAsia="zh-CN"/>
        </w:rPr>
        <w:t>“</w:t>
      </w:r>
      <w:r>
        <w:rPr>
          <w:rFonts w:hint="default" w:ascii="Times New Roman" w:hAnsi="Times New Roman" w:cs="Times New Roman"/>
          <w:color w:val="auto"/>
          <w:lang w:eastAsia="zh-CN"/>
        </w:rPr>
        <w:t>两不愁三保障</w:t>
      </w:r>
      <w:r>
        <w:rPr>
          <w:rFonts w:hint="eastAsia" w:cs="Times New Roman"/>
          <w:color w:val="auto"/>
          <w:lang w:eastAsia="zh-CN"/>
        </w:rPr>
        <w:t>”</w:t>
      </w:r>
      <w:r>
        <w:rPr>
          <w:rFonts w:hint="default" w:ascii="Times New Roman" w:hAnsi="Times New Roman" w:cs="Times New Roman"/>
          <w:color w:val="auto"/>
          <w:lang w:eastAsia="zh-CN"/>
        </w:rPr>
        <w:t>成果；接续推进脱贫地区乡村振兴，加强农村低收入人口常态化帮扶。</w:t>
      </w:r>
    </w:p>
    <w:p>
      <w:pPr>
        <w:pStyle w:val="26"/>
        <w:rPr>
          <w:rFonts w:hint="default" w:ascii="Times New Roman" w:hAnsi="Times New Roman" w:cs="Times New Roman"/>
          <w:color w:val="auto"/>
        </w:rPr>
      </w:pPr>
      <w:r>
        <w:rPr>
          <w:rFonts w:hint="default" w:ascii="Times New Roman" w:hAnsi="Times New Roman" w:cs="Times New Roman"/>
          <w:color w:val="auto"/>
          <w:lang w:val="en-US" w:eastAsia="zh-CN"/>
        </w:rPr>
        <w:t>滑县认真落实习近平总书记关于河南工作的重要讲话和指示批示精神，以省持续推进减贫工作衔接试点县为契机，不断创新思路和模式，先行先试，持续巩固拓展脱贫攻坚成果，逐步完善农村低收入人口帮扶机制，进一步提高乡村产业质量效益，促进低收入人口持续增收，提升农村基础设施和基本公共服务水平，推进农村生态环境持续改善。根据巩固拓展脱贫攻坚成果和乡村振兴的需要，2021年统筹整合涉农资金20</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096.81万元，</w:t>
      </w:r>
      <w:r>
        <w:rPr>
          <w:rFonts w:hint="eastAsia" w:cs="Times New Roman"/>
          <w:color w:val="auto"/>
          <w:lang w:val="en-US" w:eastAsia="zh-CN"/>
        </w:rPr>
        <w:t>包括财政衔接补助资金</w:t>
      </w:r>
      <w:r>
        <w:rPr>
          <w:rFonts w:hint="default" w:ascii="Times New Roman" w:hAnsi="Times New Roman" w:cs="Times New Roman"/>
          <w:color w:val="auto"/>
          <w:lang w:val="en-US" w:eastAsia="zh-CN"/>
        </w:rPr>
        <w:t>16</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143.21万元</w:t>
      </w:r>
      <w:r>
        <w:rPr>
          <w:rFonts w:hint="eastAsia" w:cs="Times New Roman"/>
          <w:color w:val="auto"/>
          <w:lang w:val="en-US" w:eastAsia="zh-CN"/>
        </w:rPr>
        <w:t>，</w:t>
      </w:r>
      <w:r>
        <w:rPr>
          <w:rFonts w:hint="default" w:ascii="Times New Roman" w:hAnsi="Times New Roman" w:cs="Times New Roman"/>
          <w:color w:val="auto"/>
          <w:lang w:val="en-US" w:eastAsia="zh-CN"/>
        </w:rPr>
        <w:t>为全县巩固拓展脱贫攻坚成果与乡村振兴衔接开好局、起好步。</w:t>
      </w:r>
      <w:bookmarkEnd w:id="26"/>
      <w:bookmarkEnd w:id="27"/>
    </w:p>
    <w:p>
      <w:pPr>
        <w:pStyle w:val="5"/>
        <w:rPr>
          <w:rFonts w:hint="default" w:ascii="Times New Roman" w:hAnsi="Times New Roman" w:cs="Times New Roman"/>
          <w:color w:val="auto"/>
        </w:rPr>
      </w:pPr>
      <w:bookmarkStart w:id="28" w:name="_Toc23266456"/>
      <w:bookmarkStart w:id="29" w:name="_Toc23265716"/>
      <w:bookmarkStart w:id="30" w:name="_Toc5856"/>
      <w:bookmarkStart w:id="31" w:name="_Toc18432"/>
      <w:bookmarkStart w:id="32" w:name="_Toc23264189"/>
      <w:r>
        <w:rPr>
          <w:rFonts w:hint="default" w:ascii="Times New Roman" w:hAnsi="Times New Roman" w:cs="Times New Roman"/>
          <w:color w:val="auto"/>
        </w:rPr>
        <w:t>2.项目实施情况</w:t>
      </w:r>
      <w:bookmarkEnd w:id="28"/>
      <w:bookmarkEnd w:id="29"/>
      <w:bookmarkEnd w:id="30"/>
      <w:bookmarkEnd w:id="31"/>
      <w:bookmarkEnd w:id="32"/>
    </w:p>
    <w:p>
      <w:pPr>
        <w:pStyle w:val="26"/>
        <w:rPr>
          <w:rFonts w:hint="default" w:ascii="Times New Roman" w:hAnsi="Times New Roman" w:cs="Times New Roman"/>
          <w:color w:val="auto"/>
          <w:lang w:val="en-US" w:eastAsia="zh-CN"/>
        </w:rPr>
      </w:pPr>
      <w:bookmarkStart w:id="33" w:name="_Toc23264190"/>
      <w:r>
        <w:rPr>
          <w:rFonts w:hint="default" w:ascii="Times New Roman" w:hAnsi="Times New Roman" w:cs="Times New Roman"/>
          <w:color w:val="auto"/>
          <w:lang w:val="en-US" w:eastAsia="zh-CN"/>
        </w:rPr>
        <w:t>2021年，滑县</w:t>
      </w:r>
      <w:r>
        <w:rPr>
          <w:rFonts w:hint="default" w:ascii="Times New Roman" w:hAnsi="Times New Roman" w:cs="Times New Roman"/>
          <w:color w:val="auto"/>
          <w:lang w:eastAsia="zh-CN"/>
        </w:rPr>
        <w:t>财政衔接推进乡村振兴补助资金</w:t>
      </w:r>
      <w:r>
        <w:rPr>
          <w:rFonts w:hint="default" w:ascii="Times New Roman" w:hAnsi="Times New Roman" w:cs="Times New Roman"/>
          <w:color w:val="auto"/>
        </w:rPr>
        <w:t>实施范围涉及</w:t>
      </w:r>
      <w:r>
        <w:rPr>
          <w:rFonts w:hint="default" w:ascii="Times New Roman" w:hAnsi="Times New Roman" w:cs="Times New Roman"/>
          <w:color w:val="auto"/>
          <w:lang w:val="en-US" w:eastAsia="zh-CN"/>
        </w:rPr>
        <w:t>全县各类项目38</w:t>
      </w:r>
      <w:r>
        <w:rPr>
          <w:rFonts w:hint="eastAsia" w:cs="Times New Roman"/>
          <w:color w:val="auto"/>
          <w:lang w:val="en-US" w:eastAsia="zh-CN"/>
        </w:rPr>
        <w:t>8</w:t>
      </w:r>
      <w:r>
        <w:rPr>
          <w:rFonts w:hint="default" w:ascii="Times New Roman" w:hAnsi="Times New Roman" w:cs="Times New Roman"/>
          <w:color w:val="auto"/>
          <w:lang w:val="en-US" w:eastAsia="zh-CN"/>
        </w:rPr>
        <w:t>个</w:t>
      </w:r>
      <w:r>
        <w:rPr>
          <w:rFonts w:hint="default" w:ascii="Times New Roman" w:hAnsi="Times New Roman" w:cs="Times New Roman"/>
          <w:color w:val="auto"/>
        </w:rPr>
        <w:t>，</w:t>
      </w:r>
      <w:r>
        <w:rPr>
          <w:rFonts w:hint="default" w:ascii="Times New Roman" w:hAnsi="Times New Roman" w:cs="Times New Roman"/>
          <w:color w:val="auto"/>
          <w:lang w:val="en-US" w:eastAsia="zh-CN"/>
        </w:rPr>
        <w:t>包括农村基础设施类项目（背街小巷硬化奖补、道路硬化、农村生活废水排水、危房改造、以工代赈）277个、产业发展类项目（产业设施配套、村集体经济发展滑丰智能化种子加工产业、冷库建设扶持、设施农业产业扶持、农产品加工扶持）107个、雨露计划、小额贷款贴息等其他类项目</w:t>
      </w:r>
      <w:r>
        <w:rPr>
          <w:rFonts w:hint="eastAsia" w:cs="Times New Roman"/>
          <w:color w:val="auto"/>
          <w:lang w:val="en-US" w:eastAsia="zh-CN"/>
        </w:rPr>
        <w:t>4</w:t>
      </w:r>
      <w:r>
        <w:rPr>
          <w:rFonts w:hint="default" w:ascii="Times New Roman" w:hAnsi="Times New Roman" w:cs="Times New Roman"/>
          <w:color w:val="auto"/>
          <w:lang w:val="en-US" w:eastAsia="zh-CN"/>
        </w:rPr>
        <w:t>个。截至评价期结束，38</w:t>
      </w:r>
      <w:r>
        <w:rPr>
          <w:rFonts w:hint="eastAsia" w:cs="Times New Roman"/>
          <w:color w:val="auto"/>
          <w:lang w:val="en-US" w:eastAsia="zh-CN"/>
        </w:rPr>
        <w:t>5</w:t>
      </w:r>
      <w:r>
        <w:rPr>
          <w:rFonts w:hint="default" w:ascii="Times New Roman" w:hAnsi="Times New Roman" w:cs="Times New Roman"/>
          <w:color w:val="auto"/>
          <w:lang w:val="en-US" w:eastAsia="zh-CN"/>
        </w:rPr>
        <w:t>个项目</w:t>
      </w:r>
      <w:r>
        <w:rPr>
          <w:rFonts w:hint="default" w:ascii="Times New Roman" w:hAnsi="Times New Roman" w:cs="Times New Roman"/>
          <w:color w:val="auto"/>
        </w:rPr>
        <w:t>已完成</w:t>
      </w:r>
      <w:r>
        <w:rPr>
          <w:rFonts w:hint="default" w:ascii="Times New Roman" w:hAnsi="Times New Roman" w:cs="Times New Roman"/>
          <w:color w:val="auto"/>
          <w:lang w:val="en-US" w:eastAsia="zh-CN"/>
        </w:rPr>
        <w:t>建设任务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项目完工率为</w:t>
      </w:r>
      <w:r>
        <w:rPr>
          <w:rFonts w:hint="eastAsia" w:cs="Times New Roman"/>
          <w:color w:val="auto"/>
          <w:lang w:val="en-US" w:eastAsia="zh-CN"/>
        </w:rPr>
        <w:t>99.22</w:t>
      </w:r>
      <w:r>
        <w:rPr>
          <w:rFonts w:hint="default" w:ascii="Times New Roman" w:hAnsi="Times New Roman" w:cs="Times New Roman"/>
          <w:color w:val="auto"/>
          <w:lang w:val="en-US" w:eastAsia="zh-CN"/>
        </w:rPr>
        <w:t>%，项目开工实施率为100%</w:t>
      </w:r>
      <w:r>
        <w:rPr>
          <w:rFonts w:hint="default" w:ascii="Times New Roman" w:hAnsi="Times New Roman" w:cs="Times New Roman"/>
          <w:color w:val="auto"/>
        </w:rPr>
        <w:t>。</w:t>
      </w:r>
      <w:r>
        <w:rPr>
          <w:rFonts w:hint="default" w:ascii="Times New Roman" w:hAnsi="Times New Roman" w:cs="Times New Roman"/>
          <w:color w:val="auto"/>
          <w:lang w:val="en-US" w:eastAsia="zh-CN"/>
        </w:rPr>
        <w:t>2021年度滑县各类项目建设完成情况如表1-1所示：</w:t>
      </w:r>
    </w:p>
    <w:p>
      <w:pPr>
        <w:pStyle w:val="25"/>
        <w:widowControl w:val="0"/>
        <w:wordWrap/>
        <w:autoSpaceDE w:val="0"/>
        <w:autoSpaceDN w:val="0"/>
        <w:adjustRightInd w:val="0"/>
        <w:snapToGrid/>
        <w:spacing w:line="560" w:lineRule="exact"/>
        <w:jc w:val="center"/>
        <w:textAlignment w:val="auto"/>
        <w:rPr>
          <w:rFonts w:hint="default" w:ascii="Times New Roman" w:hAnsi="Times New Roman" w:eastAsia="仿宋_GB2312" w:cs="Times New Roman"/>
          <w:b/>
          <w:bCs/>
          <w:color w:val="auto"/>
          <w:kern w:val="0"/>
          <w:sz w:val="24"/>
          <w:szCs w:val="24"/>
          <w:lang w:val="en-US" w:eastAsia="zh-CN" w:bidi="en-US"/>
        </w:rPr>
      </w:pPr>
      <w:r>
        <w:rPr>
          <w:rFonts w:hint="default" w:ascii="Times New Roman" w:hAnsi="Times New Roman" w:eastAsia="仿宋_GB2312" w:cs="Times New Roman"/>
          <w:b/>
          <w:bCs/>
          <w:color w:val="auto"/>
          <w:kern w:val="0"/>
          <w:sz w:val="24"/>
          <w:szCs w:val="24"/>
          <w:lang w:val="en-US" w:eastAsia="zh-CN" w:bidi="en-US"/>
        </w:rPr>
        <w:t>表1-1 2021年度滑县涉农资金项目建设完成情况</w:t>
      </w:r>
    </w:p>
    <w:tbl>
      <w:tblPr>
        <w:tblStyle w:val="19"/>
        <w:tblW w:w="8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6"/>
        <w:gridCol w:w="1537"/>
        <w:gridCol w:w="944"/>
        <w:gridCol w:w="1109"/>
        <w:gridCol w:w="1258"/>
        <w:gridCol w:w="1469"/>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blHeader/>
          <w:jc w:val="center"/>
        </w:trPr>
        <w:tc>
          <w:tcPr>
            <w:tcW w:w="2483"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项目类别</w:t>
            </w:r>
          </w:p>
        </w:tc>
        <w:tc>
          <w:tcPr>
            <w:tcW w:w="944"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kern w:val="0"/>
                <w:sz w:val="21"/>
                <w:szCs w:val="21"/>
                <w:u w:val="none"/>
                <w:lang w:val="en-US" w:eastAsia="zh-CN"/>
              </w:rPr>
            </w:pPr>
            <w:r>
              <w:rPr>
                <w:rFonts w:hint="default" w:ascii="Times New Roman" w:hAnsi="Times New Roman" w:eastAsia="仿宋_GB2312" w:cs="Times New Roman"/>
                <w:b/>
                <w:bCs/>
                <w:i w:val="0"/>
                <w:iCs w:val="0"/>
                <w:color w:val="auto"/>
                <w:kern w:val="0"/>
                <w:sz w:val="21"/>
                <w:szCs w:val="21"/>
                <w:u w:val="none"/>
                <w:lang w:val="en-US" w:eastAsia="zh-CN"/>
              </w:rPr>
              <w:t>项目</w:t>
            </w:r>
          </w:p>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数量</w:t>
            </w:r>
          </w:p>
        </w:tc>
        <w:tc>
          <w:tcPr>
            <w:tcW w:w="110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已完工项目数量</w:t>
            </w:r>
          </w:p>
        </w:tc>
        <w:tc>
          <w:tcPr>
            <w:tcW w:w="125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完工比例</w:t>
            </w:r>
          </w:p>
        </w:tc>
        <w:tc>
          <w:tcPr>
            <w:tcW w:w="146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已开工实施项目数量</w:t>
            </w:r>
          </w:p>
        </w:tc>
        <w:tc>
          <w:tcPr>
            <w:tcW w:w="1254"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开工实施比例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农村基础设施类</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背街小巷硬化奖补项目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101</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101</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道路硬化项目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153</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98.04%</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153</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农村生活废水排水项目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危房改造项目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以工代赈项目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小计</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277</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274</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98.92%</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277</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产业发展类</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产业设施配套项目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村集体经济发展项目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冷库建设扶持项目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设施农业产业扶持项目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农产品加工扶持项目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小计</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107</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107</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107</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其他类</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小额贷款贴息项目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雨露计划项目</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kern w:val="0"/>
                <w:sz w:val="21"/>
                <w:szCs w:val="21"/>
                <w:u w:val="none"/>
                <w:lang w:val="en-US" w:eastAsia="zh-CN"/>
              </w:rPr>
            </w:pPr>
            <w:r>
              <w:rPr>
                <w:rFonts w:hint="eastAsia" w:ascii="Times New Roman" w:hAnsi="Times New Roman" w:eastAsia="仿宋_GB2312" w:cs="Times New Roman"/>
                <w:i w:val="0"/>
                <w:iCs w:val="0"/>
                <w:color w:val="auto"/>
                <w:kern w:val="0"/>
                <w:sz w:val="21"/>
                <w:szCs w:val="21"/>
                <w:u w:val="none"/>
                <w:lang w:val="en-US" w:eastAsia="zh-CN"/>
              </w:rPr>
              <w:t>项目管理费</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小计</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eastAsia" w:ascii="Times New Roman" w:hAnsi="Times New Roman" w:cs="Times New Roman"/>
                <w:b/>
                <w:bCs/>
                <w:i w:val="0"/>
                <w:iCs w:val="0"/>
                <w:color w:val="auto"/>
                <w:kern w:val="0"/>
                <w:sz w:val="21"/>
                <w:szCs w:val="21"/>
                <w:u w:val="none"/>
                <w:lang w:val="en-US" w:eastAsia="zh-CN" w:bidi="ar"/>
              </w:rPr>
              <w:t>4</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eastAsia" w:ascii="Times New Roman" w:hAnsi="Times New Roman" w:cs="Times New Roman"/>
                <w:b/>
                <w:bCs/>
                <w:i w:val="0"/>
                <w:iCs w:val="0"/>
                <w:color w:val="auto"/>
                <w:kern w:val="0"/>
                <w:sz w:val="21"/>
                <w:szCs w:val="21"/>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100.00%</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eastAsia" w:ascii="Times New Roman" w:hAnsi="Times New Roman" w:cs="Times New Roman"/>
                <w:b/>
                <w:bCs/>
                <w:i w:val="0"/>
                <w:iCs w:val="0"/>
                <w:color w:val="auto"/>
                <w:kern w:val="0"/>
                <w:sz w:val="21"/>
                <w:szCs w:val="21"/>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合计</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lang w:val="en-US"/>
              </w:rPr>
            </w:pPr>
            <w:r>
              <w:rPr>
                <w:rFonts w:hint="default" w:ascii="Times New Roman" w:hAnsi="Times New Roman" w:eastAsia="宋体" w:cs="Times New Roman"/>
                <w:b/>
                <w:bCs/>
                <w:i w:val="0"/>
                <w:iCs w:val="0"/>
                <w:color w:val="auto"/>
                <w:kern w:val="0"/>
                <w:sz w:val="21"/>
                <w:szCs w:val="21"/>
                <w:u w:val="none"/>
                <w:lang w:val="en-US" w:eastAsia="zh-CN" w:bidi="ar"/>
              </w:rPr>
              <w:t>38</w:t>
            </w:r>
            <w:r>
              <w:rPr>
                <w:rFonts w:hint="eastAsia" w:ascii="Times New Roman" w:hAnsi="Times New Roman" w:cs="Times New Roman"/>
                <w:b/>
                <w:bCs/>
                <w:i w:val="0"/>
                <w:iCs w:val="0"/>
                <w:color w:val="auto"/>
                <w:kern w:val="0"/>
                <w:sz w:val="21"/>
                <w:szCs w:val="21"/>
                <w:u w:val="none"/>
                <w:lang w:val="en-US" w:eastAsia="zh-CN" w:bidi="ar"/>
              </w:rPr>
              <w:t>8</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38</w:t>
            </w:r>
            <w:r>
              <w:rPr>
                <w:rFonts w:hint="eastAsia" w:ascii="Times New Roman" w:hAnsi="Times New Roman" w:cs="Times New Roman"/>
                <w:b/>
                <w:bCs/>
                <w:i w:val="0"/>
                <w:iCs w:val="0"/>
                <w:color w:val="auto"/>
                <w:kern w:val="0"/>
                <w:sz w:val="21"/>
                <w:szCs w:val="21"/>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99.22%</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38</w:t>
            </w:r>
            <w:r>
              <w:rPr>
                <w:rFonts w:hint="eastAsia" w:ascii="Times New Roman" w:hAnsi="Times New Roman" w:cs="Times New Roman"/>
                <w:b/>
                <w:bCs/>
                <w:i w:val="0"/>
                <w:iCs w:val="0"/>
                <w:color w:val="auto"/>
                <w:kern w:val="0"/>
                <w:sz w:val="21"/>
                <w:szCs w:val="21"/>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100.00%</w:t>
            </w:r>
          </w:p>
        </w:tc>
      </w:tr>
    </w:tbl>
    <w:p>
      <w:pPr>
        <w:pStyle w:val="26"/>
        <w:rPr>
          <w:rFonts w:hint="default" w:ascii="Times New Roman" w:hAnsi="Times New Roman" w:cs="Times New Roman"/>
          <w:color w:val="auto"/>
        </w:rPr>
      </w:pPr>
      <w:r>
        <w:rPr>
          <w:rFonts w:hint="default" w:ascii="Times New Roman" w:hAnsi="Times New Roman" w:cs="Times New Roman"/>
          <w:color w:val="auto"/>
        </w:rPr>
        <w:t>同时，为深入了解</w:t>
      </w:r>
      <w:r>
        <w:rPr>
          <w:rFonts w:hint="default" w:ascii="Times New Roman" w:hAnsi="Times New Roman" w:cs="Times New Roman"/>
          <w:color w:val="auto"/>
          <w:lang w:val="en-US" w:eastAsia="zh-CN"/>
        </w:rPr>
        <w:t>2021</w:t>
      </w:r>
      <w:r>
        <w:rPr>
          <w:rFonts w:hint="default" w:ascii="Times New Roman" w:hAnsi="Times New Roman" w:cs="Times New Roman"/>
          <w:color w:val="auto"/>
          <w:lang w:eastAsia="zh-CN"/>
        </w:rPr>
        <w:t>年</w:t>
      </w:r>
      <w:r>
        <w:rPr>
          <w:rFonts w:hint="default" w:ascii="Times New Roman" w:hAnsi="Times New Roman" w:cs="Times New Roman"/>
          <w:color w:val="auto"/>
          <w:lang w:val="en-US" w:eastAsia="zh-CN"/>
        </w:rPr>
        <w:t>度滑县涉农资金项目</w:t>
      </w:r>
      <w:r>
        <w:rPr>
          <w:rFonts w:hint="default" w:ascii="Times New Roman" w:hAnsi="Times New Roman" w:cs="Times New Roman"/>
          <w:color w:val="auto"/>
        </w:rPr>
        <w:t>实施完成情况，评价组从</w:t>
      </w:r>
      <w:r>
        <w:rPr>
          <w:rFonts w:hint="default" w:ascii="Times New Roman" w:hAnsi="Times New Roman" w:cs="Times New Roman"/>
          <w:color w:val="auto"/>
          <w:lang w:val="en-US" w:eastAsia="zh-CN"/>
        </w:rPr>
        <w:t>上述12类</w:t>
      </w:r>
      <w:r>
        <w:rPr>
          <w:rFonts w:hint="default" w:ascii="Times New Roman" w:hAnsi="Times New Roman" w:cs="Times New Roman"/>
          <w:color w:val="auto"/>
        </w:rPr>
        <w:t>项目中抽取</w:t>
      </w:r>
      <w:r>
        <w:rPr>
          <w:rFonts w:hint="default" w:ascii="Times New Roman" w:hAnsi="Times New Roman" w:cs="Times New Roman"/>
          <w:color w:val="auto"/>
          <w:lang w:val="en-US" w:eastAsia="zh-CN"/>
        </w:rPr>
        <w:t>5类</w:t>
      </w:r>
      <w:r>
        <w:rPr>
          <w:rFonts w:hint="default" w:ascii="Times New Roman" w:hAnsi="Times New Roman" w:cs="Times New Roman"/>
          <w:color w:val="auto"/>
        </w:rPr>
        <w:t>项目进行考察</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分别是背街小巷硬化奖补项目、农村生活废水排水项目、产业设施配套项目、村集体经济发展滑丰智能化种子加工产业项目、职业教育助学补助项目</w:t>
      </w:r>
      <w:r>
        <w:rPr>
          <w:rFonts w:hint="default" w:ascii="Times New Roman" w:hAnsi="Times New Roman" w:cs="Times New Roman"/>
          <w:color w:val="auto"/>
        </w:rPr>
        <w:t>。具体项目实施内容与完成情况</w:t>
      </w:r>
      <w:bookmarkEnd w:id="33"/>
      <w:r>
        <w:rPr>
          <w:rFonts w:hint="default" w:ascii="Times New Roman" w:hAnsi="Times New Roman" w:cs="Times New Roman"/>
          <w:color w:val="auto"/>
        </w:rPr>
        <w:t>如表1-</w:t>
      </w:r>
      <w:r>
        <w:rPr>
          <w:rFonts w:hint="default" w:ascii="Times New Roman" w:hAnsi="Times New Roman" w:cs="Times New Roman"/>
          <w:color w:val="auto"/>
          <w:lang w:val="en-US" w:eastAsia="zh-CN"/>
        </w:rPr>
        <w:t>2</w:t>
      </w:r>
      <w:r>
        <w:rPr>
          <w:rFonts w:hint="default" w:ascii="Times New Roman" w:hAnsi="Times New Roman" w:cs="Times New Roman"/>
          <w:color w:val="auto"/>
        </w:rPr>
        <w:t>所示：</w:t>
      </w:r>
    </w:p>
    <w:p>
      <w:pPr>
        <w:pStyle w:val="26"/>
        <w:rPr>
          <w:rFonts w:hint="default" w:ascii="Times New Roman" w:hAnsi="Times New Roman" w:cs="Times New Roman"/>
          <w:color w:val="auto"/>
        </w:rPr>
        <w:sectPr>
          <w:footerReference r:id="rId6" w:type="default"/>
          <w:pgSz w:w="11906" w:h="16838"/>
          <w:pgMar w:top="1440" w:right="1800" w:bottom="1440" w:left="1800" w:header="851" w:footer="992" w:gutter="0"/>
          <w:pgNumType w:fmt="decimal" w:start="1"/>
          <w:cols w:space="720" w:num="1"/>
          <w:docGrid w:type="lines" w:linePitch="312" w:charSpace="0"/>
        </w:sectPr>
      </w:pPr>
    </w:p>
    <w:p>
      <w:pPr>
        <w:pStyle w:val="26"/>
        <w:ind w:firstLine="482"/>
        <w:jc w:val="center"/>
        <w:rPr>
          <w:rFonts w:hint="default" w:ascii="Times New Roman" w:hAnsi="Times New Roman" w:cs="Times New Roman"/>
          <w:b/>
          <w:color w:val="auto"/>
          <w:sz w:val="21"/>
          <w:szCs w:val="21"/>
        </w:rPr>
      </w:pPr>
      <w:bookmarkStart w:id="34" w:name="_Toc23265717"/>
      <w:bookmarkStart w:id="35" w:name="_Toc23264191"/>
      <w:bookmarkStart w:id="36" w:name="_Toc23266457"/>
      <w:r>
        <w:rPr>
          <w:rFonts w:hint="default" w:ascii="Times New Roman" w:hAnsi="Times New Roman" w:cs="Times New Roman"/>
          <w:b/>
          <w:color w:val="auto"/>
          <w:sz w:val="24"/>
          <w:szCs w:val="24"/>
        </w:rPr>
        <w:t>表1-</w:t>
      </w:r>
      <w:r>
        <w:rPr>
          <w:rFonts w:hint="default" w:ascii="Times New Roman" w:hAnsi="Times New Roman" w:cs="Times New Roman"/>
          <w:b/>
          <w:color w:val="auto"/>
          <w:sz w:val="24"/>
          <w:szCs w:val="24"/>
          <w:lang w:val="en-US" w:eastAsia="zh-CN"/>
        </w:rPr>
        <w:t>2 滑县</w:t>
      </w:r>
      <w:r>
        <w:rPr>
          <w:rFonts w:hint="default" w:ascii="Times New Roman" w:hAnsi="Times New Roman" w:cs="Times New Roman"/>
          <w:b/>
          <w:color w:val="auto"/>
          <w:sz w:val="24"/>
          <w:szCs w:val="24"/>
          <w:lang w:eastAsia="zh-CN"/>
        </w:rPr>
        <w:t>202</w:t>
      </w:r>
      <w:r>
        <w:rPr>
          <w:rFonts w:hint="default" w:ascii="Times New Roman" w:hAnsi="Times New Roman" w:cs="Times New Roman"/>
          <w:b/>
          <w:color w:val="auto"/>
          <w:sz w:val="24"/>
          <w:szCs w:val="24"/>
          <w:lang w:val="en-US" w:eastAsia="zh-CN"/>
        </w:rPr>
        <w:t>1</w:t>
      </w:r>
      <w:r>
        <w:rPr>
          <w:rFonts w:hint="default" w:ascii="Times New Roman" w:hAnsi="Times New Roman" w:cs="Times New Roman"/>
          <w:b/>
          <w:color w:val="auto"/>
          <w:sz w:val="24"/>
          <w:szCs w:val="24"/>
          <w:lang w:eastAsia="zh-CN"/>
        </w:rPr>
        <w:t>年财政衔接推进乡村振兴补助资金</w:t>
      </w:r>
      <w:r>
        <w:rPr>
          <w:rFonts w:hint="default" w:ascii="Times New Roman" w:hAnsi="Times New Roman" w:cs="Times New Roman"/>
          <w:b/>
          <w:color w:val="auto"/>
          <w:sz w:val="24"/>
          <w:szCs w:val="24"/>
        </w:rPr>
        <w:t>部分项目实施完成情况</w:t>
      </w:r>
      <w:bookmarkEnd w:id="34"/>
      <w:bookmarkEnd w:id="35"/>
      <w:bookmarkEnd w:id="36"/>
    </w:p>
    <w:tbl>
      <w:tblPr>
        <w:tblStyle w:val="19"/>
        <w:tblW w:w="14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5"/>
        <w:gridCol w:w="1329"/>
        <w:gridCol w:w="4931"/>
        <w:gridCol w:w="1581"/>
        <w:gridCol w:w="2528"/>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jc w:val="center"/>
        </w:trPr>
        <w:tc>
          <w:tcPr>
            <w:tcW w:w="785"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项目名称</w:t>
            </w:r>
          </w:p>
        </w:tc>
        <w:tc>
          <w:tcPr>
            <w:tcW w:w="4931"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项目内容</w:t>
            </w:r>
          </w:p>
        </w:tc>
        <w:tc>
          <w:tcPr>
            <w:tcW w:w="1581"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项目实施范围</w:t>
            </w:r>
          </w:p>
        </w:tc>
        <w:tc>
          <w:tcPr>
            <w:tcW w:w="252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绩效目标设置情况</w:t>
            </w:r>
          </w:p>
        </w:tc>
        <w:tc>
          <w:tcPr>
            <w:tcW w:w="300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绩效目标完成情况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村庄背街小巷硬化奖补项目</w:t>
            </w:r>
          </w:p>
        </w:tc>
        <w:tc>
          <w:tcPr>
            <w:tcW w:w="49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为村庄背街小巷硬化使用的原材料商砼给予60%奖补</w:t>
            </w:r>
            <w:r>
              <w:rPr>
                <w:rFonts w:hint="eastAsia" w:ascii="Times New Roman" w:hAnsi="Times New Roman" w:eastAsia="仿宋_GB2312" w:cs="Times New Roman"/>
                <w:i w:val="0"/>
                <w:iCs w:val="0"/>
                <w:color w:val="auto"/>
                <w:kern w:val="0"/>
                <w:sz w:val="21"/>
                <w:szCs w:val="21"/>
                <w:u w:val="none"/>
                <w:lang w:val="en-US" w:eastAsia="zh-CN"/>
              </w:rPr>
              <w:t>。</w:t>
            </w:r>
            <w:r>
              <w:rPr>
                <w:rFonts w:hint="default" w:ascii="Times New Roman" w:hAnsi="Times New Roman" w:eastAsia="仿宋_GB2312" w:cs="Times New Roman"/>
                <w:i w:val="0"/>
                <w:iCs w:val="0"/>
                <w:color w:val="auto"/>
                <w:kern w:val="0"/>
                <w:sz w:val="21"/>
                <w:szCs w:val="21"/>
                <w:u w:val="none"/>
                <w:lang w:val="en-US" w:eastAsia="zh-CN"/>
              </w:rPr>
              <w:t>具体建设内容为</w:t>
            </w:r>
            <w:r>
              <w:rPr>
                <w:rFonts w:hint="eastAsia" w:ascii="Times New Roman" w:hAnsi="Times New Roman" w:eastAsia="仿宋_GB2312" w:cs="Times New Roman"/>
                <w:i w:val="0"/>
                <w:iCs w:val="0"/>
                <w:color w:val="auto"/>
                <w:kern w:val="0"/>
                <w:sz w:val="21"/>
                <w:szCs w:val="21"/>
                <w:u w:val="none"/>
                <w:lang w:val="en-US" w:eastAsia="zh-CN"/>
              </w:rPr>
              <w:t>：</w:t>
            </w:r>
            <w:r>
              <w:rPr>
                <w:rFonts w:hint="default" w:ascii="Times New Roman" w:hAnsi="Times New Roman" w:eastAsia="仿宋_GB2312" w:cs="Times New Roman"/>
                <w:i w:val="0"/>
                <w:iCs w:val="0"/>
                <w:color w:val="auto"/>
                <w:kern w:val="0"/>
                <w:sz w:val="21"/>
                <w:szCs w:val="21"/>
                <w:u w:val="none"/>
                <w:lang w:val="en-US" w:eastAsia="zh-CN"/>
              </w:rPr>
              <w:t>新建改建厚度为18厘米的混凝土道路8.07公里，其中6米宽道路0.12公里，3.5米宽道路1.87公里，3米宽道路6.08公里；新建改建厚度为15厘米的混凝土道路57.18公里，其中4.2米宽道路0.13公里，3.5米宽道路11.01公里，3米宽道路46.04公里；新建改建厚度为12厘米的混凝土道179.36公里，其中4米宽道路18.43公里，3.5米宽道路2.97公里，3米宽道路148.86公里，2.5米宽道路9.11公里。</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kern w:val="0"/>
                <w:sz w:val="21"/>
                <w:szCs w:val="21"/>
                <w:u w:val="none"/>
                <w:lang w:val="en-US" w:eastAsia="zh-CN"/>
              </w:rPr>
            </w:pPr>
            <w:r>
              <w:rPr>
                <w:rFonts w:hint="default" w:ascii="Times New Roman" w:hAnsi="Times New Roman" w:eastAsia="仿宋_GB2312" w:cs="Times New Roman"/>
                <w:i w:val="0"/>
                <w:iCs w:val="0"/>
                <w:color w:val="auto"/>
                <w:kern w:val="0"/>
                <w:sz w:val="21"/>
                <w:szCs w:val="21"/>
                <w:u w:val="none"/>
                <w:lang w:val="en-US" w:eastAsia="zh-CN"/>
              </w:rPr>
              <w:t>涉及城关镇、四间房镇、八里营镇等22个</w:t>
            </w:r>
          </w:p>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乡（镇）、街道101个村</w:t>
            </w:r>
          </w:p>
        </w:tc>
        <w:tc>
          <w:tcPr>
            <w:tcW w:w="25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方便52929户农户出行，改善村内交通条件，提高村民生产生活质量，大大提高群众对巩固拓展脱贫攻坚成果工作满意度。</w:t>
            </w:r>
          </w:p>
        </w:tc>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通过对背街小巷硬化道路进行奖补，为52929户农户提供了出行便利，极大改善了村内交通条件，提高了村民生产生活质量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农村生活废水排水项目</w:t>
            </w:r>
          </w:p>
        </w:tc>
        <w:tc>
          <w:tcPr>
            <w:tcW w:w="49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铺设废水排水58478.22米，建设废水观察井、污水检查井2272个，废水处理设施16座，污水过河提升泵站3座，排水沟395.48米。</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涉及枣村乡、四间房镇、留固镇等17个乡镇19个村</w:t>
            </w:r>
          </w:p>
        </w:tc>
        <w:tc>
          <w:tcPr>
            <w:tcW w:w="25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提升8901户群众生活质量，改善农村人居环境，有效防止村内生活废水横流，提高群众对巩固拓展脱贫攻坚成果工作满意度。</w:t>
            </w:r>
          </w:p>
        </w:tc>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铺设废水排水管长55272.52米；建设废水观察2203个；建设污水处理设施15座。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w:t>
            </w:r>
            <w:r>
              <w:rPr>
                <w:rFonts w:hint="default" w:ascii="Times New Roman" w:hAnsi="Times New Roman" w:eastAsia="仿宋_GB2312" w:cs="Times New Roman"/>
                <w:i w:val="0"/>
                <w:iCs w:val="0"/>
                <w:color w:val="auto"/>
                <w:kern w:val="0"/>
                <w:sz w:val="21"/>
                <w:szCs w:val="21"/>
                <w:u w:val="none"/>
                <w:lang w:val="en-US" w:eastAsia="zh-CN"/>
              </w:rPr>
              <w:t>雨露计划</w:t>
            </w:r>
            <w:r>
              <w:rPr>
                <w:rFonts w:hint="default" w:ascii="Times New Roman" w:hAnsi="Times New Roman" w:eastAsia="宋体" w:cs="Times New Roman"/>
                <w:i w:val="0"/>
                <w:iCs w:val="0"/>
                <w:color w:val="auto"/>
                <w:kern w:val="0"/>
                <w:sz w:val="21"/>
                <w:szCs w:val="21"/>
                <w:u w:val="none"/>
                <w:lang w:val="en-US" w:eastAsia="zh-CN"/>
              </w:rPr>
              <w:t>”</w:t>
            </w:r>
            <w:r>
              <w:rPr>
                <w:rFonts w:hint="default" w:ascii="Times New Roman" w:hAnsi="Times New Roman" w:eastAsia="仿宋_GB2312" w:cs="Times New Roman"/>
                <w:i w:val="0"/>
                <w:iCs w:val="0"/>
                <w:color w:val="auto"/>
                <w:kern w:val="0"/>
                <w:sz w:val="21"/>
                <w:szCs w:val="21"/>
                <w:u w:val="none"/>
                <w:lang w:val="en-US" w:eastAsia="zh-CN"/>
              </w:rPr>
              <w:t>职业教育助学补助</w:t>
            </w:r>
          </w:p>
        </w:tc>
        <w:tc>
          <w:tcPr>
            <w:tcW w:w="49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对全县2020-2021学年接受中高等职业教育的享受政策的脱贫家庭（含监测帮扶对象家庭）中的学生进行补助，对往年应补未补学生进行补助。每生每学期补助1500元。</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kern w:val="0"/>
                <w:sz w:val="21"/>
                <w:szCs w:val="21"/>
                <w:u w:val="none"/>
                <w:lang w:val="en-US" w:eastAsia="zh-CN"/>
              </w:rPr>
            </w:pPr>
            <w:r>
              <w:rPr>
                <w:rFonts w:hint="default" w:ascii="Times New Roman" w:hAnsi="Times New Roman" w:eastAsia="仿宋_GB2312" w:cs="Times New Roman"/>
                <w:i w:val="0"/>
                <w:iCs w:val="0"/>
                <w:color w:val="auto"/>
                <w:kern w:val="0"/>
                <w:sz w:val="21"/>
                <w:szCs w:val="21"/>
                <w:u w:val="none"/>
                <w:lang w:val="en-US" w:eastAsia="zh-CN"/>
              </w:rPr>
              <w:t>全县2020-2021学年接受中高等职业教育的</w:t>
            </w:r>
          </w:p>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享受政策的脱贫家庭（含监测帮扶对象家庭）中的学生</w:t>
            </w:r>
          </w:p>
        </w:tc>
        <w:tc>
          <w:tcPr>
            <w:tcW w:w="25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kern w:val="0"/>
                <w:sz w:val="21"/>
                <w:szCs w:val="21"/>
                <w:u w:val="none"/>
                <w:lang w:val="en-US" w:eastAsia="zh-CN"/>
              </w:rPr>
            </w:pPr>
            <w:r>
              <w:rPr>
                <w:rFonts w:hint="default" w:ascii="Times New Roman" w:hAnsi="Times New Roman" w:eastAsia="仿宋_GB2312" w:cs="Times New Roman"/>
                <w:i w:val="0"/>
                <w:iCs w:val="0"/>
                <w:color w:val="auto"/>
                <w:kern w:val="0"/>
                <w:sz w:val="21"/>
                <w:szCs w:val="21"/>
                <w:u w:val="none"/>
                <w:lang w:val="en-US" w:eastAsia="zh-CN"/>
              </w:rPr>
              <w:t>通过对就读全日制中职、高职的享受政策的脱贫家庭（含监测帮扶对象家庭）学生进行补助，引导和鼓励农村脱贫享受政策家庭（含监测帮扶对象家庭）新生劳动力接受中、高等</w:t>
            </w:r>
          </w:p>
          <w:p>
            <w:pPr>
              <w:widowControl/>
              <w:jc w:val="left"/>
              <w:textAlignment w:val="center"/>
              <w:rPr>
                <w:rFonts w:hint="default" w:ascii="Times New Roman" w:hAnsi="Times New Roman" w:eastAsia="仿宋_GB2312" w:cs="Times New Roman"/>
                <w:i w:val="0"/>
                <w:iCs w:val="0"/>
                <w:color w:val="auto"/>
                <w:kern w:val="0"/>
                <w:sz w:val="21"/>
                <w:szCs w:val="21"/>
                <w:u w:val="none"/>
                <w:lang w:val="en-US" w:eastAsia="zh-CN"/>
              </w:rPr>
            </w:pPr>
            <w:r>
              <w:rPr>
                <w:rFonts w:hint="default" w:ascii="Times New Roman" w:hAnsi="Times New Roman" w:eastAsia="仿宋_GB2312" w:cs="Times New Roman"/>
                <w:i w:val="0"/>
                <w:iCs w:val="0"/>
                <w:color w:val="auto"/>
                <w:kern w:val="0"/>
                <w:sz w:val="21"/>
                <w:szCs w:val="21"/>
                <w:u w:val="none"/>
                <w:lang w:val="en-US" w:eastAsia="zh-CN"/>
              </w:rPr>
              <w:t>职业教育，提高就业技能水平和综合素质，从根本上解决家庭增收</w:t>
            </w:r>
          </w:p>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难问题</w:t>
            </w:r>
          </w:p>
        </w:tc>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投资532.5万元，对2020年-2021年学生接受中高等职业教育的享受政策的脱贫家庭（含监测帮扶对象家庭）的中学生进行补助，对往年应补未补学生进行补助，本年度共补助学生3542人，通过对就读全日制中职、高职的享受政策的脱贫家庭（含监测帮扶对象家庭）学生进行补助，引导和鼓励农村脱贫享受政策家庭（含监测帮扶对象家庭)新生劳动力接受中、高等职业教育，提高就业技能水平和综合素质，从根本上解决家庭增收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4</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村集体经济发展滑丰智能化种子加工产业下项目</w:t>
            </w:r>
          </w:p>
        </w:tc>
        <w:tc>
          <w:tcPr>
            <w:tcW w:w="49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为31个村集体投资1240万元产业发展扶持资金，注入河南滑丰种业科技有限公司，用于建设标准化种子仓库设施，标准化种子仓库设施建成后按照注入资金物化成资产确权给受扶持村集体，由河南滑丰种业租用进行生产经营，公司连续15年每年按实际投资额的8%支付租金，增加村集体经济收入，用于村级巩固拓展脱贫攻坚成果和乡村振兴事业发展，租用期限及租金有关政策要求暂定15年，15年内上级政策有调整的，执行上级政策，15年后按照上级政策要求执行。项目建设及运行过程中用工优先使用脱贫不稳定户、边缘易致贫户、突发严重困难户、脱贫户。河南滑丰种业与村内小麦种植农户签订优质小麦订单收购合同，增加签订合同户种植收入。</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31</w:t>
            </w:r>
            <w:r>
              <w:rPr>
                <w:rFonts w:hint="default" w:ascii="Times New Roman" w:hAnsi="Times New Roman" w:eastAsia="仿宋_GB2312" w:cs="Times New Roman"/>
                <w:i w:val="0"/>
                <w:iCs w:val="0"/>
                <w:color w:val="auto"/>
                <w:kern w:val="0"/>
                <w:sz w:val="21"/>
                <w:szCs w:val="21"/>
                <w:u w:val="none"/>
                <w:lang w:val="en-US" w:eastAsia="zh-CN"/>
              </w:rPr>
              <w:t>个村集体</w:t>
            </w:r>
          </w:p>
        </w:tc>
        <w:tc>
          <w:tcPr>
            <w:tcW w:w="25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通过项目实施，增加受扶持村集体经济收入，示范带动低收入人群和农民收入稳定增长，增加签订合同农户种植收入，加快滑县小麦玉米育种及良繁产业开发，提升滑县种业产业发展水平。</w:t>
            </w:r>
          </w:p>
        </w:tc>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截至目前，第一年度的收益金已拨付至31个村，进一步提升了村集体经济收入。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5</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产业设施配套项目</w:t>
            </w:r>
          </w:p>
        </w:tc>
        <w:tc>
          <w:tcPr>
            <w:tcW w:w="49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新建改建棚区内水泥道路，硬化厚度为18厘米的C25混凝土道路8.78公里，其中5米宽道路3.10公里，4.5米宽道路0.24公里，4米宽道路4.42公里，3米宽道路0.79公里</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留固镇、八里营镇等9个乡镇11个村</w:t>
            </w:r>
          </w:p>
        </w:tc>
        <w:tc>
          <w:tcPr>
            <w:tcW w:w="25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为农村农业产业发展提供便利条件，便于4961户群众开展农业产业生产，促进产业发展，提高群众满意度。</w:t>
            </w:r>
          </w:p>
        </w:tc>
        <w:tc>
          <w:tcPr>
            <w:tcW w:w="3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通过对产业设施配套进行奖补，为农村农业产业发展提供便利条件，便于4961户群众开展农业产业生产，促进产业发展，提高群众满意度。</w:t>
            </w:r>
          </w:p>
        </w:tc>
      </w:tr>
    </w:tbl>
    <w:p>
      <w:pPr>
        <w:pStyle w:val="26"/>
        <w:ind w:firstLine="0" w:firstLineChars="0"/>
        <w:outlineLvl w:val="2"/>
        <w:rPr>
          <w:rFonts w:hint="default" w:ascii="Times New Roman" w:hAnsi="Times New Roman" w:cs="Times New Roman"/>
          <w:b/>
          <w:color w:val="auto"/>
        </w:rPr>
        <w:sectPr>
          <w:pgSz w:w="16838" w:h="11906" w:orient="landscape"/>
          <w:pgMar w:top="1797" w:right="1440" w:bottom="1797" w:left="1440" w:header="851" w:footer="992" w:gutter="0"/>
          <w:pgNumType w:fmt="decimal"/>
          <w:cols w:space="720" w:num="1"/>
          <w:docGrid w:linePitch="312" w:charSpace="0"/>
        </w:sectPr>
      </w:pPr>
    </w:p>
    <w:p>
      <w:pPr>
        <w:pStyle w:val="5"/>
        <w:rPr>
          <w:rFonts w:hint="default" w:ascii="Times New Roman" w:hAnsi="Times New Roman" w:cs="Times New Roman"/>
          <w:color w:val="auto"/>
        </w:rPr>
      </w:pPr>
      <w:bookmarkStart w:id="37" w:name="_Toc7712"/>
      <w:bookmarkStart w:id="38" w:name="_Toc23266458"/>
      <w:bookmarkStart w:id="39" w:name="_Toc25560"/>
      <w:bookmarkStart w:id="40" w:name="_Toc23265847"/>
      <w:bookmarkStart w:id="41" w:name="_Toc23264321"/>
      <w:r>
        <w:rPr>
          <w:rFonts w:hint="default" w:ascii="Times New Roman" w:hAnsi="Times New Roman" w:cs="Times New Roman"/>
          <w:color w:val="auto"/>
        </w:rPr>
        <w:t>3.项目资金来源及支出情况</w:t>
      </w:r>
      <w:bookmarkEnd w:id="37"/>
      <w:bookmarkEnd w:id="38"/>
      <w:bookmarkEnd w:id="39"/>
      <w:bookmarkEnd w:id="40"/>
      <w:bookmarkEnd w:id="41"/>
    </w:p>
    <w:p>
      <w:pPr>
        <w:pStyle w:val="26"/>
        <w:rPr>
          <w:rFonts w:hint="default" w:ascii="Times New Roman" w:hAnsi="Times New Roman" w:cs="Times New Roman"/>
          <w:color w:val="auto"/>
        </w:rPr>
      </w:pPr>
      <w:bookmarkStart w:id="42" w:name="_Toc23264322"/>
      <w:r>
        <w:rPr>
          <w:rFonts w:hint="default" w:ascii="Times New Roman" w:hAnsi="Times New Roman" w:cs="Times New Roman"/>
          <w:color w:val="auto"/>
          <w:lang w:val="en-US" w:eastAsia="zh-CN"/>
        </w:rPr>
        <w:t>2021年，滑县涉农资金项目共安排财政衔接推进乡村振兴补助资金16</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143.21万元，包括中央资金8</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578万元，省级资金2</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219万元，县级资金5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346.21万元。其中，各级资金用于产业发展项目资金规模为9</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127.12万元，占比56.54%。实际到位资金16</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143.21万元，资金到位率为100%。截至评价期结束，累计支出资金15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969.79万元，预算执行率为98.93%。预算执行进度总体较好。</w:t>
      </w:r>
      <w:r>
        <w:rPr>
          <w:rFonts w:hint="default" w:ascii="Times New Roman" w:hAnsi="Times New Roman" w:cs="Times New Roman"/>
          <w:color w:val="auto"/>
        </w:rPr>
        <w:t>具体</w:t>
      </w:r>
      <w:r>
        <w:rPr>
          <w:rFonts w:hint="default" w:ascii="Times New Roman" w:hAnsi="Times New Roman" w:cs="Times New Roman"/>
          <w:color w:val="auto"/>
          <w:lang w:val="en-US" w:eastAsia="zh-CN"/>
        </w:rPr>
        <w:t>各级次资金来源及构成情况如表1-3所示</w:t>
      </w:r>
      <w:r>
        <w:rPr>
          <w:rFonts w:hint="default" w:ascii="Times New Roman" w:hAnsi="Times New Roman" w:cs="Times New Roman"/>
          <w:color w:val="auto"/>
        </w:rPr>
        <w:t>：</w:t>
      </w:r>
      <w:bookmarkEnd w:id="42"/>
    </w:p>
    <w:p>
      <w:pPr>
        <w:pStyle w:val="25"/>
        <w:jc w:val="center"/>
        <w:rPr>
          <w:rFonts w:hint="default" w:ascii="Times New Roman" w:hAnsi="Times New Roman" w:eastAsia="仿宋_GB2312" w:cs="Times New Roman"/>
          <w:b/>
          <w:bCs/>
          <w:color w:val="auto"/>
          <w:kern w:val="0"/>
          <w:sz w:val="24"/>
          <w:szCs w:val="24"/>
          <w:lang w:val="en-US" w:eastAsia="zh-CN" w:bidi="en-US"/>
        </w:rPr>
      </w:pPr>
      <w:r>
        <w:rPr>
          <w:rFonts w:hint="default" w:ascii="Times New Roman" w:hAnsi="Times New Roman" w:eastAsia="仿宋_GB2312" w:cs="Times New Roman"/>
          <w:b/>
          <w:bCs/>
          <w:color w:val="auto"/>
          <w:kern w:val="0"/>
          <w:sz w:val="24"/>
          <w:szCs w:val="24"/>
          <w:lang w:val="en-US" w:eastAsia="zh-CN" w:bidi="en-US"/>
        </w:rPr>
        <w:t>表1-3 滑县2021年度涉农资金来源及构成情况</w:t>
      </w:r>
    </w:p>
    <w:p>
      <w:pPr>
        <w:pStyle w:val="14"/>
        <w:jc w:val="right"/>
        <w:rPr>
          <w:rFonts w:hint="default" w:ascii="Times New Roman" w:hAnsi="Times New Roman" w:eastAsia="仿宋_GB2312" w:cs="Times New Roman"/>
          <w:b/>
          <w:bCs/>
          <w:color w:val="auto"/>
          <w:kern w:val="0"/>
          <w:sz w:val="28"/>
          <w:szCs w:val="28"/>
          <w:lang w:val="en-US" w:eastAsia="zh-CN" w:bidi="en-US"/>
        </w:rPr>
      </w:pPr>
      <w:r>
        <w:rPr>
          <w:rFonts w:hint="default" w:ascii="Times New Roman" w:hAnsi="Times New Roman" w:eastAsia="仿宋_GB2312" w:cs="Times New Roman"/>
          <w:b/>
          <w:bCs/>
          <w:color w:val="auto"/>
          <w:kern w:val="0"/>
          <w:sz w:val="24"/>
          <w:szCs w:val="24"/>
          <w:lang w:val="en-US" w:eastAsia="zh-CN" w:bidi="en-US"/>
        </w:rPr>
        <w:t>单位：万元</w:t>
      </w:r>
    </w:p>
    <w:tbl>
      <w:tblPr>
        <w:tblStyle w:val="1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4278"/>
        <w:gridCol w:w="237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BFBFBF"/>
            <w:vAlign w:val="bottom"/>
          </w:tcPr>
          <w:p>
            <w:pPr>
              <w:widowControl/>
              <w:jc w:val="center"/>
              <w:textAlignment w:val="bottom"/>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资金级次</w:t>
            </w:r>
          </w:p>
        </w:tc>
        <w:tc>
          <w:tcPr>
            <w:tcW w:w="427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资金来源</w:t>
            </w:r>
          </w:p>
        </w:tc>
        <w:tc>
          <w:tcPr>
            <w:tcW w:w="237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资金文号</w:t>
            </w:r>
          </w:p>
        </w:tc>
        <w:tc>
          <w:tcPr>
            <w:tcW w:w="113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资金规模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中央资金</w:t>
            </w: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年中央及省级财政专项扶贫资金（扶贫发展）</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豫财农综〔2020〕40号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7881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年中央财政专项扶贫资金（以工代赈）</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豫财农综〔2020〕41号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年中央财政专项扶贫资金（少数民族发展）</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豫财农综〔2020〕42号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年财政衔接推进乡村振兴补助资金（以工代赈任务）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豫财农综〔2021〕11号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年财政衔接推进乡村振兴补助资金（少数民族发展任务）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豫财农综〔2021〕12号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年中央和省级财政衔接推进乡村振兴补助资金（巩固脱贫攻坚成果和乡村振兴任务）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安财预〔2021〕184号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年中央财政衔接推进乡村振兴补助资金（第二批）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豫财农综〔2021〕28号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小计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auto"/>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rPr>
              <w:t>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省级资金</w:t>
            </w: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年中央及省级财政专项扶贫资金（扶贫发展）</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豫财农综〔2020〕40号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年财政衔接推进乡村振兴补助资金（以工代赈任务）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豫财农综〔2021〕11号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年财政衔接推进乡村振兴补助资金（少数民族发展任务）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豫财农综〔2021〕12号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年省级财政衔接推进乡村振兴补助资金（巩固脱贫攻坚和乡村振兴任务）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豫财农综〔2021〕26号</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仿宋_GB2312" w:cs="Times New Roman"/>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小计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auto"/>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rPr>
              <w:t>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bottom"/>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县级资金</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年县级财政衔接推进乡村振兴补助资金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5126.15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2021</w:t>
            </w:r>
            <w:r>
              <w:rPr>
                <w:rFonts w:hint="default" w:ascii="Times New Roman" w:hAnsi="Times New Roman" w:eastAsia="仿宋_GB2312" w:cs="Times New Roman"/>
                <w:i w:val="0"/>
                <w:iCs w:val="0"/>
                <w:color w:val="auto"/>
                <w:kern w:val="0"/>
                <w:sz w:val="21"/>
                <w:szCs w:val="21"/>
                <w:u w:val="none"/>
                <w:lang w:val="en-US" w:eastAsia="zh-CN"/>
              </w:rPr>
              <w:t>年县级财政衔接推进乡村振兴补助资金（项目管理费）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auto"/>
                <w:sz w:val="21"/>
                <w:szCs w:val="21"/>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小计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auto"/>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rPr>
              <w:t>5346.21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合计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auto"/>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rPr>
              <w:t>16143.21</w:t>
            </w:r>
          </w:p>
        </w:tc>
      </w:tr>
    </w:tbl>
    <w:p>
      <w:pPr>
        <w:pStyle w:val="2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依据项目单位自评情况，抽取的5类项目年初预算安排资金7</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196.</w:t>
      </w:r>
      <w:r>
        <w:rPr>
          <w:rFonts w:hint="eastAsia" w:cs="Times New Roman"/>
          <w:color w:val="auto"/>
          <w:lang w:val="en-US" w:eastAsia="zh-CN"/>
        </w:rPr>
        <w:t>6</w:t>
      </w:r>
      <w:r>
        <w:rPr>
          <w:rFonts w:hint="default" w:ascii="Times New Roman" w:hAnsi="Times New Roman" w:cs="Times New Roman"/>
          <w:color w:val="auto"/>
          <w:lang w:val="en-US" w:eastAsia="zh-CN"/>
        </w:rPr>
        <w:t>4万元，全年实际到位资金7</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165.67万元，已支付金额7</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154.53万元，预算执行率为99.84%。具体抽取各类项目资金安排与使用情况详见表1-4：</w:t>
      </w:r>
    </w:p>
    <w:p>
      <w:pPr>
        <w:pStyle w:val="25"/>
        <w:widowControl w:val="0"/>
        <w:wordWrap/>
        <w:autoSpaceDE w:val="0"/>
        <w:autoSpaceDN w:val="0"/>
        <w:adjustRightInd w:val="0"/>
        <w:snapToGrid/>
        <w:spacing w:line="560" w:lineRule="exact"/>
        <w:jc w:val="center"/>
        <w:textAlignment w:val="auto"/>
        <w:rPr>
          <w:rFonts w:hint="default" w:ascii="Times New Roman" w:hAnsi="Times New Roman" w:eastAsia="仿宋_GB2312" w:cs="Times New Roman"/>
          <w:b/>
          <w:bCs/>
          <w:color w:val="auto"/>
          <w:kern w:val="0"/>
          <w:sz w:val="24"/>
          <w:szCs w:val="24"/>
          <w:lang w:val="en-US" w:eastAsia="zh-CN" w:bidi="en-US"/>
        </w:rPr>
      </w:pPr>
      <w:r>
        <w:rPr>
          <w:rFonts w:hint="default" w:ascii="Times New Roman" w:hAnsi="Times New Roman" w:eastAsia="仿宋_GB2312" w:cs="Times New Roman"/>
          <w:b/>
          <w:bCs/>
          <w:color w:val="auto"/>
          <w:kern w:val="0"/>
          <w:sz w:val="24"/>
          <w:szCs w:val="24"/>
          <w:lang w:val="en-US" w:eastAsia="zh-CN" w:bidi="en-US"/>
        </w:rPr>
        <w:t>表1-4抽取项目资金安排及支出情况表</w:t>
      </w:r>
    </w:p>
    <w:p>
      <w:pPr>
        <w:pStyle w:val="25"/>
        <w:widowControl w:val="0"/>
        <w:wordWrap/>
        <w:autoSpaceDE w:val="0"/>
        <w:autoSpaceDN w:val="0"/>
        <w:adjustRightInd w:val="0"/>
        <w:snapToGrid/>
        <w:spacing w:line="560" w:lineRule="exact"/>
        <w:jc w:val="right"/>
        <w:textAlignment w:val="auto"/>
        <w:rPr>
          <w:rFonts w:hint="default" w:ascii="Times New Roman" w:hAnsi="Times New Roman" w:eastAsia="仿宋_GB2312" w:cs="Times New Roman"/>
          <w:b/>
          <w:bCs/>
          <w:color w:val="auto"/>
          <w:kern w:val="0"/>
          <w:sz w:val="24"/>
          <w:szCs w:val="24"/>
          <w:lang w:val="en-US" w:eastAsia="zh-CN" w:bidi="en-US"/>
        </w:rPr>
      </w:pPr>
      <w:r>
        <w:rPr>
          <w:rFonts w:hint="default" w:ascii="Times New Roman" w:hAnsi="Times New Roman" w:eastAsia="仿宋_GB2312" w:cs="Times New Roman"/>
          <w:b/>
          <w:bCs/>
          <w:color w:val="auto"/>
          <w:kern w:val="0"/>
          <w:sz w:val="24"/>
          <w:szCs w:val="24"/>
          <w:lang w:val="en-US" w:eastAsia="zh-CN" w:bidi="en-US"/>
        </w:rPr>
        <w:t>单位：万元</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3050"/>
        <w:gridCol w:w="1230"/>
        <w:gridCol w:w="1210"/>
        <w:gridCol w:w="1120"/>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jc w:val="center"/>
        </w:trPr>
        <w:tc>
          <w:tcPr>
            <w:tcW w:w="747"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bookmarkStart w:id="43" w:name="_Toc23264323"/>
            <w:bookmarkStart w:id="44" w:name="_Toc23265848"/>
            <w:bookmarkStart w:id="45" w:name="_Toc23266459"/>
            <w:r>
              <w:rPr>
                <w:rFonts w:hint="default" w:ascii="Times New Roman" w:hAnsi="Times New Roman" w:eastAsia="仿宋_GB2312" w:cs="Times New Roman"/>
                <w:b/>
                <w:bCs/>
                <w:i w:val="0"/>
                <w:iCs w:val="0"/>
                <w:color w:val="auto"/>
                <w:kern w:val="0"/>
                <w:sz w:val="21"/>
                <w:szCs w:val="21"/>
                <w:u w:val="none"/>
                <w:lang w:val="en-US" w:eastAsia="zh-CN"/>
              </w:rPr>
              <w:t>序号</w:t>
            </w:r>
          </w:p>
        </w:tc>
        <w:tc>
          <w:tcPr>
            <w:tcW w:w="30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项目名称</w:t>
            </w:r>
          </w:p>
        </w:tc>
        <w:tc>
          <w:tcPr>
            <w:tcW w:w="123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年初预算金额</w:t>
            </w:r>
          </w:p>
        </w:tc>
        <w:tc>
          <w:tcPr>
            <w:tcW w:w="121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全年预算金额</w:t>
            </w:r>
          </w:p>
        </w:tc>
        <w:tc>
          <w:tcPr>
            <w:tcW w:w="112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实际支付金额</w:t>
            </w:r>
          </w:p>
        </w:tc>
        <w:tc>
          <w:tcPr>
            <w:tcW w:w="116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w:t>
            </w:r>
          </w:p>
        </w:tc>
        <w:tc>
          <w:tcPr>
            <w:tcW w:w="3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背街小巷硬化奖补项目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2028.12 </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1976.84 </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1976.32 </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99.97%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w:t>
            </w:r>
          </w:p>
        </w:tc>
        <w:tc>
          <w:tcPr>
            <w:tcW w:w="3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农村生活废水排水项目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2969.32 </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rPr>
              <w:t xml:space="preserve">3028.07 </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3017.45</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w:t>
            </w:r>
          </w:p>
        </w:tc>
        <w:tc>
          <w:tcPr>
            <w:tcW w:w="3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w:t>
            </w:r>
            <w:r>
              <w:rPr>
                <w:rFonts w:hint="default" w:ascii="Times New Roman" w:hAnsi="Times New Roman" w:eastAsia="仿宋_GB2312" w:cs="Times New Roman"/>
                <w:i w:val="0"/>
                <w:iCs w:val="0"/>
                <w:color w:val="auto"/>
                <w:kern w:val="0"/>
                <w:sz w:val="21"/>
                <w:szCs w:val="21"/>
                <w:u w:val="none"/>
                <w:lang w:val="en-US" w:eastAsia="zh-CN"/>
              </w:rPr>
              <w:t>雨露计划</w:t>
            </w:r>
            <w:r>
              <w:rPr>
                <w:rFonts w:hint="default" w:ascii="Times New Roman" w:hAnsi="Times New Roman" w:eastAsia="宋体" w:cs="Times New Roman"/>
                <w:i w:val="0"/>
                <w:iCs w:val="0"/>
                <w:color w:val="auto"/>
                <w:kern w:val="0"/>
                <w:sz w:val="21"/>
                <w:szCs w:val="21"/>
                <w:u w:val="none"/>
                <w:lang w:val="en-US" w:eastAsia="zh-CN"/>
              </w:rPr>
              <w:t>”</w:t>
            </w:r>
            <w:r>
              <w:rPr>
                <w:rFonts w:hint="default" w:ascii="Times New Roman" w:hAnsi="Times New Roman" w:eastAsia="仿宋_GB2312" w:cs="Times New Roman"/>
                <w:i w:val="0"/>
                <w:iCs w:val="0"/>
                <w:color w:val="auto"/>
                <w:kern w:val="0"/>
                <w:sz w:val="21"/>
                <w:szCs w:val="21"/>
                <w:u w:val="none"/>
                <w:lang w:val="en-US" w:eastAsia="zh-CN"/>
              </w:rPr>
              <w:t>职业教育助学补助</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532.50 </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532.50 </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532.50 </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4</w:t>
            </w:r>
          </w:p>
        </w:tc>
        <w:tc>
          <w:tcPr>
            <w:tcW w:w="3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村集体经济发展滑丰智能化种子加工产业项目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1240.00 </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1240.00 </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1240</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5</w:t>
            </w:r>
          </w:p>
        </w:tc>
        <w:tc>
          <w:tcPr>
            <w:tcW w:w="3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产业设施配套项目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426.70 </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388.26 </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388.26</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7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rPr>
              <w:t xml:space="preserve">7196.64 </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rPr>
              <w:t xml:space="preserve">7165.67 </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rPr>
              <w:t xml:space="preserve">7154.53 </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rPr>
              <w:t>99.84%</w:t>
            </w:r>
          </w:p>
        </w:tc>
      </w:tr>
      <w:bookmarkEnd w:id="43"/>
      <w:bookmarkEnd w:id="44"/>
      <w:bookmarkEnd w:id="45"/>
    </w:tbl>
    <w:p>
      <w:pPr>
        <w:pStyle w:val="26"/>
        <w:ind w:firstLine="562"/>
        <w:outlineLvl w:val="2"/>
        <w:rPr>
          <w:rFonts w:hint="default" w:ascii="Times New Roman" w:hAnsi="Times New Roman" w:cs="Times New Roman"/>
          <w:b/>
          <w:color w:val="auto"/>
        </w:rPr>
      </w:pPr>
      <w:bookmarkStart w:id="46" w:name="_Toc23264898"/>
      <w:r>
        <w:rPr>
          <w:rFonts w:hint="default" w:ascii="Times New Roman" w:hAnsi="Times New Roman" w:cs="Times New Roman"/>
          <w:b/>
          <w:color w:val="auto"/>
        </w:rPr>
        <w:t>4.项目组织管理</w:t>
      </w:r>
      <w:bookmarkEnd w:id="46"/>
    </w:p>
    <w:p>
      <w:pPr>
        <w:pStyle w:val="28"/>
        <w:ind w:firstLine="562"/>
        <w:rPr>
          <w:rFonts w:hint="default" w:ascii="Times New Roman" w:hAnsi="Times New Roman" w:cs="Times New Roman"/>
          <w:color w:val="auto"/>
        </w:rPr>
      </w:pPr>
      <w:bookmarkStart w:id="47" w:name="_Toc23264899"/>
      <w:r>
        <w:rPr>
          <w:rFonts w:hint="default" w:ascii="Times New Roman" w:hAnsi="Times New Roman" w:cs="Times New Roman"/>
          <w:color w:val="auto"/>
        </w:rPr>
        <w:t>（1）组织管理机构</w:t>
      </w:r>
      <w:bookmarkEnd w:id="47"/>
    </w:p>
    <w:p>
      <w:pPr>
        <w:pStyle w:val="26"/>
        <w:rPr>
          <w:rFonts w:hint="default" w:ascii="Times New Roman" w:hAnsi="Times New Roman" w:cs="Times New Roman"/>
          <w:color w:val="auto"/>
          <w:lang w:eastAsia="zh-CN"/>
        </w:rPr>
      </w:pPr>
      <w:bookmarkStart w:id="48" w:name="_Toc23264904"/>
      <w:r>
        <w:rPr>
          <w:rFonts w:hint="default" w:ascii="Times New Roman" w:hAnsi="Times New Roman" w:cs="Times New Roman"/>
          <w:b/>
          <w:bCs/>
          <w:color w:val="auto"/>
        </w:rPr>
        <w:t>财政部门</w:t>
      </w:r>
      <w:r>
        <w:rPr>
          <w:rFonts w:hint="default" w:ascii="Times New Roman" w:hAnsi="Times New Roman" w:cs="Times New Roman"/>
          <w:b/>
          <w:bCs/>
          <w:color w:val="auto"/>
          <w:lang w:eastAsia="zh-CN"/>
        </w:rPr>
        <w:t>：</w:t>
      </w:r>
      <w:r>
        <w:rPr>
          <w:rFonts w:hint="default" w:ascii="Times New Roman" w:hAnsi="Times New Roman" w:cs="Times New Roman"/>
          <w:color w:val="auto"/>
          <w:lang w:eastAsia="zh-CN"/>
        </w:rPr>
        <w:t>按乡村振兴部门会同业务主管部门提出的资金分配意见或方案，及时按规定的规模、时间下达或支付资金；按照政府采购法、实施条例和有关规定履行政府采购监督管理职责；指导乡村振兴、农业农村、交通、住建等业务主管部门加强资金监管和绩效管理</w:t>
      </w:r>
      <w:r>
        <w:rPr>
          <w:rFonts w:hint="eastAsia" w:cs="Times New Roman"/>
          <w:color w:val="auto"/>
          <w:lang w:val="en-US" w:eastAsia="zh-CN"/>
        </w:rPr>
        <w:t>。</w:t>
      </w:r>
    </w:p>
    <w:p>
      <w:pPr>
        <w:pStyle w:val="26"/>
        <w:rPr>
          <w:rFonts w:hint="default" w:ascii="Times New Roman" w:hAnsi="Times New Roman" w:cs="Times New Roman"/>
          <w:color w:val="auto"/>
          <w:lang w:eastAsia="zh-CN"/>
        </w:rPr>
      </w:pPr>
      <w:r>
        <w:rPr>
          <w:rFonts w:hint="default" w:ascii="Times New Roman" w:hAnsi="Times New Roman" w:cs="Times New Roman"/>
          <w:b/>
          <w:bCs/>
          <w:color w:val="auto"/>
          <w:lang w:eastAsia="zh-CN"/>
        </w:rPr>
        <w:t>乡村振兴部门：</w:t>
      </w:r>
      <w:r>
        <w:rPr>
          <w:rFonts w:hint="default" w:ascii="Times New Roman" w:hAnsi="Times New Roman" w:cs="Times New Roman"/>
          <w:color w:val="auto"/>
          <w:lang w:eastAsia="zh-CN"/>
        </w:rPr>
        <w:t>负责指导有关单位和部门精准识别脱贫户和边缘易致贫户并按规定建设巩固拓展脱贫攻坚成果和乡村振兴项目库；按照有关规定和要求及时提出资金分配方案；督促项目实施单位按计划和实施方案要求完成项目建设内容。</w:t>
      </w:r>
    </w:p>
    <w:p>
      <w:pPr>
        <w:pStyle w:val="26"/>
        <w:rPr>
          <w:rFonts w:hint="default" w:ascii="Times New Roman" w:hAnsi="Times New Roman" w:cs="Times New Roman"/>
          <w:color w:val="auto"/>
          <w:lang w:eastAsia="zh-CN"/>
        </w:rPr>
      </w:pPr>
      <w:r>
        <w:rPr>
          <w:rFonts w:hint="default" w:ascii="Times New Roman" w:hAnsi="Times New Roman" w:cs="Times New Roman"/>
          <w:b/>
          <w:bCs/>
          <w:color w:val="auto"/>
          <w:lang w:eastAsia="zh-CN"/>
        </w:rPr>
        <w:t>农业农村、交通、住建等业务主管部门：</w:t>
      </w:r>
      <w:r>
        <w:rPr>
          <w:rFonts w:hint="default" w:ascii="Times New Roman" w:hAnsi="Times New Roman" w:cs="Times New Roman"/>
          <w:color w:val="auto"/>
          <w:lang w:eastAsia="zh-CN"/>
        </w:rPr>
        <w:t>按照部门规划及时提出资金分配建议方案；负责资金和项目使用管理、绩效管理、监督管理等工作，按照权责对等原则落实监管责任。</w:t>
      </w:r>
    </w:p>
    <w:p>
      <w:pPr>
        <w:pStyle w:val="26"/>
        <w:rPr>
          <w:rFonts w:hint="default" w:ascii="Times New Roman" w:hAnsi="Times New Roman" w:cs="Times New Roman"/>
          <w:color w:val="auto"/>
          <w:lang w:eastAsia="zh-CN"/>
        </w:rPr>
      </w:pPr>
      <w:r>
        <w:rPr>
          <w:rFonts w:hint="default" w:ascii="Times New Roman" w:hAnsi="Times New Roman" w:cs="Times New Roman"/>
          <w:b/>
          <w:bCs/>
          <w:color w:val="auto"/>
          <w:lang w:eastAsia="zh-CN"/>
        </w:rPr>
        <w:t>各乡镇政府、街道办事处：</w:t>
      </w:r>
      <w:r>
        <w:rPr>
          <w:rFonts w:hint="default" w:ascii="Times New Roman" w:hAnsi="Times New Roman" w:cs="Times New Roman"/>
          <w:color w:val="auto"/>
          <w:lang w:eastAsia="zh-CN"/>
        </w:rPr>
        <w:t>负责精准识别脱贫户和边缘易致贫户；严格执行国家、</w:t>
      </w:r>
      <w:r>
        <w:rPr>
          <w:rFonts w:hint="default" w:ascii="Times New Roman" w:hAnsi="Times New Roman" w:cs="Times New Roman"/>
          <w:color w:val="auto"/>
          <w:lang w:val="en-US" w:eastAsia="zh-CN"/>
        </w:rPr>
        <w:t>省、市确定的</w:t>
      </w:r>
      <w:r>
        <w:rPr>
          <w:rFonts w:hint="default" w:ascii="Times New Roman" w:hAnsi="Times New Roman" w:cs="Times New Roman"/>
          <w:color w:val="auto"/>
          <w:lang w:eastAsia="zh-CN"/>
        </w:rPr>
        <w:t>工程建设标准和定额；严格按照有关规定报备巩固拓展脱贫攻坚成果实施计划调整方案；负责巩固拓展脱贫攻坚成果同乡村振兴有效衔接资金使用管理工作并按规定及时审核报账资料的真实性和合规性；负责项目的论证、实施等工作；负责项目的前期准备及日常监督检查、竣工验收等工作；督促项目实施单位按计划和实施方案要求完成项目建设内容。</w:t>
      </w:r>
    </w:p>
    <w:p>
      <w:pPr>
        <w:pStyle w:val="26"/>
        <w:rPr>
          <w:rFonts w:hint="default" w:ascii="Times New Roman" w:hAnsi="Times New Roman" w:cs="Times New Roman"/>
          <w:color w:val="auto"/>
          <w:lang w:eastAsia="zh-CN"/>
        </w:rPr>
      </w:pPr>
      <w:r>
        <w:rPr>
          <w:rFonts w:hint="default" w:ascii="Times New Roman" w:hAnsi="Times New Roman" w:cs="Times New Roman"/>
          <w:b/>
          <w:bCs/>
          <w:color w:val="auto"/>
          <w:lang w:eastAsia="zh-CN"/>
        </w:rPr>
        <w:t>项目实施单位：</w:t>
      </w:r>
      <w:r>
        <w:rPr>
          <w:rFonts w:hint="default" w:ascii="Times New Roman" w:hAnsi="Times New Roman" w:cs="Times New Roman"/>
          <w:color w:val="auto"/>
          <w:lang w:eastAsia="zh-CN"/>
        </w:rPr>
        <w:t>按上级项目指南和有关文件向项目主管部门提交衔接资金申报材料，并对申报材料的真实性、完整性、合规性负责；严格按照政府采购和招投标有关规定实施政府采购和招投标；根据下达的资金项目计划组织项目实施，在项目实施过程中，督促施工单位根据项目建设合同和设计要求进行施工并严格执行有关行业规范、建设标准；负责建立巩固拓展脱贫攻坚成果同乡村振兴有效衔接项目资金专账及会计核算工作；加强资金使用管理，按规定用途和项目实施方案要求使用资金；负责项目资金报账，对提交报账资料的真实性和合规性负责；负责管理项目档案；充分做好项目前期准备工作并积极组织实施，及时申请业务主管部门及乡村振兴部门验收项目，完善项目竣工决算工作。配合主管部门做好项目竣工验收、绩效考评等工作。</w:t>
      </w:r>
    </w:p>
    <w:bookmarkEnd w:id="48"/>
    <w:p>
      <w:pPr>
        <w:pStyle w:val="26"/>
        <w:ind w:firstLine="562"/>
        <w:rPr>
          <w:rFonts w:hint="default" w:ascii="Times New Roman" w:hAnsi="Times New Roman" w:cs="Times New Roman"/>
          <w:b/>
          <w:color w:val="auto"/>
        </w:rPr>
      </w:pPr>
      <w:bookmarkStart w:id="49" w:name="_Toc23264905"/>
      <w:r>
        <w:rPr>
          <w:rFonts w:hint="default" w:ascii="Times New Roman" w:hAnsi="Times New Roman" w:cs="Times New Roman"/>
          <w:b/>
          <w:color w:val="auto"/>
        </w:rPr>
        <w:t>（2）项目</w:t>
      </w:r>
      <w:r>
        <w:rPr>
          <w:rFonts w:hint="default" w:ascii="Times New Roman" w:hAnsi="Times New Roman" w:cs="Times New Roman"/>
          <w:b/>
          <w:color w:val="auto"/>
          <w:lang w:val="en-US" w:eastAsia="zh-CN"/>
        </w:rPr>
        <w:t>资金</w:t>
      </w:r>
      <w:r>
        <w:rPr>
          <w:rFonts w:hint="default" w:ascii="Times New Roman" w:hAnsi="Times New Roman" w:cs="Times New Roman"/>
          <w:b/>
          <w:color w:val="auto"/>
        </w:rPr>
        <w:t>管理情况</w:t>
      </w:r>
      <w:bookmarkEnd w:id="49"/>
    </w:p>
    <w:p>
      <w:pPr>
        <w:pStyle w:val="26"/>
        <w:rPr>
          <w:rFonts w:hint="default" w:ascii="Times New Roman" w:hAnsi="Times New Roman" w:cs="Times New Roman"/>
          <w:color w:val="auto"/>
        </w:rPr>
      </w:pPr>
      <w:bookmarkStart w:id="50" w:name="_Toc23261593"/>
      <w:bookmarkStart w:id="51" w:name="_Toc23264907"/>
      <w:r>
        <w:rPr>
          <w:rFonts w:hint="default" w:ascii="Times New Roman" w:hAnsi="Times New Roman" w:cs="Times New Roman"/>
          <w:b/>
          <w:bCs/>
          <w:color w:val="auto"/>
          <w:lang w:val="en-US" w:eastAsia="zh-CN"/>
        </w:rPr>
        <w:t>①统筹程序。</w:t>
      </w:r>
      <w:r>
        <w:rPr>
          <w:rFonts w:hint="default" w:ascii="Times New Roman" w:hAnsi="Times New Roman" w:cs="Times New Roman"/>
          <w:color w:val="auto"/>
          <w:lang w:val="en-US" w:eastAsia="zh-CN"/>
        </w:rPr>
        <w:t xml:space="preserve">县级财政部门收到上级下达纳入整合范围的资金文件后，及时与项目主管部门沟通，并报请主管领导审批。财政部门按照审批意见将统筹整合资金额度正式通知县级乡村振兴部门，按照下达资金来源和资金性质由县级乡村振兴部门对接相应的巩固拓展脱贫攻坚成果项目。 </w:t>
      </w:r>
    </w:p>
    <w:p>
      <w:pPr>
        <w:pStyle w:val="26"/>
        <w:rPr>
          <w:rFonts w:hint="default" w:ascii="Times New Roman" w:hAnsi="Times New Roman" w:cs="Times New Roman"/>
          <w:color w:val="auto"/>
        </w:rPr>
      </w:pPr>
      <w:r>
        <w:rPr>
          <w:rFonts w:hint="default" w:ascii="Times New Roman" w:hAnsi="Times New Roman" w:cs="Times New Roman"/>
          <w:b/>
          <w:bCs/>
          <w:color w:val="auto"/>
          <w:lang w:val="en-US" w:eastAsia="zh-CN"/>
        </w:rPr>
        <w:t>②拨付程序。</w:t>
      </w:r>
      <w:r>
        <w:rPr>
          <w:rFonts w:hint="default" w:ascii="Times New Roman" w:hAnsi="Times New Roman" w:cs="Times New Roman"/>
          <w:color w:val="auto"/>
          <w:lang w:val="en-US" w:eastAsia="zh-CN"/>
        </w:rPr>
        <w:t xml:space="preserve">项目实施单位依据巩固拓展脱贫攻坚成果规划实施项目后，及时向业务主管部门及乡村振兴部门提交资金使用计划、时间、规模。业务主管部门及乡村振兴部门对项目实施单位提交的资金使用计划、时间、规模等相关材料的真实性、完整性、合规性进行审核并签署意见后及时向财政部门提出巩固拓展脱贫攻坚成果同乡村振兴有效衔接资金分配方案，财政部门依据业务主管部门及乡村振兴部门提供的资金分配方案的规模、时间下达资金。 </w:t>
      </w:r>
    </w:p>
    <w:p>
      <w:pPr>
        <w:pStyle w:val="26"/>
        <w:rPr>
          <w:rFonts w:hint="default" w:ascii="Times New Roman" w:hAnsi="Times New Roman" w:cs="Times New Roman"/>
          <w:color w:val="auto"/>
        </w:rPr>
      </w:pPr>
      <w:r>
        <w:rPr>
          <w:rFonts w:hint="default" w:ascii="Times New Roman" w:hAnsi="Times New Roman" w:cs="Times New Roman"/>
          <w:b/>
          <w:bCs/>
          <w:color w:val="auto"/>
          <w:lang w:val="en-US" w:eastAsia="zh-CN"/>
        </w:rPr>
        <w:t>③报账程序。工程类项目：</w:t>
      </w:r>
      <w:r>
        <w:rPr>
          <w:rFonts w:hint="default" w:ascii="Times New Roman" w:hAnsi="Times New Roman" w:cs="Times New Roman"/>
          <w:color w:val="auto"/>
          <w:lang w:val="en-US" w:eastAsia="zh-CN"/>
        </w:rPr>
        <w:t xml:space="preserve">项目实施单位依据巩固拓展脱贫攻坚成果规划实施脱贫项目，按照政府采购和招投标有关规定确定施工单位，签订项目建设（施工）合同。项目实施单位在项目完成后组织初验，有关部门组织相关单位或委托第三方进行验收并出具验收报告。项目主管部门对项目实施单位提交的相关资料的真实性、完整性、合规性进行审核并签署意见，及时向财政部门提出用款申请，财政部门审核项目建设单位的用款申请后，通过国库单一账户体系，直接将资金支付给施工单位。 </w:t>
      </w:r>
    </w:p>
    <w:p>
      <w:pPr>
        <w:pStyle w:val="26"/>
        <w:rPr>
          <w:rFonts w:hint="default" w:ascii="Times New Roman" w:hAnsi="Times New Roman" w:cs="Times New Roman"/>
          <w:color w:val="auto"/>
        </w:rPr>
      </w:pPr>
      <w:r>
        <w:rPr>
          <w:rFonts w:hint="default" w:ascii="Times New Roman" w:hAnsi="Times New Roman" w:cs="Times New Roman"/>
          <w:b/>
          <w:bCs/>
          <w:color w:val="auto"/>
          <w:lang w:val="en-US" w:eastAsia="zh-CN"/>
        </w:rPr>
        <w:t>个人补贴类项目：</w:t>
      </w:r>
      <w:r>
        <w:rPr>
          <w:rFonts w:hint="default" w:ascii="Times New Roman" w:hAnsi="Times New Roman" w:cs="Times New Roman"/>
          <w:color w:val="auto"/>
          <w:lang w:val="en-US" w:eastAsia="zh-CN"/>
        </w:rPr>
        <w:t>乡（镇）人民政府、街道办事处，产业集聚区管委会及相关部门审核补贴对象相关信息（含精准识别贫困户身份、姓名、身份证号、银行卡号），根据国家和省有关政策规定的发放标准、发放金额等内容，向财政部门提出资金申请，财政部门应及时通过国库单一账户体系和财政“一卡通”系统，直接将补助资金发放到补贴对象个人账户，严禁以现金形式发放。</w:t>
      </w:r>
    </w:p>
    <w:bookmarkEnd w:id="50"/>
    <w:bookmarkEnd w:id="51"/>
    <w:p>
      <w:pPr>
        <w:pStyle w:val="27"/>
        <w:rPr>
          <w:rFonts w:hint="default" w:ascii="Times New Roman" w:hAnsi="Times New Roman" w:cs="Times New Roman"/>
          <w:color w:val="auto"/>
          <w:highlight w:val="none"/>
        </w:rPr>
      </w:pPr>
      <w:bookmarkStart w:id="52" w:name="_Toc23266423"/>
      <w:bookmarkStart w:id="53" w:name="_Toc23264908"/>
      <w:bookmarkStart w:id="54" w:name="_Toc8804"/>
      <w:r>
        <w:rPr>
          <w:rFonts w:hint="default" w:ascii="Times New Roman" w:hAnsi="Times New Roman" w:cs="Times New Roman"/>
          <w:color w:val="auto"/>
          <w:highlight w:val="none"/>
        </w:rPr>
        <w:t>（二）项目绩效目标</w:t>
      </w:r>
      <w:bookmarkEnd w:id="52"/>
      <w:bookmarkEnd w:id="53"/>
      <w:bookmarkEnd w:id="54"/>
    </w:p>
    <w:p>
      <w:pPr>
        <w:pStyle w:val="5"/>
        <w:rPr>
          <w:rFonts w:hint="default" w:ascii="Times New Roman" w:hAnsi="Times New Roman" w:cs="Times New Roman"/>
          <w:color w:val="auto"/>
        </w:rPr>
      </w:pPr>
      <w:bookmarkStart w:id="55" w:name="_Toc23264909"/>
      <w:bookmarkStart w:id="56" w:name="_Toc23267035"/>
      <w:bookmarkStart w:id="57" w:name="_Toc23266424"/>
      <w:bookmarkStart w:id="58" w:name="_Toc22591"/>
      <w:bookmarkStart w:id="59" w:name="_Toc32696"/>
      <w:r>
        <w:rPr>
          <w:rFonts w:hint="default" w:ascii="Times New Roman" w:hAnsi="Times New Roman" w:cs="Times New Roman"/>
          <w:color w:val="auto"/>
        </w:rPr>
        <w:t>1.总体绩效目标</w:t>
      </w:r>
      <w:bookmarkEnd w:id="55"/>
      <w:bookmarkEnd w:id="56"/>
      <w:bookmarkEnd w:id="57"/>
      <w:bookmarkEnd w:id="58"/>
      <w:bookmarkEnd w:id="59"/>
    </w:p>
    <w:p>
      <w:pPr>
        <w:pStyle w:val="26"/>
        <w:rPr>
          <w:rFonts w:hint="default" w:ascii="Times New Roman" w:hAnsi="Times New Roman" w:cs="Times New Roman"/>
          <w:color w:val="auto"/>
        </w:rPr>
      </w:pPr>
      <w:bookmarkStart w:id="60" w:name="_Toc11910"/>
      <w:bookmarkStart w:id="61" w:name="_Toc23267036"/>
      <w:bookmarkStart w:id="62" w:name="_Toc23266425"/>
      <w:bookmarkStart w:id="63" w:name="_Toc23264910"/>
      <w:bookmarkStart w:id="64" w:name="_Toc6099"/>
      <w:r>
        <w:rPr>
          <w:rFonts w:hint="default" w:ascii="Times New Roman" w:hAnsi="Times New Roman" w:cs="Times New Roman"/>
          <w:color w:val="auto"/>
        </w:rPr>
        <w:t>以习近平新时代中国特色社会主义思想为指导，深入贯彻党的十九大和十九届二中、三中、四中、五中全会精神，认真落实习近平总书记关于河南工作的重要讲话和指示批示精神，以省持续推进减贫工作衔接试点县为契机，不断创新思路和模式，先行先试，持续巩固拓展脱贫攻坚成果，逐步完善农村低收入人口帮扶机制，进一步提高乡村产业质量效益，促进低收入人口持续增收，提升农村基础设施和基本公共服务水平，推进农村生态环境持续改善，为全县巩固拓展脱贫攻坚成果与乡村振兴衔接开好局、起好步。</w:t>
      </w:r>
    </w:p>
    <w:p>
      <w:pPr>
        <w:pStyle w:val="5"/>
        <w:rPr>
          <w:rFonts w:hint="default" w:ascii="Times New Roman" w:hAnsi="Times New Roman" w:cs="Times New Roman"/>
          <w:color w:val="auto"/>
        </w:rPr>
      </w:pPr>
      <w:r>
        <w:rPr>
          <w:rFonts w:hint="default" w:ascii="Times New Roman" w:hAnsi="Times New Roman" w:cs="Times New Roman"/>
          <w:color w:val="auto"/>
        </w:rPr>
        <w:t>2.年度绩效目标</w:t>
      </w:r>
      <w:bookmarkEnd w:id="60"/>
      <w:bookmarkEnd w:id="61"/>
      <w:bookmarkEnd w:id="62"/>
      <w:bookmarkEnd w:id="63"/>
      <w:bookmarkEnd w:id="64"/>
      <w:r>
        <w:rPr>
          <w:rFonts w:hint="default" w:ascii="Times New Roman" w:hAnsi="Times New Roman" w:cs="Times New Roman"/>
          <w:color w:val="auto"/>
        </w:rPr>
        <w:tab/>
      </w:r>
    </w:p>
    <w:p>
      <w:pPr>
        <w:pStyle w:val="26"/>
        <w:rPr>
          <w:rFonts w:hint="default" w:ascii="Times New Roman" w:hAnsi="Times New Roman" w:cs="Times New Roman"/>
          <w:color w:val="auto"/>
        </w:rPr>
      </w:pPr>
      <w:r>
        <w:rPr>
          <w:rFonts w:hint="default" w:ascii="Times New Roman" w:hAnsi="Times New Roman" w:cs="Times New Roman"/>
          <w:color w:val="auto"/>
        </w:rPr>
        <w:t>全面贯彻落实国家和</w:t>
      </w:r>
      <w:r>
        <w:rPr>
          <w:rFonts w:hint="default" w:ascii="Times New Roman" w:hAnsi="Times New Roman" w:cs="Times New Roman"/>
          <w:color w:val="auto"/>
          <w:lang w:eastAsia="zh-CN"/>
        </w:rPr>
        <w:t>全省</w:t>
      </w:r>
      <w:r>
        <w:rPr>
          <w:rFonts w:hint="default" w:ascii="Times New Roman" w:hAnsi="Times New Roman" w:cs="Times New Roman"/>
          <w:color w:val="auto"/>
        </w:rPr>
        <w:t>巩固脱贫攻坚成果同乡村振兴有效衔接总体部署，优先支持产业发展，促进产业提质增效，带动脱贫人口就业增收，提高脱贫群众参与度，增强带动持续性，通过强力推进2021年巩固拓展脱贫攻坚成果和乡村振兴项目实施，切实带动符合条件的脱贫户和监测对象稳定增收，逐步建立持续增收、快步小康长效机制，为实现同全国一道步入全面小康社会伟大目标奠定坚实基础。</w:t>
      </w:r>
    </w:p>
    <w:p>
      <w:pPr>
        <w:pStyle w:val="3"/>
        <w:ind w:firstLine="640"/>
        <w:rPr>
          <w:rFonts w:hint="default" w:ascii="Times New Roman" w:hAnsi="Times New Roman" w:cs="Times New Roman"/>
          <w:b w:val="0"/>
          <w:color w:val="auto"/>
          <w:szCs w:val="32"/>
        </w:rPr>
      </w:pPr>
      <w:bookmarkStart w:id="65" w:name="_Toc23264911"/>
      <w:bookmarkStart w:id="66" w:name="_Toc23266426"/>
      <w:bookmarkStart w:id="67" w:name="_Toc31057"/>
      <w:r>
        <w:rPr>
          <w:rFonts w:hint="default" w:ascii="Times New Roman" w:hAnsi="Times New Roman" w:cs="Times New Roman"/>
          <w:b w:val="0"/>
          <w:color w:val="auto"/>
          <w:szCs w:val="32"/>
        </w:rPr>
        <w:t>二、绩效评价开展情况</w:t>
      </w:r>
      <w:bookmarkEnd w:id="65"/>
      <w:bookmarkEnd w:id="66"/>
      <w:bookmarkEnd w:id="67"/>
    </w:p>
    <w:p>
      <w:pPr>
        <w:pStyle w:val="27"/>
        <w:ind w:firstLine="562"/>
        <w:rPr>
          <w:rFonts w:hint="default" w:ascii="Times New Roman" w:hAnsi="Times New Roman" w:cs="Times New Roman"/>
          <w:color w:val="auto"/>
        </w:rPr>
      </w:pPr>
      <w:bookmarkStart w:id="68" w:name="_Toc23264912"/>
      <w:bookmarkStart w:id="69" w:name="_Toc30456"/>
      <w:bookmarkStart w:id="70" w:name="_Toc23266427"/>
      <w:r>
        <w:rPr>
          <w:rFonts w:hint="default" w:ascii="Times New Roman" w:hAnsi="Times New Roman" w:cs="Times New Roman"/>
          <w:color w:val="auto"/>
        </w:rPr>
        <w:t>（一）绩效评价目的</w:t>
      </w:r>
      <w:bookmarkEnd w:id="68"/>
      <w:bookmarkEnd w:id="69"/>
      <w:bookmarkEnd w:id="70"/>
    </w:p>
    <w:p>
      <w:pPr>
        <w:pStyle w:val="26"/>
        <w:rPr>
          <w:rFonts w:hint="default" w:ascii="Times New Roman" w:hAnsi="Times New Roman" w:cs="Times New Roman"/>
          <w:color w:val="auto"/>
        </w:rPr>
      </w:pPr>
      <w:r>
        <w:rPr>
          <w:rFonts w:hint="default" w:ascii="Times New Roman" w:hAnsi="Times New Roman" w:cs="Times New Roman"/>
          <w:color w:val="auto"/>
        </w:rPr>
        <w:t>本次绩效评价旨在了解20</w:t>
      </w:r>
      <w:r>
        <w:rPr>
          <w:rFonts w:hint="default" w:ascii="Times New Roman" w:hAnsi="Times New Roman" w:cs="Times New Roman"/>
          <w:color w:val="auto"/>
          <w:lang w:val="en-US" w:eastAsia="zh-CN"/>
        </w:rPr>
        <w:t>21</w:t>
      </w:r>
      <w:r>
        <w:rPr>
          <w:rFonts w:hint="default" w:ascii="Times New Roman" w:hAnsi="Times New Roman" w:cs="Times New Roman"/>
          <w:color w:val="auto"/>
        </w:rPr>
        <w:t>年</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财政衔接推进乡村振兴补助资金</w:t>
      </w:r>
      <w:r>
        <w:rPr>
          <w:rFonts w:hint="default" w:ascii="Times New Roman" w:hAnsi="Times New Roman" w:cs="Times New Roman"/>
          <w:color w:val="auto"/>
        </w:rPr>
        <w:t>投入、项目开展和绩效达成情况，检查项目实施各环节的合规性与合理性，总结</w:t>
      </w:r>
      <w:r>
        <w:rPr>
          <w:rFonts w:hint="default" w:ascii="Times New Roman" w:hAnsi="Times New Roman" w:cs="Times New Roman"/>
          <w:color w:val="auto"/>
          <w:lang w:val="en-US" w:eastAsia="zh-CN"/>
        </w:rPr>
        <w:t>滑县</w:t>
      </w:r>
      <w:r>
        <w:rPr>
          <w:rFonts w:hint="default" w:ascii="Times New Roman" w:hAnsi="Times New Roman" w:cs="Times New Roman"/>
          <w:color w:val="auto"/>
        </w:rPr>
        <w:t>巩固拓展脱贫攻坚成果</w:t>
      </w:r>
      <w:r>
        <w:rPr>
          <w:rFonts w:hint="default" w:ascii="Times New Roman" w:hAnsi="Times New Roman" w:cs="Times New Roman"/>
          <w:color w:val="auto"/>
          <w:lang w:val="en-US" w:eastAsia="zh-CN"/>
        </w:rPr>
        <w:t>和乡村振兴</w:t>
      </w:r>
      <w:r>
        <w:rPr>
          <w:rFonts w:hint="default" w:ascii="Times New Roman" w:hAnsi="Times New Roman" w:cs="Times New Roman"/>
          <w:color w:val="auto"/>
        </w:rPr>
        <w:t>工作开展中的成绩与经验，发现项目实施和资金管理中的问题与不足，并提出建设性的改进建议，进一步加强财政专项资金管理，提高财政资金管理及使用的经济性、效益性和效率性。</w:t>
      </w:r>
    </w:p>
    <w:p>
      <w:pPr>
        <w:pStyle w:val="27"/>
        <w:ind w:firstLine="562"/>
        <w:rPr>
          <w:rFonts w:hint="default" w:ascii="Times New Roman" w:hAnsi="Times New Roman" w:cs="Times New Roman"/>
          <w:color w:val="auto"/>
        </w:rPr>
      </w:pPr>
      <w:bookmarkStart w:id="71" w:name="_Toc23266428"/>
      <w:bookmarkStart w:id="72" w:name="_Toc23264913"/>
      <w:bookmarkStart w:id="73" w:name="_Toc19308"/>
      <w:r>
        <w:rPr>
          <w:rFonts w:hint="default" w:ascii="Times New Roman" w:hAnsi="Times New Roman" w:cs="Times New Roman"/>
          <w:color w:val="auto"/>
        </w:rPr>
        <w:t>（二）绩效评价原则与方法</w:t>
      </w:r>
      <w:bookmarkEnd w:id="71"/>
      <w:bookmarkEnd w:id="72"/>
      <w:bookmarkEnd w:id="73"/>
    </w:p>
    <w:p>
      <w:pPr>
        <w:pStyle w:val="26"/>
        <w:rPr>
          <w:rFonts w:hint="default" w:ascii="Times New Roman" w:hAnsi="Times New Roman" w:cs="Times New Roman"/>
          <w:color w:val="auto"/>
          <w:lang w:val="en-US" w:eastAsia="zh-CN"/>
        </w:rPr>
      </w:pPr>
      <w:bookmarkStart w:id="74" w:name="_Toc21781507"/>
      <w:r>
        <w:rPr>
          <w:rFonts w:hint="default" w:ascii="Times New Roman" w:hAnsi="Times New Roman" w:cs="Times New Roman"/>
          <w:color w:val="auto"/>
          <w:lang w:val="en-US" w:eastAsia="zh-CN"/>
        </w:rPr>
        <w:t>此次评价</w:t>
      </w:r>
      <w:r>
        <w:rPr>
          <w:rFonts w:hint="default" w:ascii="Times New Roman" w:hAnsi="Times New Roman" w:cs="Times New Roman"/>
          <w:color w:val="auto"/>
        </w:rPr>
        <w:t>坚持定量优先、定性与定量相结合的</w:t>
      </w:r>
      <w:r>
        <w:rPr>
          <w:rFonts w:hint="default" w:ascii="Times New Roman" w:hAnsi="Times New Roman" w:cs="Times New Roman"/>
          <w:color w:val="auto"/>
          <w:lang w:val="en-US" w:eastAsia="zh-CN"/>
        </w:rPr>
        <w:t>评价</w:t>
      </w:r>
      <w:r>
        <w:rPr>
          <w:rFonts w:hint="default" w:ascii="Times New Roman" w:hAnsi="Times New Roman" w:cs="Times New Roman"/>
          <w:color w:val="auto"/>
        </w:rPr>
        <w:t>方式，始终遵循科学规范、全面系统、公正客观、合规合法、绩效相关的基本原则。</w:t>
      </w:r>
      <w:r>
        <w:rPr>
          <w:rFonts w:hint="default" w:ascii="Times New Roman" w:hAnsi="Times New Roman" w:cs="Times New Roman"/>
          <w:color w:val="auto"/>
          <w:lang w:val="en-US" w:eastAsia="zh-CN"/>
        </w:rPr>
        <w:t>在</w:t>
      </w:r>
      <w:r>
        <w:rPr>
          <w:rFonts w:hint="default" w:ascii="Times New Roman" w:hAnsi="Times New Roman" w:cs="Times New Roman"/>
          <w:color w:val="auto"/>
        </w:rPr>
        <w:t>评价实施过程中，</w:t>
      </w:r>
      <w:r>
        <w:rPr>
          <w:rFonts w:hint="default" w:ascii="Times New Roman" w:hAnsi="Times New Roman" w:cs="Times New Roman"/>
          <w:color w:val="auto"/>
          <w:lang w:val="en-US" w:eastAsia="zh-CN"/>
        </w:rPr>
        <w:t>采用综合评价</w:t>
      </w:r>
      <w:r>
        <w:rPr>
          <w:rFonts w:hint="default" w:ascii="Times New Roman" w:hAnsi="Times New Roman" w:cs="Times New Roman"/>
          <w:color w:val="auto"/>
        </w:rPr>
        <w:t>法、</w:t>
      </w:r>
      <w:r>
        <w:rPr>
          <w:rFonts w:hint="default" w:ascii="Times New Roman" w:hAnsi="Times New Roman" w:cs="Times New Roman"/>
          <w:color w:val="auto"/>
          <w:lang w:val="en-US" w:eastAsia="zh-CN"/>
        </w:rPr>
        <w:t>比较法</w:t>
      </w:r>
      <w:r>
        <w:rPr>
          <w:rFonts w:hint="default" w:ascii="Times New Roman" w:hAnsi="Times New Roman" w:cs="Times New Roman"/>
          <w:color w:val="auto"/>
        </w:rPr>
        <w:t>、</w:t>
      </w:r>
      <w:r>
        <w:rPr>
          <w:rFonts w:hint="default" w:ascii="Times New Roman" w:hAnsi="Times New Roman" w:cs="Times New Roman"/>
          <w:color w:val="auto"/>
          <w:lang w:val="en-US" w:eastAsia="zh-CN"/>
        </w:rPr>
        <w:t>社会调查法</w:t>
      </w:r>
      <w:r>
        <w:rPr>
          <w:rFonts w:hint="default" w:ascii="Times New Roman" w:hAnsi="Times New Roman" w:cs="Times New Roman"/>
          <w:color w:val="auto"/>
        </w:rPr>
        <w:t>等多种方法</w:t>
      </w:r>
      <w:bookmarkEnd w:id="74"/>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提高评价工作的科学性与规范性。</w:t>
      </w:r>
    </w:p>
    <w:p>
      <w:pPr>
        <w:pStyle w:val="26"/>
        <w:rPr>
          <w:rFonts w:hint="default" w:ascii="Times New Roman" w:hAnsi="Times New Roman" w:cs="Times New Roman"/>
          <w:color w:val="auto"/>
          <w:lang w:val="en-US" w:eastAsia="zh-CN"/>
        </w:rPr>
      </w:pPr>
      <w:bookmarkStart w:id="75" w:name="_Toc23266429"/>
      <w:bookmarkStart w:id="76" w:name="_Toc23264914"/>
      <w:r>
        <w:rPr>
          <w:rFonts w:hint="default" w:ascii="Times New Roman" w:hAnsi="Times New Roman" w:cs="Times New Roman"/>
          <w:b/>
          <w:bCs/>
          <w:color w:val="auto"/>
          <w:lang w:val="en-US" w:eastAsia="zh-CN"/>
        </w:rPr>
        <w:t>一是综合评价法。</w:t>
      </w:r>
      <w:r>
        <w:rPr>
          <w:rFonts w:hint="default" w:ascii="Times New Roman" w:hAnsi="Times New Roman" w:cs="Times New Roman"/>
          <w:color w:val="auto"/>
          <w:lang w:val="en-US" w:eastAsia="zh-CN"/>
        </w:rPr>
        <w:t>通过设立整体规划执行、效果等维度的评价指标，构建客观、科学的综合评价指标体系，并设置相应的指标权重与评分标准，对项目成效进行综合、全面评价。</w:t>
      </w:r>
      <w:r>
        <w:rPr>
          <w:rFonts w:hint="default" w:ascii="Times New Roman" w:hAnsi="Times New Roman" w:cs="Times New Roman"/>
          <w:b/>
          <w:bCs/>
          <w:color w:val="auto"/>
          <w:lang w:val="en-US" w:eastAsia="zh-CN"/>
        </w:rPr>
        <w:t>二是比较法。</w:t>
      </w:r>
      <w:r>
        <w:rPr>
          <w:rFonts w:hint="default" w:ascii="Times New Roman" w:hAnsi="Times New Roman" w:cs="Times New Roman"/>
          <w:color w:val="auto"/>
          <w:lang w:val="en-US" w:eastAsia="zh-CN"/>
        </w:rPr>
        <w:t>通过对整体规划目标与实施效果、历史与当期等情况比较，分析项目目标设立是否明确、资金投入是否科学、建设内容是否合理、项目效果是否达到预期目标等。</w:t>
      </w:r>
      <w:bookmarkStart w:id="77" w:name="_Toc30572"/>
      <w:bookmarkStart w:id="78" w:name="_Toc23657"/>
      <w:r>
        <w:rPr>
          <w:rFonts w:hint="default" w:ascii="Times New Roman" w:hAnsi="Times New Roman" w:cs="Times New Roman"/>
          <w:b/>
          <w:bCs/>
          <w:color w:val="auto"/>
          <w:lang w:val="en-US" w:eastAsia="zh-CN"/>
        </w:rPr>
        <w:t>三是社会调查法。</w:t>
      </w:r>
      <w:r>
        <w:rPr>
          <w:rFonts w:hint="default" w:ascii="Times New Roman" w:hAnsi="Times New Roman" w:cs="Times New Roman"/>
          <w:color w:val="auto"/>
          <w:lang w:val="en-US" w:eastAsia="zh-CN"/>
        </w:rPr>
        <w:t>通过现场勘查、访谈调研、资料收集与数据复核等方式对规划项目建设完成情况及绩效目标的实现程度进行调查，并对项目产出和项目绩效进行分析。</w:t>
      </w:r>
      <w:bookmarkEnd w:id="77"/>
      <w:bookmarkEnd w:id="78"/>
    </w:p>
    <w:p>
      <w:pPr>
        <w:pStyle w:val="27"/>
        <w:numPr>
          <w:ilvl w:val="0"/>
          <w:numId w:val="2"/>
        </w:numPr>
        <w:ind w:firstLine="562"/>
        <w:rPr>
          <w:rFonts w:hint="default" w:ascii="Times New Roman" w:hAnsi="Times New Roman" w:cs="Times New Roman"/>
          <w:color w:val="auto"/>
          <w:lang w:val="en-US" w:eastAsia="zh-CN"/>
        </w:rPr>
      </w:pPr>
      <w:bookmarkStart w:id="79" w:name="_Toc10183"/>
      <w:r>
        <w:rPr>
          <w:rFonts w:hint="default" w:ascii="Times New Roman" w:hAnsi="Times New Roman" w:cs="Times New Roman"/>
          <w:color w:val="auto"/>
          <w:lang w:val="en-US" w:eastAsia="zh-CN"/>
        </w:rPr>
        <w:t>绩效评价指标体系框架</w:t>
      </w:r>
      <w:bookmarkEnd w:id="79"/>
    </w:p>
    <w:p>
      <w:pPr>
        <w:pStyle w:val="2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此次绩效指标体系共包括5个一级指标、13个二级指标、30个三级指标，指标内容来源于相关政策文件、实施方案等。具体指标框架构成及得分情况详见表2-1，各指标详细得分情况见附件一。</w:t>
      </w:r>
    </w:p>
    <w:p>
      <w:pPr>
        <w:pStyle w:val="26"/>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表2-1 绩效评价指标体系得分框架表</w:t>
      </w:r>
    </w:p>
    <w:tbl>
      <w:tblPr>
        <w:tblStyle w:val="1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513"/>
        <w:gridCol w:w="3034"/>
        <w:gridCol w:w="766"/>
        <w:gridCol w:w="878"/>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tblHeader/>
          <w:jc w:val="center"/>
        </w:trPr>
        <w:tc>
          <w:tcPr>
            <w:tcW w:w="718"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ascii="仿宋_GB2312" w:hAnsi="Times New Roman" w:eastAsia="仿宋_GB2312" w:cs="仿宋_GB2312"/>
                <w:b/>
                <w:bCs/>
                <w:i w:val="0"/>
                <w:iCs w:val="0"/>
                <w:color w:val="auto"/>
                <w:kern w:val="0"/>
                <w:sz w:val="21"/>
                <w:szCs w:val="21"/>
                <w:u w:val="none"/>
                <w:lang w:val="en-US" w:eastAsia="zh-CN" w:bidi="ar"/>
              </w:rPr>
              <w:t>一级指标</w:t>
            </w:r>
          </w:p>
        </w:tc>
        <w:tc>
          <w:tcPr>
            <w:tcW w:w="887"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ascii="仿宋_GB2312" w:hAnsi="Times New Roman" w:eastAsia="仿宋_GB2312" w:cs="仿宋_GB2312"/>
                <w:b/>
                <w:bCs/>
                <w:i w:val="0"/>
                <w:iCs w:val="0"/>
                <w:color w:val="auto"/>
                <w:kern w:val="0"/>
                <w:sz w:val="21"/>
                <w:szCs w:val="21"/>
                <w:u w:val="none"/>
                <w:lang w:val="en-US" w:eastAsia="zh-CN" w:bidi="ar"/>
              </w:rPr>
              <w:t>二级指标</w:t>
            </w:r>
          </w:p>
        </w:tc>
        <w:tc>
          <w:tcPr>
            <w:tcW w:w="1779"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ascii="仿宋_GB2312" w:hAnsi="Times New Roman" w:eastAsia="仿宋_GB2312" w:cs="仿宋_GB2312"/>
                <w:b/>
                <w:bCs/>
                <w:i w:val="0"/>
                <w:iCs w:val="0"/>
                <w:color w:val="auto"/>
                <w:kern w:val="0"/>
                <w:sz w:val="21"/>
                <w:szCs w:val="21"/>
                <w:u w:val="none"/>
                <w:lang w:val="en-US" w:eastAsia="zh-CN" w:bidi="ar"/>
              </w:rPr>
              <w:t>三级指标</w:t>
            </w:r>
          </w:p>
        </w:tc>
        <w:tc>
          <w:tcPr>
            <w:tcW w:w="449"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ascii="仿宋_GB2312" w:hAnsi="Times New Roman" w:eastAsia="仿宋_GB2312" w:cs="仿宋_GB2312"/>
                <w:b/>
                <w:bCs/>
                <w:i w:val="0"/>
                <w:iCs w:val="0"/>
                <w:color w:val="auto"/>
                <w:kern w:val="0"/>
                <w:sz w:val="21"/>
                <w:szCs w:val="21"/>
                <w:u w:val="none"/>
                <w:lang w:val="en-US" w:eastAsia="zh-CN" w:bidi="ar"/>
              </w:rPr>
              <w:t>权重</w:t>
            </w:r>
          </w:p>
        </w:tc>
        <w:tc>
          <w:tcPr>
            <w:tcW w:w="515"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ascii="仿宋_GB2312" w:hAnsi="Times New Roman" w:eastAsia="仿宋_GB2312" w:cs="仿宋_GB2312"/>
                <w:b/>
                <w:bCs/>
                <w:i w:val="0"/>
                <w:iCs w:val="0"/>
                <w:color w:val="auto"/>
                <w:kern w:val="0"/>
                <w:sz w:val="21"/>
                <w:szCs w:val="21"/>
                <w:u w:val="none"/>
                <w:lang w:val="en-US" w:eastAsia="zh-CN" w:bidi="ar"/>
              </w:rPr>
              <w:t>得分</w:t>
            </w:r>
          </w:p>
        </w:tc>
        <w:tc>
          <w:tcPr>
            <w:tcW w:w="650"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ascii="仿宋_GB2312" w:hAnsi="Times New Roman" w:eastAsia="仿宋_GB2312" w:cs="仿宋_GB2312"/>
                <w:b/>
                <w:bCs/>
                <w:i w:val="0"/>
                <w:iCs w:val="0"/>
                <w:color w:val="auto"/>
                <w:kern w:val="0"/>
                <w:sz w:val="21"/>
                <w:szCs w:val="21"/>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w:t>
            </w:r>
            <w:r>
              <w:rPr>
                <w:rFonts w:hint="eastAsia" w:ascii="仿宋_GB2312" w:hAnsi="Times New Roman" w:eastAsia="仿宋_GB2312" w:cs="仿宋_GB2312"/>
                <w:i w:val="0"/>
                <w:iCs w:val="0"/>
                <w:color w:val="auto"/>
                <w:kern w:val="0"/>
                <w:sz w:val="21"/>
                <w:szCs w:val="21"/>
                <w:u w:val="none"/>
                <w:lang w:val="en-US" w:eastAsia="zh-CN" w:bidi="ar"/>
              </w:rPr>
              <w:t>项目决策（</w:t>
            </w:r>
            <w:r>
              <w:rPr>
                <w:rFonts w:hint="default" w:ascii="Times New Roman" w:hAnsi="Times New Roman" w:eastAsia="宋体" w:cs="Times New Roman"/>
                <w:i w:val="0"/>
                <w:iCs w:val="0"/>
                <w:color w:val="auto"/>
                <w:kern w:val="0"/>
                <w:sz w:val="21"/>
                <w:szCs w:val="21"/>
                <w:u w:val="none"/>
                <w:lang w:val="en-US" w:eastAsia="zh-CN" w:bidi="ar"/>
              </w:rPr>
              <w:t>12</w:t>
            </w:r>
            <w:r>
              <w:rPr>
                <w:rFonts w:hint="eastAsia" w:ascii="仿宋_GB2312" w:hAnsi="Times New Roman" w:eastAsia="仿宋_GB2312" w:cs="仿宋_GB2312"/>
                <w:i w:val="0"/>
                <w:iCs w:val="0"/>
                <w:color w:val="auto"/>
                <w:kern w:val="0"/>
                <w:sz w:val="21"/>
                <w:szCs w:val="21"/>
                <w:u w:val="none"/>
                <w:lang w:val="en-US" w:eastAsia="zh-CN" w:bidi="ar"/>
              </w:rPr>
              <w:t>）</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A1</w:t>
            </w:r>
            <w:r>
              <w:rPr>
                <w:rFonts w:hint="eastAsia" w:ascii="仿宋_GB2312" w:hAnsi="Times New Roman" w:eastAsia="仿宋_GB2312" w:cs="仿宋_GB2312"/>
                <w:i w:val="0"/>
                <w:iCs w:val="0"/>
                <w:color w:val="auto"/>
                <w:kern w:val="0"/>
                <w:sz w:val="21"/>
                <w:szCs w:val="21"/>
                <w:u w:val="none"/>
                <w:lang w:val="en-US" w:eastAsia="zh-CN" w:bidi="ar"/>
              </w:rPr>
              <w:t>项目立项（</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A11</w:t>
            </w:r>
            <w:r>
              <w:rPr>
                <w:rFonts w:hint="eastAsia" w:ascii="仿宋_GB2312" w:hAnsi="Times New Roman" w:eastAsia="仿宋_GB2312" w:cs="仿宋_GB2312"/>
                <w:i w:val="0"/>
                <w:iCs w:val="0"/>
                <w:color w:val="auto"/>
                <w:kern w:val="0"/>
                <w:sz w:val="21"/>
                <w:szCs w:val="21"/>
                <w:u w:val="none"/>
                <w:lang w:val="en-US" w:eastAsia="zh-CN" w:bidi="ar"/>
              </w:rPr>
              <w:t>立项依据充分性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A12</w:t>
            </w:r>
            <w:r>
              <w:rPr>
                <w:rFonts w:hint="eastAsia" w:ascii="仿宋_GB2312" w:hAnsi="Times New Roman" w:eastAsia="仿宋_GB2312" w:cs="仿宋_GB2312"/>
                <w:i w:val="0"/>
                <w:iCs w:val="0"/>
                <w:color w:val="auto"/>
                <w:kern w:val="0"/>
                <w:sz w:val="21"/>
                <w:szCs w:val="21"/>
                <w:u w:val="none"/>
                <w:lang w:val="en-US" w:eastAsia="zh-CN" w:bidi="ar"/>
              </w:rPr>
              <w:t>立项程序规范性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A2</w:t>
            </w:r>
            <w:r>
              <w:rPr>
                <w:rFonts w:hint="eastAsia" w:ascii="仿宋_GB2312" w:hAnsi="Times New Roman" w:eastAsia="仿宋_GB2312" w:cs="仿宋_GB2312"/>
                <w:i w:val="0"/>
                <w:iCs w:val="0"/>
                <w:color w:val="auto"/>
                <w:kern w:val="0"/>
                <w:sz w:val="21"/>
                <w:szCs w:val="21"/>
                <w:u w:val="none"/>
                <w:lang w:val="en-US" w:eastAsia="zh-CN" w:bidi="ar"/>
              </w:rPr>
              <w:t>绩效目标（</w:t>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A21</w:t>
            </w:r>
            <w:r>
              <w:rPr>
                <w:rFonts w:hint="eastAsia" w:ascii="仿宋_GB2312" w:hAnsi="Times New Roman" w:eastAsia="仿宋_GB2312" w:cs="仿宋_GB2312"/>
                <w:i w:val="0"/>
                <w:iCs w:val="0"/>
                <w:color w:val="auto"/>
                <w:kern w:val="0"/>
                <w:sz w:val="21"/>
                <w:szCs w:val="21"/>
                <w:u w:val="none"/>
                <w:lang w:val="en-US" w:eastAsia="zh-CN" w:bidi="ar"/>
              </w:rPr>
              <w:t>绩效目标合理性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A22</w:t>
            </w:r>
            <w:r>
              <w:rPr>
                <w:rFonts w:hint="eastAsia" w:ascii="仿宋_GB2312" w:hAnsi="Times New Roman" w:eastAsia="仿宋_GB2312" w:cs="仿宋_GB2312"/>
                <w:i w:val="0"/>
                <w:iCs w:val="0"/>
                <w:color w:val="auto"/>
                <w:kern w:val="0"/>
                <w:sz w:val="21"/>
                <w:szCs w:val="21"/>
                <w:u w:val="none"/>
                <w:lang w:val="en-US" w:eastAsia="zh-CN" w:bidi="ar"/>
              </w:rPr>
              <w:t>绩效目标明确性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A23</w:t>
            </w:r>
            <w:r>
              <w:rPr>
                <w:rFonts w:hint="eastAsia" w:ascii="仿宋_GB2312" w:hAnsi="Times New Roman" w:eastAsia="仿宋_GB2312" w:cs="仿宋_GB2312"/>
                <w:i w:val="0"/>
                <w:iCs w:val="0"/>
                <w:color w:val="auto"/>
                <w:kern w:val="0"/>
                <w:sz w:val="21"/>
                <w:szCs w:val="21"/>
                <w:u w:val="none"/>
                <w:lang w:val="en-US" w:eastAsia="zh-CN" w:bidi="ar"/>
              </w:rPr>
              <w:t>绩效监控及自评</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A3</w:t>
            </w:r>
            <w:r>
              <w:rPr>
                <w:rFonts w:hint="eastAsia" w:ascii="仿宋_GB2312" w:hAnsi="Times New Roman" w:eastAsia="仿宋_GB2312" w:cs="仿宋_GB2312"/>
                <w:i w:val="0"/>
                <w:iCs w:val="0"/>
                <w:color w:val="auto"/>
                <w:kern w:val="0"/>
                <w:sz w:val="21"/>
                <w:szCs w:val="21"/>
                <w:u w:val="none"/>
                <w:lang w:val="en-US" w:eastAsia="zh-CN" w:bidi="ar"/>
              </w:rPr>
              <w:t>资金安排（</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A31</w:t>
            </w:r>
            <w:r>
              <w:rPr>
                <w:rFonts w:hint="eastAsia" w:ascii="仿宋_GB2312" w:hAnsi="Times New Roman" w:eastAsia="仿宋_GB2312" w:cs="仿宋_GB2312"/>
                <w:i w:val="0"/>
                <w:iCs w:val="0"/>
                <w:color w:val="auto"/>
                <w:kern w:val="0"/>
                <w:sz w:val="21"/>
                <w:szCs w:val="21"/>
                <w:u w:val="none"/>
                <w:lang w:val="en-US" w:eastAsia="zh-CN" w:bidi="ar"/>
              </w:rPr>
              <w:t>预算编制合理性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w:t>
            </w:r>
            <w:r>
              <w:rPr>
                <w:rFonts w:hint="eastAsia" w:ascii="仿宋_GB2312" w:hAnsi="Times New Roman" w:eastAsia="仿宋_GB2312" w:cs="仿宋_GB2312"/>
                <w:i w:val="0"/>
                <w:iCs w:val="0"/>
                <w:color w:val="auto"/>
                <w:kern w:val="0"/>
                <w:sz w:val="21"/>
                <w:szCs w:val="21"/>
                <w:u w:val="none"/>
                <w:lang w:val="en-US" w:eastAsia="zh-CN" w:bidi="ar"/>
              </w:rPr>
              <w:t>项目过程（</w:t>
            </w:r>
            <w:r>
              <w:rPr>
                <w:rFonts w:hint="default" w:ascii="Times New Roman" w:hAnsi="Times New Roman" w:eastAsia="宋体" w:cs="Times New Roman"/>
                <w:i w:val="0"/>
                <w:iCs w:val="0"/>
                <w:color w:val="auto"/>
                <w:kern w:val="0"/>
                <w:sz w:val="21"/>
                <w:szCs w:val="21"/>
                <w:u w:val="none"/>
                <w:lang w:val="en-US" w:eastAsia="zh-CN" w:bidi="ar"/>
              </w:rPr>
              <w:t>28</w:t>
            </w:r>
            <w:r>
              <w:rPr>
                <w:rFonts w:hint="eastAsia" w:ascii="仿宋_GB2312" w:hAnsi="Times New Roman" w:eastAsia="仿宋_GB2312" w:cs="仿宋_GB2312"/>
                <w:i w:val="0"/>
                <w:iCs w:val="0"/>
                <w:color w:val="auto"/>
                <w:kern w:val="0"/>
                <w:sz w:val="21"/>
                <w:szCs w:val="21"/>
                <w:u w:val="none"/>
                <w:lang w:val="en-US" w:eastAsia="zh-CN" w:bidi="ar"/>
              </w:rPr>
              <w:t>）</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w:t>
            </w:r>
            <w:r>
              <w:rPr>
                <w:rFonts w:hint="eastAsia" w:ascii="仿宋_GB2312" w:hAnsi="Times New Roman" w:eastAsia="仿宋_GB2312" w:cs="仿宋_GB2312"/>
                <w:i w:val="0"/>
                <w:iCs w:val="0"/>
                <w:color w:val="auto"/>
                <w:kern w:val="0"/>
                <w:sz w:val="21"/>
                <w:szCs w:val="21"/>
                <w:u w:val="none"/>
                <w:lang w:val="en-US" w:eastAsia="zh-CN" w:bidi="ar"/>
              </w:rPr>
              <w:t>组织实施（</w:t>
            </w:r>
            <w:r>
              <w:rPr>
                <w:rFonts w:hint="default" w:ascii="Times New Roman" w:hAnsi="Times New Roman" w:eastAsia="宋体" w:cs="Times New Roman"/>
                <w:i w:val="0"/>
                <w:iCs w:val="0"/>
                <w:color w:val="auto"/>
                <w:kern w:val="0"/>
                <w:sz w:val="21"/>
                <w:szCs w:val="21"/>
                <w:u w:val="none"/>
                <w:lang w:val="en-US" w:eastAsia="zh-CN" w:bidi="ar"/>
              </w:rPr>
              <w:t>13</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B11</w:t>
            </w:r>
            <w:r>
              <w:rPr>
                <w:rFonts w:hint="eastAsia" w:ascii="仿宋_GB2312" w:hAnsi="Times New Roman" w:eastAsia="仿宋_GB2312" w:cs="仿宋_GB2312"/>
                <w:i w:val="0"/>
                <w:iCs w:val="0"/>
                <w:color w:val="auto"/>
                <w:kern w:val="0"/>
                <w:sz w:val="21"/>
                <w:szCs w:val="21"/>
                <w:u w:val="none"/>
                <w:lang w:val="en-US" w:eastAsia="zh-CN" w:bidi="ar"/>
              </w:rPr>
              <w:t>项目管理制度健全性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B12</w:t>
            </w:r>
            <w:r>
              <w:rPr>
                <w:rFonts w:hint="eastAsia" w:ascii="仿宋_GB2312" w:hAnsi="Times New Roman" w:eastAsia="仿宋_GB2312" w:cs="仿宋_GB2312"/>
                <w:i w:val="0"/>
                <w:iCs w:val="0"/>
                <w:color w:val="auto"/>
                <w:kern w:val="0"/>
                <w:sz w:val="21"/>
                <w:szCs w:val="21"/>
                <w:u w:val="none"/>
                <w:lang w:val="en-US" w:eastAsia="zh-CN" w:bidi="ar"/>
              </w:rPr>
              <w:t>项目管理制度执行有效性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B13</w:t>
            </w:r>
            <w:r>
              <w:rPr>
                <w:rFonts w:hint="eastAsia" w:ascii="仿宋_GB2312" w:hAnsi="Times New Roman" w:eastAsia="仿宋_GB2312" w:cs="仿宋_GB2312"/>
                <w:i w:val="0"/>
                <w:iCs w:val="0"/>
                <w:color w:val="auto"/>
                <w:kern w:val="0"/>
                <w:sz w:val="21"/>
                <w:szCs w:val="21"/>
                <w:u w:val="none"/>
                <w:lang w:val="en-US" w:eastAsia="zh-CN" w:bidi="ar"/>
              </w:rPr>
              <w:t>项目库建设及管理规范性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B14</w:t>
            </w:r>
            <w:r>
              <w:rPr>
                <w:rFonts w:hint="eastAsia" w:ascii="仿宋_GB2312" w:hAnsi="Times New Roman" w:eastAsia="仿宋_GB2312" w:cs="仿宋_GB2312"/>
                <w:i w:val="0"/>
                <w:iCs w:val="0"/>
                <w:color w:val="auto"/>
                <w:kern w:val="0"/>
                <w:sz w:val="21"/>
                <w:szCs w:val="21"/>
                <w:u w:val="none"/>
                <w:lang w:val="en-US" w:eastAsia="zh-CN" w:bidi="ar"/>
              </w:rPr>
              <w:t>政府采购规范性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B15</w:t>
            </w:r>
            <w:r>
              <w:rPr>
                <w:rFonts w:hint="eastAsia" w:ascii="仿宋_GB2312" w:hAnsi="Times New Roman" w:eastAsia="仿宋_GB2312" w:cs="仿宋_GB2312"/>
                <w:i w:val="0"/>
                <w:iCs w:val="0"/>
                <w:color w:val="auto"/>
                <w:kern w:val="0"/>
                <w:sz w:val="21"/>
                <w:szCs w:val="21"/>
                <w:u w:val="none"/>
                <w:lang w:val="en-US" w:eastAsia="zh-CN" w:bidi="ar"/>
              </w:rPr>
              <w:t>信息公开和公告公示制度执行有效性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1.80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w:t>
            </w:r>
            <w:r>
              <w:rPr>
                <w:rFonts w:hint="eastAsia" w:ascii="仿宋_GB2312" w:hAnsi="Times New Roman" w:eastAsia="仿宋_GB2312" w:cs="仿宋_GB2312"/>
                <w:i w:val="0"/>
                <w:iCs w:val="0"/>
                <w:color w:val="auto"/>
                <w:kern w:val="0"/>
                <w:sz w:val="21"/>
                <w:szCs w:val="21"/>
                <w:u w:val="none"/>
                <w:lang w:val="en-US" w:eastAsia="zh-CN" w:bidi="ar"/>
              </w:rPr>
              <w:t>资金管理（</w:t>
            </w:r>
            <w:r>
              <w:rPr>
                <w:rFonts w:hint="default" w:ascii="Times New Roman" w:hAnsi="Times New Roman" w:eastAsia="宋体" w:cs="Times New Roman"/>
                <w:i w:val="0"/>
                <w:iCs w:val="0"/>
                <w:color w:val="auto"/>
                <w:kern w:val="0"/>
                <w:sz w:val="21"/>
                <w:szCs w:val="21"/>
                <w:u w:val="none"/>
                <w:lang w:val="en-US" w:eastAsia="zh-CN" w:bidi="ar"/>
              </w:rPr>
              <w:t>15</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B21</w:t>
            </w:r>
            <w:r>
              <w:rPr>
                <w:rFonts w:hint="eastAsia" w:ascii="仿宋_GB2312" w:hAnsi="Times New Roman" w:eastAsia="仿宋_GB2312" w:cs="仿宋_GB2312"/>
                <w:i w:val="0"/>
                <w:iCs w:val="0"/>
                <w:color w:val="auto"/>
                <w:kern w:val="0"/>
                <w:sz w:val="21"/>
                <w:szCs w:val="21"/>
                <w:u w:val="none"/>
                <w:lang w:val="en-US" w:eastAsia="zh-CN" w:bidi="ar"/>
              </w:rPr>
              <w:t>资金到位率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B22</w:t>
            </w:r>
            <w:r>
              <w:rPr>
                <w:rFonts w:hint="eastAsia" w:ascii="仿宋_GB2312" w:hAnsi="Times New Roman" w:eastAsia="仿宋_GB2312" w:cs="仿宋_GB2312"/>
                <w:i w:val="0"/>
                <w:iCs w:val="0"/>
                <w:color w:val="auto"/>
                <w:kern w:val="0"/>
                <w:sz w:val="21"/>
                <w:szCs w:val="21"/>
                <w:u w:val="none"/>
                <w:lang w:val="en-US" w:eastAsia="zh-CN" w:bidi="ar"/>
              </w:rPr>
              <w:t>资金用于产业比例</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B23</w:t>
            </w:r>
            <w:r>
              <w:rPr>
                <w:rFonts w:hint="eastAsia" w:ascii="仿宋_GB2312" w:hAnsi="Times New Roman" w:eastAsia="仿宋_GB2312" w:cs="仿宋_GB2312"/>
                <w:i w:val="0"/>
                <w:iCs w:val="0"/>
                <w:color w:val="auto"/>
                <w:kern w:val="0"/>
                <w:sz w:val="21"/>
                <w:szCs w:val="21"/>
                <w:u w:val="none"/>
                <w:lang w:val="en-US" w:eastAsia="zh-CN" w:bidi="ar"/>
              </w:rPr>
              <w:t>预算执行率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2.97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B24</w:t>
            </w:r>
            <w:r>
              <w:rPr>
                <w:rFonts w:hint="eastAsia" w:ascii="仿宋_GB2312" w:hAnsi="Times New Roman" w:eastAsia="仿宋_GB2312" w:cs="仿宋_GB2312"/>
                <w:i w:val="0"/>
                <w:iCs w:val="0"/>
                <w:color w:val="auto"/>
                <w:kern w:val="0"/>
                <w:sz w:val="21"/>
                <w:szCs w:val="21"/>
                <w:u w:val="none"/>
                <w:lang w:val="en-US" w:eastAsia="zh-CN" w:bidi="ar"/>
              </w:rPr>
              <w:t>财务管理制度健全性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B25</w:t>
            </w:r>
            <w:r>
              <w:rPr>
                <w:rFonts w:hint="eastAsia" w:ascii="仿宋_GB2312" w:hAnsi="Times New Roman" w:eastAsia="仿宋_GB2312" w:cs="仿宋_GB2312"/>
                <w:i w:val="0"/>
                <w:iCs w:val="0"/>
                <w:color w:val="auto"/>
                <w:kern w:val="0"/>
                <w:sz w:val="21"/>
                <w:szCs w:val="21"/>
                <w:u w:val="none"/>
                <w:lang w:val="en-US" w:eastAsia="zh-CN" w:bidi="ar"/>
              </w:rPr>
              <w:t>资金使用合规性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B26</w:t>
            </w:r>
            <w:r>
              <w:rPr>
                <w:rFonts w:hint="eastAsia" w:ascii="仿宋_GB2312" w:hAnsi="Times New Roman" w:eastAsia="仿宋_GB2312" w:cs="仿宋_GB2312"/>
                <w:i w:val="0"/>
                <w:iCs w:val="0"/>
                <w:color w:val="auto"/>
                <w:kern w:val="0"/>
                <w:sz w:val="21"/>
                <w:szCs w:val="21"/>
                <w:u w:val="none"/>
                <w:lang w:val="en-US" w:eastAsia="zh-CN" w:bidi="ar"/>
              </w:rPr>
              <w:t>监督管理有效性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w:t>
            </w:r>
            <w:r>
              <w:rPr>
                <w:rFonts w:hint="eastAsia" w:ascii="仿宋_GB2312" w:hAnsi="Times New Roman" w:eastAsia="仿宋_GB2312" w:cs="仿宋_GB2312"/>
                <w:i w:val="0"/>
                <w:iCs w:val="0"/>
                <w:color w:val="auto"/>
                <w:kern w:val="0"/>
                <w:sz w:val="21"/>
                <w:szCs w:val="21"/>
                <w:u w:val="none"/>
                <w:lang w:val="en-US" w:eastAsia="zh-CN" w:bidi="ar"/>
              </w:rPr>
              <w:t>项目产出（</w:t>
            </w:r>
            <w:r>
              <w:rPr>
                <w:rFonts w:hint="default" w:ascii="Times New Roman" w:hAnsi="Times New Roman" w:eastAsia="宋体" w:cs="Times New Roman"/>
                <w:i w:val="0"/>
                <w:iCs w:val="0"/>
                <w:color w:val="auto"/>
                <w:kern w:val="0"/>
                <w:sz w:val="21"/>
                <w:szCs w:val="21"/>
                <w:u w:val="none"/>
                <w:lang w:val="en-US" w:eastAsia="zh-CN" w:bidi="ar"/>
              </w:rPr>
              <w:t>23</w:t>
            </w:r>
            <w:r>
              <w:rPr>
                <w:rFonts w:hint="eastAsia" w:ascii="仿宋_GB2312" w:hAnsi="Times New Roman" w:eastAsia="仿宋_GB2312" w:cs="仿宋_GB2312"/>
                <w:i w:val="0"/>
                <w:iCs w:val="0"/>
                <w:color w:val="auto"/>
                <w:kern w:val="0"/>
                <w:sz w:val="21"/>
                <w:szCs w:val="21"/>
                <w:u w:val="none"/>
                <w:lang w:val="en-US" w:eastAsia="zh-CN" w:bidi="ar"/>
              </w:rPr>
              <w:t>）</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C1</w:t>
            </w:r>
            <w:r>
              <w:rPr>
                <w:rFonts w:hint="eastAsia" w:ascii="仿宋_GB2312" w:hAnsi="Times New Roman" w:eastAsia="仿宋_GB2312" w:cs="仿宋_GB2312"/>
                <w:i w:val="0"/>
                <w:iCs w:val="0"/>
                <w:color w:val="auto"/>
                <w:kern w:val="0"/>
                <w:sz w:val="21"/>
                <w:szCs w:val="21"/>
                <w:u w:val="none"/>
                <w:lang w:val="en-US" w:eastAsia="zh-CN" w:bidi="ar"/>
              </w:rPr>
              <w:t>产出数量（</w:t>
            </w:r>
            <w:r>
              <w:rPr>
                <w:rFonts w:hint="default" w:ascii="Times New Roman" w:hAnsi="Times New Roman" w:eastAsia="宋体" w:cs="Times New Roman"/>
                <w:i w:val="0"/>
                <w:iCs w:val="0"/>
                <w:color w:val="auto"/>
                <w:kern w:val="0"/>
                <w:sz w:val="21"/>
                <w:szCs w:val="21"/>
                <w:u w:val="none"/>
                <w:lang w:val="en-US" w:eastAsia="zh-CN" w:bidi="ar"/>
              </w:rPr>
              <w:t>11</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C11</w:t>
            </w:r>
            <w:r>
              <w:rPr>
                <w:rFonts w:hint="eastAsia" w:ascii="仿宋_GB2312" w:hAnsi="Times New Roman" w:eastAsia="仿宋_GB2312" w:cs="仿宋_GB2312"/>
                <w:i w:val="0"/>
                <w:iCs w:val="0"/>
                <w:color w:val="auto"/>
                <w:kern w:val="0"/>
                <w:sz w:val="21"/>
                <w:szCs w:val="21"/>
                <w:u w:val="none"/>
                <w:lang w:val="en-US" w:eastAsia="zh-CN" w:bidi="ar"/>
              </w:rPr>
              <w:t>项目建设实施完成率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5.95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C12</w:t>
            </w:r>
            <w:r>
              <w:rPr>
                <w:rFonts w:hint="eastAsia" w:ascii="仿宋_GB2312" w:hAnsi="Times New Roman" w:eastAsia="仿宋_GB2312" w:cs="仿宋_GB2312"/>
                <w:i w:val="0"/>
                <w:iCs w:val="0"/>
                <w:color w:val="auto"/>
                <w:kern w:val="0"/>
                <w:sz w:val="21"/>
                <w:szCs w:val="21"/>
                <w:u w:val="none"/>
                <w:lang w:val="en-US" w:eastAsia="zh-CN" w:bidi="ar"/>
              </w:rPr>
              <w:t>资金落实到项目比例</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4.91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C2</w:t>
            </w:r>
            <w:r>
              <w:rPr>
                <w:rFonts w:hint="eastAsia" w:ascii="仿宋_GB2312" w:hAnsi="Times New Roman" w:eastAsia="仿宋_GB2312" w:cs="仿宋_GB2312"/>
                <w:i w:val="0"/>
                <w:iCs w:val="0"/>
                <w:color w:val="auto"/>
                <w:kern w:val="0"/>
                <w:sz w:val="21"/>
                <w:szCs w:val="21"/>
                <w:u w:val="none"/>
                <w:lang w:val="en-US" w:eastAsia="zh-CN" w:bidi="ar"/>
              </w:rPr>
              <w:t>产出质量（</w:t>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C21</w:t>
            </w:r>
            <w:r>
              <w:rPr>
                <w:rFonts w:hint="eastAsia" w:ascii="仿宋_GB2312" w:hAnsi="Times New Roman" w:eastAsia="仿宋_GB2312" w:cs="仿宋_GB2312"/>
                <w:i w:val="0"/>
                <w:iCs w:val="0"/>
                <w:color w:val="auto"/>
                <w:kern w:val="0"/>
                <w:sz w:val="21"/>
                <w:szCs w:val="21"/>
                <w:u w:val="none"/>
                <w:lang w:val="en-US" w:eastAsia="zh-CN" w:bidi="ar"/>
              </w:rPr>
              <w:t>项目验收合格率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C22</w:t>
            </w:r>
            <w:r>
              <w:rPr>
                <w:rFonts w:hint="eastAsia" w:ascii="仿宋_GB2312" w:hAnsi="Times New Roman" w:eastAsia="仿宋_GB2312" w:cs="仿宋_GB2312"/>
                <w:i w:val="0"/>
                <w:iCs w:val="0"/>
                <w:color w:val="auto"/>
                <w:kern w:val="0"/>
                <w:sz w:val="21"/>
                <w:szCs w:val="21"/>
                <w:u w:val="none"/>
                <w:lang w:val="en-US" w:eastAsia="zh-CN" w:bidi="ar"/>
              </w:rPr>
              <w:t>工程质量达标率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C3</w:t>
            </w:r>
            <w:r>
              <w:rPr>
                <w:rFonts w:hint="eastAsia" w:ascii="仿宋_GB2312" w:hAnsi="Times New Roman" w:eastAsia="仿宋_GB2312" w:cs="仿宋_GB2312"/>
                <w:i w:val="0"/>
                <w:iCs w:val="0"/>
                <w:color w:val="auto"/>
                <w:kern w:val="0"/>
                <w:sz w:val="21"/>
                <w:szCs w:val="21"/>
                <w:u w:val="none"/>
                <w:lang w:val="en-US" w:eastAsia="zh-CN" w:bidi="ar"/>
              </w:rPr>
              <w:t>产出时效（</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C31</w:t>
            </w:r>
            <w:r>
              <w:rPr>
                <w:rFonts w:hint="eastAsia" w:ascii="仿宋_GB2312" w:hAnsi="Times New Roman" w:eastAsia="仿宋_GB2312" w:cs="仿宋_GB2312"/>
                <w:i w:val="0"/>
                <w:iCs w:val="0"/>
                <w:color w:val="auto"/>
                <w:kern w:val="0"/>
                <w:sz w:val="21"/>
                <w:szCs w:val="21"/>
                <w:u w:val="none"/>
                <w:lang w:val="en-US" w:eastAsia="zh-CN" w:bidi="ar"/>
              </w:rPr>
              <w:t>项目完成及时率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exact"/>
          <w:jc w:val="center"/>
        </w:trPr>
        <w:tc>
          <w:tcPr>
            <w:tcW w:w="71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w:t>
            </w:r>
            <w:r>
              <w:rPr>
                <w:rFonts w:hint="eastAsia" w:ascii="仿宋_GB2312" w:hAnsi="Times New Roman" w:eastAsia="仿宋_GB2312" w:cs="仿宋_GB2312"/>
                <w:i w:val="0"/>
                <w:iCs w:val="0"/>
                <w:color w:val="auto"/>
                <w:kern w:val="0"/>
                <w:sz w:val="21"/>
                <w:szCs w:val="21"/>
                <w:u w:val="none"/>
                <w:lang w:val="en-US" w:eastAsia="zh-CN" w:bidi="ar"/>
              </w:rPr>
              <w:t>项目成本（</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w:t>
            </w:r>
          </w:p>
        </w:tc>
        <w:tc>
          <w:tcPr>
            <w:tcW w:w="88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D1</w:t>
            </w:r>
            <w:r>
              <w:rPr>
                <w:rFonts w:hint="eastAsia" w:ascii="仿宋_GB2312" w:hAnsi="Times New Roman" w:eastAsia="仿宋_GB2312" w:cs="仿宋_GB2312"/>
                <w:i w:val="0"/>
                <w:iCs w:val="0"/>
                <w:color w:val="auto"/>
                <w:kern w:val="0"/>
                <w:sz w:val="21"/>
                <w:szCs w:val="21"/>
                <w:u w:val="none"/>
                <w:lang w:val="en-US" w:eastAsia="zh-CN" w:bidi="ar"/>
              </w:rPr>
              <w:t>经济成本（</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D1</w:t>
            </w:r>
            <w:r>
              <w:rPr>
                <w:rFonts w:hint="eastAsia" w:ascii="仿宋_GB2312" w:hAnsi="Times New Roman" w:eastAsia="仿宋_GB2312" w:cs="仿宋_GB2312"/>
                <w:i w:val="0"/>
                <w:iCs w:val="0"/>
                <w:color w:val="auto"/>
                <w:kern w:val="0"/>
                <w:sz w:val="21"/>
                <w:szCs w:val="21"/>
                <w:u w:val="none"/>
                <w:lang w:val="en-US" w:eastAsia="zh-CN" w:bidi="ar"/>
              </w:rPr>
              <w:t>项目成本节约率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w:t>
            </w:r>
            <w:r>
              <w:rPr>
                <w:rFonts w:hint="eastAsia" w:ascii="仿宋_GB2312" w:hAnsi="Times New Roman" w:eastAsia="仿宋_GB2312" w:cs="仿宋_GB2312"/>
                <w:i w:val="0"/>
                <w:iCs w:val="0"/>
                <w:color w:val="auto"/>
                <w:kern w:val="0"/>
                <w:sz w:val="21"/>
                <w:szCs w:val="21"/>
                <w:u w:val="none"/>
                <w:lang w:val="en-US" w:eastAsia="zh-CN" w:bidi="ar"/>
              </w:rPr>
              <w:t>项目效益（</w:t>
            </w:r>
            <w:r>
              <w:rPr>
                <w:rFonts w:hint="default" w:ascii="Times New Roman" w:hAnsi="Times New Roman" w:eastAsia="宋体" w:cs="Times New Roman"/>
                <w:i w:val="0"/>
                <w:iCs w:val="0"/>
                <w:color w:val="auto"/>
                <w:kern w:val="0"/>
                <w:sz w:val="21"/>
                <w:szCs w:val="21"/>
                <w:u w:val="none"/>
                <w:lang w:val="en-US" w:eastAsia="zh-CN" w:bidi="ar"/>
              </w:rPr>
              <w:t>32</w:t>
            </w:r>
            <w:r>
              <w:rPr>
                <w:rFonts w:hint="eastAsia" w:ascii="仿宋_GB2312" w:hAnsi="Times New Roman" w:eastAsia="仿宋_GB2312" w:cs="仿宋_GB2312"/>
                <w:i w:val="0"/>
                <w:iCs w:val="0"/>
                <w:color w:val="auto"/>
                <w:kern w:val="0"/>
                <w:sz w:val="21"/>
                <w:szCs w:val="21"/>
                <w:u w:val="none"/>
                <w:lang w:val="en-US" w:eastAsia="zh-CN" w:bidi="ar"/>
              </w:rPr>
              <w:t>）</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E1</w:t>
            </w:r>
            <w:r>
              <w:rPr>
                <w:rFonts w:hint="eastAsia" w:ascii="仿宋_GB2312" w:hAnsi="Times New Roman" w:eastAsia="仿宋_GB2312" w:cs="仿宋_GB2312"/>
                <w:i w:val="0"/>
                <w:iCs w:val="0"/>
                <w:color w:val="auto"/>
                <w:kern w:val="0"/>
                <w:sz w:val="21"/>
                <w:szCs w:val="21"/>
                <w:u w:val="none"/>
                <w:lang w:val="en-US" w:eastAsia="zh-CN" w:bidi="ar"/>
              </w:rPr>
              <w:t>经济效益（</w:t>
            </w:r>
            <w:r>
              <w:rPr>
                <w:rFonts w:hint="default" w:ascii="Times New Roman" w:hAnsi="Times New Roman" w:eastAsia="宋体" w:cs="Times New Roman"/>
                <w:i w:val="0"/>
                <w:iCs w:val="0"/>
                <w:color w:val="auto"/>
                <w:kern w:val="0"/>
                <w:sz w:val="21"/>
                <w:szCs w:val="21"/>
                <w:u w:val="none"/>
                <w:lang w:val="en-US" w:eastAsia="zh-CN" w:bidi="ar"/>
              </w:rPr>
              <w:t>11</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E11</w:t>
            </w:r>
            <w:r>
              <w:rPr>
                <w:rFonts w:hint="eastAsia" w:ascii="仿宋_GB2312" w:hAnsi="Times New Roman" w:eastAsia="仿宋_GB2312" w:cs="仿宋_GB2312"/>
                <w:i w:val="0"/>
                <w:iCs w:val="0"/>
                <w:color w:val="auto"/>
                <w:kern w:val="0"/>
                <w:sz w:val="21"/>
                <w:szCs w:val="21"/>
                <w:u w:val="none"/>
                <w:lang w:val="en-US" w:eastAsia="zh-CN" w:bidi="ar"/>
              </w:rPr>
              <w:t>农村居民人均可支配收入增长率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E12</w:t>
            </w:r>
            <w:r>
              <w:rPr>
                <w:rFonts w:hint="eastAsia" w:ascii="仿宋_GB2312" w:hAnsi="Times New Roman" w:eastAsia="仿宋_GB2312" w:cs="仿宋_GB2312"/>
                <w:i w:val="0"/>
                <w:iCs w:val="0"/>
                <w:color w:val="auto"/>
                <w:kern w:val="0"/>
                <w:sz w:val="21"/>
                <w:szCs w:val="21"/>
                <w:u w:val="none"/>
                <w:lang w:val="en-US" w:eastAsia="zh-CN" w:bidi="ar"/>
              </w:rPr>
              <w:t>带动增加村集体经济年收入</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E2</w:t>
            </w:r>
            <w:r>
              <w:rPr>
                <w:rFonts w:hint="eastAsia" w:ascii="仿宋_GB2312" w:hAnsi="Times New Roman" w:eastAsia="仿宋_GB2312" w:cs="仿宋_GB2312"/>
                <w:i w:val="0"/>
                <w:iCs w:val="0"/>
                <w:color w:val="auto"/>
                <w:kern w:val="0"/>
                <w:sz w:val="21"/>
                <w:szCs w:val="21"/>
                <w:u w:val="none"/>
                <w:lang w:val="en-US" w:eastAsia="zh-CN" w:bidi="ar"/>
              </w:rPr>
              <w:t>社会效益（</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E21</w:t>
            </w:r>
            <w:r>
              <w:rPr>
                <w:rFonts w:hint="eastAsia" w:ascii="仿宋_GB2312" w:hAnsi="Times New Roman" w:eastAsia="仿宋_GB2312" w:cs="仿宋_GB2312"/>
                <w:i w:val="0"/>
                <w:iCs w:val="0"/>
                <w:color w:val="auto"/>
                <w:kern w:val="0"/>
                <w:sz w:val="21"/>
                <w:szCs w:val="21"/>
                <w:u w:val="none"/>
                <w:lang w:val="en-US" w:eastAsia="zh-CN" w:bidi="ar"/>
              </w:rPr>
              <w:t>惠及群众数量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E3</w:t>
            </w:r>
            <w:r>
              <w:rPr>
                <w:rFonts w:hint="eastAsia" w:ascii="仿宋_GB2312" w:hAnsi="Times New Roman" w:eastAsia="仿宋_GB2312" w:cs="仿宋_GB2312"/>
                <w:i w:val="0"/>
                <w:iCs w:val="0"/>
                <w:color w:val="auto"/>
                <w:kern w:val="0"/>
                <w:sz w:val="21"/>
                <w:szCs w:val="21"/>
                <w:u w:val="none"/>
                <w:lang w:val="en-US" w:eastAsia="zh-CN" w:bidi="ar"/>
              </w:rPr>
              <w:t>可持续影响（</w:t>
            </w:r>
            <w:r>
              <w:rPr>
                <w:rFonts w:hint="default" w:ascii="Times New Roman" w:hAnsi="Times New Roman" w:eastAsia="宋体" w:cs="Times New Roman"/>
                <w:i w:val="0"/>
                <w:iCs w:val="0"/>
                <w:color w:val="auto"/>
                <w:kern w:val="0"/>
                <w:sz w:val="21"/>
                <w:szCs w:val="21"/>
                <w:u w:val="none"/>
                <w:lang w:val="en-US" w:eastAsia="zh-CN" w:bidi="ar"/>
              </w:rPr>
              <w:t>12</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E31</w:t>
            </w:r>
            <w:r>
              <w:rPr>
                <w:rFonts w:hint="eastAsia" w:ascii="仿宋_GB2312" w:hAnsi="Times New Roman" w:eastAsia="仿宋_GB2312" w:cs="仿宋_GB2312"/>
                <w:i w:val="0"/>
                <w:iCs w:val="0"/>
                <w:color w:val="auto"/>
                <w:kern w:val="0"/>
                <w:sz w:val="21"/>
                <w:szCs w:val="21"/>
                <w:u w:val="none"/>
                <w:lang w:val="en-US" w:eastAsia="zh-CN" w:bidi="ar"/>
              </w:rPr>
              <w:t>联农带农机制有效性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E32</w:t>
            </w:r>
            <w:r>
              <w:rPr>
                <w:rFonts w:hint="eastAsia" w:ascii="仿宋_GB2312" w:hAnsi="Times New Roman" w:eastAsia="仿宋_GB2312" w:cs="仿宋_GB2312"/>
                <w:i w:val="0"/>
                <w:iCs w:val="0"/>
                <w:color w:val="auto"/>
                <w:kern w:val="0"/>
                <w:sz w:val="21"/>
                <w:szCs w:val="21"/>
                <w:u w:val="none"/>
                <w:lang w:val="en-US" w:eastAsia="zh-CN" w:bidi="ar"/>
              </w:rPr>
              <w:t>项目管护机制健全性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E33</w:t>
            </w:r>
            <w:r>
              <w:rPr>
                <w:rFonts w:hint="eastAsia" w:ascii="仿宋_GB2312" w:hAnsi="Times New Roman" w:eastAsia="仿宋_GB2312" w:cs="仿宋_GB2312"/>
                <w:i w:val="0"/>
                <w:iCs w:val="0"/>
                <w:color w:val="auto"/>
                <w:kern w:val="0"/>
                <w:sz w:val="21"/>
                <w:szCs w:val="21"/>
                <w:u w:val="none"/>
                <w:lang w:val="en-US" w:eastAsia="zh-CN" w:bidi="ar"/>
              </w:rPr>
              <w:t>往年项目持续发挥作用情况</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exact"/>
          <w:jc w:val="center"/>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E4</w:t>
            </w:r>
            <w:r>
              <w:rPr>
                <w:rFonts w:hint="eastAsia" w:ascii="仿宋_GB2312" w:hAnsi="Times New Roman" w:eastAsia="仿宋_GB2312" w:cs="仿宋_GB2312"/>
                <w:i w:val="0"/>
                <w:iCs w:val="0"/>
                <w:color w:val="auto"/>
                <w:kern w:val="0"/>
                <w:sz w:val="21"/>
                <w:szCs w:val="21"/>
                <w:u w:val="none"/>
                <w:lang w:val="en-US" w:eastAsia="zh-CN" w:bidi="ar"/>
              </w:rPr>
              <w:t>服务对象满意度（</w:t>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仿宋_GB2312" w:hAnsi="Times New Roman" w:eastAsia="仿宋_GB2312" w:cs="仿宋_GB2312"/>
                <w:i w:val="0"/>
                <w:iCs w:val="0"/>
                <w:color w:val="auto"/>
                <w:kern w:val="0"/>
                <w:sz w:val="21"/>
                <w:szCs w:val="21"/>
                <w:u w:val="none"/>
                <w:lang w:val="en-US" w:eastAsia="zh-CN" w:bidi="ar"/>
              </w:rPr>
              <w:t>）</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E41</w:t>
            </w:r>
            <w:r>
              <w:rPr>
                <w:rFonts w:hint="eastAsia" w:ascii="仿宋_GB2312" w:hAnsi="Times New Roman" w:eastAsia="仿宋_GB2312" w:cs="仿宋_GB2312"/>
                <w:i w:val="0"/>
                <w:iCs w:val="0"/>
                <w:color w:val="auto"/>
                <w:kern w:val="0"/>
                <w:sz w:val="21"/>
                <w:szCs w:val="21"/>
                <w:u w:val="none"/>
                <w:lang w:val="en-US" w:eastAsia="zh-CN" w:bidi="ar"/>
              </w:rPr>
              <w:t>脱贫户和防止返贫监测对象满意度</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4.00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3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ascii="仿宋_GB2312" w:hAnsi="Times New Roman" w:eastAsia="仿宋_GB2312" w:cs="仿宋_GB2312"/>
                <w:b/>
                <w:bCs/>
                <w:i w:val="0"/>
                <w:iCs w:val="0"/>
                <w:color w:val="auto"/>
                <w:kern w:val="0"/>
                <w:sz w:val="21"/>
                <w:szCs w:val="21"/>
                <w:u w:val="none"/>
                <w:lang w:val="en-US" w:eastAsia="zh-CN" w:bidi="ar"/>
              </w:rPr>
              <w:t>合计</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96.23 </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96.23%</w:t>
            </w:r>
          </w:p>
        </w:tc>
      </w:tr>
    </w:tbl>
    <w:p>
      <w:pPr>
        <w:pStyle w:val="27"/>
        <w:ind w:firstLine="562"/>
        <w:rPr>
          <w:rFonts w:hint="default" w:ascii="Times New Roman" w:hAnsi="Times New Roman" w:cs="Times New Roman"/>
          <w:color w:val="auto"/>
        </w:rPr>
      </w:pPr>
      <w:bookmarkStart w:id="80" w:name="_Toc32700"/>
      <w:r>
        <w:rPr>
          <w:rFonts w:hint="default" w:ascii="Times New Roman" w:hAnsi="Times New Roman" w:cs="Times New Roman"/>
          <w:color w:val="auto"/>
        </w:rPr>
        <w:t>（</w:t>
      </w:r>
      <w:r>
        <w:rPr>
          <w:rFonts w:hint="default" w:ascii="Times New Roman" w:hAnsi="Times New Roman" w:cs="Times New Roman"/>
          <w:color w:val="auto"/>
          <w:lang w:val="en-US" w:eastAsia="zh-CN"/>
        </w:rPr>
        <w:t>四</w:t>
      </w:r>
      <w:r>
        <w:rPr>
          <w:rFonts w:hint="default" w:ascii="Times New Roman" w:hAnsi="Times New Roman" w:cs="Times New Roman"/>
          <w:color w:val="auto"/>
        </w:rPr>
        <w:t>）绩效评价工作过程</w:t>
      </w:r>
      <w:bookmarkEnd w:id="75"/>
      <w:bookmarkEnd w:id="76"/>
      <w:bookmarkEnd w:id="80"/>
    </w:p>
    <w:p>
      <w:pPr>
        <w:pStyle w:val="26"/>
        <w:rPr>
          <w:rFonts w:hint="default" w:ascii="Times New Roman" w:hAnsi="Times New Roman" w:cs="Times New Roman"/>
          <w:b/>
          <w:bCs/>
          <w:color w:val="auto"/>
          <w:lang w:eastAsia="zh-CN"/>
        </w:rPr>
      </w:pPr>
      <w:bookmarkStart w:id="81" w:name="_Toc26277"/>
      <w:bookmarkStart w:id="82" w:name="_Toc15542"/>
      <w:r>
        <w:rPr>
          <w:rFonts w:hint="default" w:ascii="Times New Roman" w:hAnsi="Times New Roman" w:cs="Times New Roman"/>
          <w:b/>
          <w:bCs/>
          <w:color w:val="auto"/>
          <w:lang w:val="en-US" w:eastAsia="zh-CN"/>
        </w:rPr>
        <w:t>1.</w:t>
      </w:r>
      <w:r>
        <w:rPr>
          <w:rFonts w:hint="default" w:ascii="Times New Roman" w:hAnsi="Times New Roman" w:cs="Times New Roman"/>
          <w:b/>
          <w:bCs/>
          <w:color w:val="auto"/>
        </w:rPr>
        <w:t>前期工作阶段</w:t>
      </w:r>
      <w:bookmarkEnd w:id="81"/>
      <w:bookmarkEnd w:id="82"/>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11月20日-11月30日</w:t>
      </w:r>
      <w:r>
        <w:rPr>
          <w:rFonts w:hint="default" w:ascii="Times New Roman" w:hAnsi="Times New Roman" w:cs="Times New Roman"/>
          <w:b/>
          <w:bCs/>
          <w:color w:val="auto"/>
          <w:lang w:eastAsia="zh-CN"/>
        </w:rPr>
        <w:t>）</w:t>
      </w:r>
    </w:p>
    <w:p>
      <w:pPr>
        <w:pStyle w:val="26"/>
        <w:rPr>
          <w:rFonts w:hint="default" w:ascii="Times New Roman" w:hAnsi="Times New Roman" w:eastAsia="仿宋_GB2312" w:cs="Times New Roman"/>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bCs/>
          <w:color w:val="auto"/>
        </w:rPr>
        <w:t>项目前期</w:t>
      </w:r>
      <w:bookmarkStart w:id="83" w:name="_Hlk533506556"/>
      <w:r>
        <w:rPr>
          <w:rFonts w:hint="default" w:ascii="Times New Roman" w:hAnsi="Times New Roman" w:cs="Times New Roman"/>
          <w:b/>
          <w:bCs/>
          <w:color w:val="auto"/>
        </w:rPr>
        <w:t>准备。</w:t>
      </w:r>
      <w:r>
        <w:rPr>
          <w:rFonts w:hint="default" w:ascii="Times New Roman" w:hAnsi="Times New Roman" w:cs="Times New Roman"/>
          <w:color w:val="auto"/>
        </w:rPr>
        <w:t>成立绩效评价小组，搜集项目资料，全面了解项目基本情况</w:t>
      </w:r>
      <w:bookmarkEnd w:id="83"/>
      <w:r>
        <w:rPr>
          <w:rFonts w:hint="default" w:ascii="Times New Roman" w:hAnsi="Times New Roman" w:cs="Times New Roman"/>
          <w:color w:val="auto"/>
        </w:rPr>
        <w:t>。</w:t>
      </w:r>
      <w:r>
        <w:rPr>
          <w:rFonts w:hint="default" w:ascii="Times New Roman" w:hAnsi="Times New Roman" w:cs="Times New Roman"/>
          <w:b/>
          <w:bCs/>
          <w:color w:val="auto"/>
          <w:lang w:val="en-US" w:eastAsia="zh-CN"/>
        </w:rPr>
        <w:t>二是</w:t>
      </w:r>
      <w:r>
        <w:rPr>
          <w:rFonts w:hint="default" w:ascii="Times New Roman" w:hAnsi="Times New Roman" w:cs="Times New Roman"/>
          <w:b/>
          <w:bCs/>
          <w:color w:val="auto"/>
        </w:rPr>
        <w:t>工作方案制定及论证。</w:t>
      </w:r>
      <w:bookmarkStart w:id="84" w:name="_Hlk533501537"/>
      <w:r>
        <w:rPr>
          <w:rFonts w:hint="default" w:ascii="Times New Roman" w:hAnsi="Times New Roman" w:cs="Times New Roman"/>
          <w:color w:val="auto"/>
        </w:rPr>
        <w:t>根据前期收集到的项目资料，</w:t>
      </w:r>
      <w:r>
        <w:rPr>
          <w:rFonts w:hint="default" w:ascii="Times New Roman" w:hAnsi="Times New Roman" w:cs="Times New Roman"/>
          <w:color w:val="auto"/>
          <w:lang w:val="en-US" w:eastAsia="zh-CN"/>
        </w:rPr>
        <w:t>结合</w:t>
      </w:r>
      <w:r>
        <w:rPr>
          <w:rFonts w:hint="default" w:ascii="Times New Roman" w:hAnsi="Times New Roman" w:cs="Times New Roman"/>
          <w:color w:val="auto"/>
        </w:rPr>
        <w:t>项目特点</w:t>
      </w:r>
      <w:r>
        <w:rPr>
          <w:rFonts w:hint="default" w:ascii="Times New Roman" w:hAnsi="Times New Roman" w:cs="Times New Roman"/>
          <w:color w:val="auto"/>
          <w:lang w:eastAsia="zh-CN"/>
        </w:rPr>
        <w:t>，</w:t>
      </w:r>
      <w:r>
        <w:rPr>
          <w:rFonts w:hint="default" w:ascii="Times New Roman" w:hAnsi="Times New Roman" w:cs="Times New Roman"/>
          <w:color w:val="auto"/>
        </w:rPr>
        <w:t>有针对性</w:t>
      </w:r>
      <w:r>
        <w:rPr>
          <w:rFonts w:hint="default" w:ascii="Times New Roman" w:hAnsi="Times New Roman" w:cs="Times New Roman"/>
          <w:color w:val="auto"/>
          <w:lang w:val="en-US" w:eastAsia="zh-CN"/>
        </w:rPr>
        <w:t>地</w:t>
      </w:r>
      <w:r>
        <w:rPr>
          <w:rFonts w:hint="default" w:ascii="Times New Roman" w:hAnsi="Times New Roman" w:cs="Times New Roman"/>
          <w:color w:val="auto"/>
        </w:rPr>
        <w:t>设计评价指标体系、基础数据</w:t>
      </w:r>
      <w:r>
        <w:rPr>
          <w:rFonts w:hint="default" w:ascii="Times New Roman" w:hAnsi="Times New Roman" w:cs="Times New Roman"/>
          <w:color w:val="auto"/>
          <w:lang w:val="en-US" w:eastAsia="zh-CN"/>
        </w:rPr>
        <w:t>表</w:t>
      </w:r>
      <w:r>
        <w:rPr>
          <w:rFonts w:hint="default" w:ascii="Times New Roman" w:hAnsi="Times New Roman" w:cs="Times New Roman"/>
          <w:color w:val="auto"/>
        </w:rPr>
        <w:t>、</w:t>
      </w:r>
      <w:r>
        <w:rPr>
          <w:rFonts w:hint="default" w:ascii="Times New Roman" w:hAnsi="Times New Roman" w:cs="Times New Roman"/>
          <w:color w:val="auto"/>
          <w:lang w:val="en-US" w:eastAsia="zh-CN"/>
        </w:rPr>
        <w:t>资料清单</w:t>
      </w:r>
      <w:r>
        <w:rPr>
          <w:rFonts w:hint="default" w:ascii="Times New Roman" w:hAnsi="Times New Roman" w:cs="Times New Roman"/>
          <w:color w:val="auto"/>
        </w:rPr>
        <w:t>等，确定科学、合理的评价方法和评价标准，设计绩效评价工作整体时间表，形成项目工作方案。</w:t>
      </w:r>
      <w:bookmarkEnd w:id="84"/>
    </w:p>
    <w:p>
      <w:pPr>
        <w:pStyle w:val="26"/>
        <w:rPr>
          <w:rFonts w:hint="default" w:ascii="Times New Roman" w:hAnsi="Times New Roman" w:cs="Times New Roman"/>
          <w:b/>
          <w:bCs/>
          <w:color w:val="auto"/>
          <w:lang w:eastAsia="zh-CN"/>
        </w:rPr>
      </w:pPr>
      <w:bookmarkStart w:id="85" w:name="_Toc30558"/>
      <w:bookmarkStart w:id="86" w:name="_Toc2077"/>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评价实施阶段</w:t>
      </w:r>
      <w:bookmarkEnd w:id="85"/>
      <w:bookmarkEnd w:id="86"/>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12月1日-12月5日</w:t>
      </w:r>
      <w:r>
        <w:rPr>
          <w:rFonts w:hint="default" w:ascii="Times New Roman" w:hAnsi="Times New Roman" w:cs="Times New Roman"/>
          <w:b/>
          <w:bCs/>
          <w:color w:val="auto"/>
          <w:lang w:eastAsia="zh-CN"/>
        </w:rPr>
        <w:t>）</w:t>
      </w:r>
    </w:p>
    <w:p>
      <w:pPr>
        <w:pStyle w:val="26"/>
        <w:rPr>
          <w:rFonts w:hint="default" w:ascii="Times New Roman" w:hAnsi="Times New Roman" w:eastAsia="仿宋_GB2312" w:cs="Times New Roman"/>
          <w:color w:val="auto"/>
          <w:lang w:val="en-US" w:eastAsia="zh-CN"/>
        </w:rPr>
      </w:pPr>
      <w:bookmarkStart w:id="87" w:name="_Hlk533501604"/>
      <w:r>
        <w:rPr>
          <w:rFonts w:hint="default" w:ascii="Times New Roman" w:hAnsi="Times New Roman" w:cs="Times New Roman"/>
          <w:b/>
          <w:bCs/>
          <w:color w:val="auto"/>
          <w:lang w:val="en-US" w:eastAsia="zh-CN"/>
        </w:rPr>
        <w:t>一是</w:t>
      </w:r>
      <w:r>
        <w:rPr>
          <w:rFonts w:hint="default" w:ascii="Times New Roman" w:hAnsi="Times New Roman" w:cs="Times New Roman"/>
          <w:b/>
          <w:bCs/>
          <w:color w:val="auto"/>
        </w:rPr>
        <w:t>开展社会调研及数据采集。</w:t>
      </w:r>
      <w:r>
        <w:rPr>
          <w:rFonts w:hint="default" w:ascii="Times New Roman" w:hAnsi="Times New Roman" w:cs="Times New Roman"/>
          <w:color w:val="auto"/>
        </w:rPr>
        <w:t>与项目主管单位等相关单位协调配合，完成</w:t>
      </w:r>
      <w:r>
        <w:rPr>
          <w:rFonts w:hint="default" w:ascii="Times New Roman" w:hAnsi="Times New Roman" w:cs="Times New Roman"/>
          <w:color w:val="auto"/>
          <w:lang w:val="en-US" w:eastAsia="zh-CN"/>
        </w:rPr>
        <w:t>访谈</w:t>
      </w:r>
      <w:r>
        <w:rPr>
          <w:rFonts w:hint="default" w:ascii="Times New Roman" w:hAnsi="Times New Roman" w:cs="Times New Roman"/>
          <w:color w:val="auto"/>
        </w:rPr>
        <w:t>调研、实地核查、</w:t>
      </w:r>
      <w:r>
        <w:rPr>
          <w:rFonts w:hint="default" w:ascii="Times New Roman" w:hAnsi="Times New Roman" w:cs="Times New Roman"/>
          <w:color w:val="auto"/>
          <w:lang w:val="en-US" w:eastAsia="zh-CN"/>
        </w:rPr>
        <w:t>满意度</w:t>
      </w:r>
      <w:r>
        <w:rPr>
          <w:rFonts w:hint="default" w:ascii="Times New Roman" w:hAnsi="Times New Roman" w:cs="Times New Roman"/>
          <w:color w:val="auto"/>
        </w:rPr>
        <w:t>调研等。通过</w:t>
      </w:r>
      <w:r>
        <w:rPr>
          <w:rFonts w:hint="default" w:ascii="Times New Roman" w:hAnsi="Times New Roman" w:cs="Times New Roman"/>
          <w:color w:val="auto"/>
          <w:lang w:val="en-US" w:eastAsia="zh-CN"/>
        </w:rPr>
        <w:t>对滑县乡村振兴局主要负责人进行访谈，了解项目实施整体流程；通过抽取5类代表性项目，实地查勘项目实施、建设、维护、公示等情况；通过对受益群众进行满意度问卷调查，了解受益村民满意度情况；通过</w:t>
      </w:r>
      <w:r>
        <w:rPr>
          <w:rFonts w:hint="default" w:ascii="Times New Roman" w:hAnsi="Times New Roman" w:cs="Times New Roman"/>
          <w:color w:val="auto"/>
        </w:rPr>
        <w:t>基础表等形式进行数据采集，对绩效评价项目内容进行分析判断，主要包括项目建设情况、资金使用情况、项目管理制度制定及执行情况、项目绩效达成情况等内容，并对数据进行复核。</w:t>
      </w:r>
      <w:bookmarkEnd w:id="87"/>
    </w:p>
    <w:p>
      <w:pPr>
        <w:pStyle w:val="26"/>
        <w:rPr>
          <w:rFonts w:hint="default" w:ascii="Times New Roman" w:hAnsi="Times New Roman" w:cs="Times New Roman"/>
          <w:color w:val="auto"/>
        </w:rPr>
      </w:pPr>
      <w:bookmarkStart w:id="88" w:name="_Hlk533501639"/>
      <w:r>
        <w:rPr>
          <w:rFonts w:hint="default" w:ascii="Times New Roman" w:hAnsi="Times New Roman" w:cs="Times New Roman"/>
          <w:b/>
          <w:bCs/>
          <w:color w:val="auto"/>
          <w:lang w:val="en-US" w:eastAsia="zh-CN"/>
        </w:rPr>
        <w:t>二是</w:t>
      </w:r>
      <w:r>
        <w:rPr>
          <w:rFonts w:hint="default" w:ascii="Times New Roman" w:hAnsi="Times New Roman" w:cs="Times New Roman"/>
          <w:b/>
          <w:bCs/>
          <w:color w:val="auto"/>
        </w:rPr>
        <w:t>数据整理和分析。</w:t>
      </w:r>
      <w:r>
        <w:rPr>
          <w:rFonts w:hint="default" w:ascii="Times New Roman" w:hAnsi="Times New Roman" w:cs="Times New Roman"/>
          <w:color w:val="auto"/>
        </w:rPr>
        <w:t>针对采集数据进行整理、剔除错误数据，进行数据分析，回答关键评价问题，进行原因解释。</w:t>
      </w:r>
      <w:bookmarkEnd w:id="88"/>
    </w:p>
    <w:p>
      <w:pPr>
        <w:pStyle w:val="26"/>
        <w:rPr>
          <w:rFonts w:hint="default" w:ascii="Times New Roman" w:hAnsi="Times New Roman" w:cs="Times New Roman"/>
          <w:b/>
          <w:bCs/>
          <w:color w:val="auto"/>
          <w:lang w:eastAsia="zh-CN"/>
        </w:rPr>
      </w:pPr>
      <w:bookmarkStart w:id="89" w:name="_Toc3927"/>
      <w:bookmarkStart w:id="90" w:name="_Toc16908"/>
      <w:r>
        <w:rPr>
          <w:rFonts w:hint="default" w:ascii="Times New Roman" w:hAnsi="Times New Roman" w:cs="Times New Roman"/>
          <w:b/>
          <w:bCs/>
          <w:color w:val="auto"/>
          <w:lang w:val="en-US" w:eastAsia="zh-CN"/>
        </w:rPr>
        <w:t>3.</w:t>
      </w:r>
      <w:r>
        <w:rPr>
          <w:rFonts w:hint="default" w:ascii="Times New Roman" w:hAnsi="Times New Roman" w:cs="Times New Roman"/>
          <w:b/>
          <w:bCs/>
          <w:color w:val="auto"/>
        </w:rPr>
        <w:t>报告撰写阶段</w:t>
      </w:r>
      <w:bookmarkEnd w:id="89"/>
      <w:bookmarkEnd w:id="90"/>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12月6日-12月15日</w:t>
      </w:r>
      <w:r>
        <w:rPr>
          <w:rFonts w:hint="default" w:ascii="Times New Roman" w:hAnsi="Times New Roman" w:cs="Times New Roman"/>
          <w:b/>
          <w:bCs/>
          <w:color w:val="auto"/>
          <w:lang w:eastAsia="zh-CN"/>
        </w:rPr>
        <w:t>）</w:t>
      </w:r>
    </w:p>
    <w:p>
      <w:pPr>
        <w:pStyle w:val="26"/>
        <w:rPr>
          <w:rFonts w:hint="default" w:ascii="Times New Roman" w:hAnsi="Times New Roman" w:cs="Times New Roman"/>
          <w:color w:val="auto"/>
        </w:rPr>
      </w:pPr>
      <w:bookmarkStart w:id="91" w:name="_Hlk533501753"/>
      <w:r>
        <w:rPr>
          <w:rFonts w:hint="default" w:ascii="Times New Roman" w:hAnsi="Times New Roman" w:cs="Times New Roman"/>
          <w:b/>
          <w:bCs/>
          <w:color w:val="auto"/>
          <w:lang w:val="en-US" w:eastAsia="zh-CN"/>
        </w:rPr>
        <w:t>一是</w:t>
      </w:r>
      <w:r>
        <w:rPr>
          <w:rFonts w:hint="default" w:ascii="Times New Roman" w:hAnsi="Times New Roman" w:cs="Times New Roman"/>
          <w:b/>
          <w:bCs/>
          <w:color w:val="auto"/>
        </w:rPr>
        <w:t>评价报告撰写。</w:t>
      </w:r>
      <w:r>
        <w:rPr>
          <w:rFonts w:hint="default" w:ascii="Times New Roman" w:hAnsi="Times New Roman" w:cs="Times New Roman"/>
          <w:color w:val="auto"/>
        </w:rPr>
        <w:t>依据制订的评价标准和打分规则，对项目进行量化打分。依据评价结论和</w:t>
      </w:r>
      <w:r>
        <w:rPr>
          <w:rFonts w:hint="default" w:ascii="Times New Roman" w:hAnsi="Times New Roman" w:cs="Times New Roman"/>
          <w:color w:val="auto"/>
          <w:lang w:val="en-US" w:eastAsia="zh-CN"/>
        </w:rPr>
        <w:t>脱贫攻坚</w:t>
      </w:r>
      <w:r>
        <w:rPr>
          <w:rFonts w:hint="default" w:ascii="Times New Roman" w:hAnsi="Times New Roman" w:cs="Times New Roman"/>
          <w:color w:val="auto"/>
        </w:rPr>
        <w:t>工作取得的成效，撰写绩效评价报告，总结经验、分析不足，并针对存在问题提出改进建议。</w:t>
      </w:r>
      <w:r>
        <w:rPr>
          <w:rFonts w:hint="default" w:ascii="Times New Roman" w:hAnsi="Times New Roman" w:cs="Times New Roman"/>
          <w:b/>
          <w:bCs/>
          <w:color w:val="auto"/>
          <w:lang w:val="en-US" w:eastAsia="zh-CN"/>
        </w:rPr>
        <w:t>二是</w:t>
      </w:r>
      <w:r>
        <w:rPr>
          <w:rFonts w:hint="default" w:ascii="Times New Roman" w:hAnsi="Times New Roman" w:cs="Times New Roman"/>
          <w:b/>
          <w:bCs/>
          <w:color w:val="auto"/>
        </w:rPr>
        <w:t>评价报告修改</w:t>
      </w: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完善</w:t>
      </w:r>
      <w:r>
        <w:rPr>
          <w:rFonts w:hint="default" w:ascii="Times New Roman" w:hAnsi="Times New Roman" w:cs="Times New Roman"/>
          <w:b/>
          <w:bCs/>
          <w:color w:val="auto"/>
        </w:rPr>
        <w:t>。</w:t>
      </w:r>
      <w:r>
        <w:rPr>
          <w:rFonts w:hint="default" w:ascii="Times New Roman" w:hAnsi="Times New Roman" w:cs="Times New Roman"/>
          <w:color w:val="auto"/>
        </w:rPr>
        <w:t>评价小组根据</w:t>
      </w:r>
      <w:r>
        <w:rPr>
          <w:rFonts w:hint="default" w:ascii="Times New Roman" w:hAnsi="Times New Roman" w:cs="Times New Roman"/>
          <w:color w:val="auto"/>
          <w:lang w:val="en-US" w:eastAsia="zh-CN"/>
        </w:rPr>
        <w:t>相关方</w:t>
      </w:r>
      <w:r>
        <w:rPr>
          <w:rFonts w:hint="default" w:ascii="Times New Roman" w:hAnsi="Times New Roman" w:cs="Times New Roman"/>
          <w:color w:val="auto"/>
        </w:rPr>
        <w:t>意见，对评价报告进行修改完善。</w:t>
      </w:r>
      <w:bookmarkEnd w:id="91"/>
    </w:p>
    <w:p>
      <w:pPr>
        <w:pStyle w:val="3"/>
        <w:ind w:firstLine="643"/>
        <w:rPr>
          <w:rFonts w:hint="default" w:ascii="Times New Roman" w:hAnsi="Times New Roman" w:cs="Times New Roman"/>
          <w:color w:val="auto"/>
        </w:rPr>
      </w:pPr>
      <w:bookmarkStart w:id="92" w:name="_Toc23266434"/>
      <w:bookmarkStart w:id="93" w:name="_Toc23264919"/>
      <w:bookmarkStart w:id="94" w:name="_Toc573"/>
      <w:r>
        <w:rPr>
          <w:rFonts w:hint="default" w:ascii="Times New Roman" w:hAnsi="Times New Roman" w:cs="Times New Roman"/>
          <w:color w:val="auto"/>
        </w:rPr>
        <w:t>三、综合评价过程及指标分析</w:t>
      </w:r>
      <w:bookmarkEnd w:id="92"/>
      <w:bookmarkEnd w:id="93"/>
      <w:bookmarkEnd w:id="94"/>
    </w:p>
    <w:p>
      <w:pPr>
        <w:pStyle w:val="27"/>
        <w:ind w:firstLine="562"/>
        <w:rPr>
          <w:rFonts w:hint="default" w:ascii="Times New Roman" w:hAnsi="Times New Roman" w:cs="Times New Roman"/>
          <w:color w:val="auto"/>
        </w:rPr>
      </w:pPr>
      <w:bookmarkStart w:id="95" w:name="_Toc23264920"/>
      <w:bookmarkStart w:id="96" w:name="_Toc23266435"/>
      <w:bookmarkStart w:id="97" w:name="_Toc10061"/>
      <w:r>
        <w:rPr>
          <w:rFonts w:hint="default" w:ascii="Times New Roman" w:hAnsi="Times New Roman" w:cs="Times New Roman"/>
          <w:color w:val="auto"/>
        </w:rPr>
        <w:t>（一）总体评价结论</w:t>
      </w:r>
      <w:bookmarkEnd w:id="95"/>
      <w:bookmarkEnd w:id="96"/>
      <w:bookmarkEnd w:id="97"/>
    </w:p>
    <w:p>
      <w:pPr>
        <w:pStyle w:val="5"/>
        <w:rPr>
          <w:rFonts w:hint="default" w:ascii="Times New Roman" w:hAnsi="Times New Roman" w:cs="Times New Roman"/>
          <w:color w:val="auto"/>
        </w:rPr>
      </w:pPr>
      <w:bookmarkStart w:id="98" w:name="_Toc23264921"/>
      <w:bookmarkStart w:id="99" w:name="_Toc23267047"/>
      <w:bookmarkStart w:id="100" w:name="_Toc11148"/>
      <w:bookmarkStart w:id="101" w:name="_Toc11620"/>
      <w:bookmarkStart w:id="102" w:name="_Toc23266436"/>
      <w:r>
        <w:rPr>
          <w:rFonts w:hint="default" w:ascii="Times New Roman" w:hAnsi="Times New Roman" w:cs="Times New Roman"/>
          <w:color w:val="auto"/>
        </w:rPr>
        <w:t>1.评分结果</w:t>
      </w:r>
      <w:bookmarkEnd w:id="98"/>
      <w:bookmarkEnd w:id="99"/>
      <w:bookmarkEnd w:id="100"/>
      <w:bookmarkEnd w:id="101"/>
      <w:bookmarkEnd w:id="102"/>
    </w:p>
    <w:p>
      <w:pPr>
        <w:pStyle w:val="26"/>
        <w:rPr>
          <w:rFonts w:hint="default" w:ascii="Times New Roman" w:hAnsi="Times New Roman" w:cs="Times New Roman"/>
          <w:color w:val="auto"/>
        </w:rPr>
      </w:pPr>
      <w:r>
        <w:rPr>
          <w:rFonts w:hint="default" w:ascii="Times New Roman" w:hAnsi="Times New Roman" w:cs="Times New Roman"/>
          <w:color w:val="auto"/>
        </w:rPr>
        <w:t>运用由评价组</w:t>
      </w:r>
      <w:r>
        <w:rPr>
          <w:rFonts w:hint="default" w:ascii="Times New Roman" w:hAnsi="Times New Roman" w:cs="Times New Roman"/>
          <w:color w:val="auto"/>
          <w:lang w:val="en-US" w:eastAsia="zh-CN"/>
        </w:rPr>
        <w:t>设计</w:t>
      </w:r>
      <w:r>
        <w:rPr>
          <w:rFonts w:hint="default" w:ascii="Times New Roman" w:hAnsi="Times New Roman" w:cs="Times New Roman"/>
          <w:color w:val="auto"/>
        </w:rPr>
        <w:t>的指标体系及评分标准，通过数据采集、访谈、问卷</w:t>
      </w:r>
      <w:r>
        <w:rPr>
          <w:rFonts w:hint="default" w:ascii="Times New Roman" w:hAnsi="Times New Roman" w:cs="Times New Roman"/>
          <w:color w:val="auto"/>
          <w:lang w:val="en-US" w:eastAsia="zh-CN"/>
        </w:rPr>
        <w:t>调研</w:t>
      </w:r>
      <w:r>
        <w:rPr>
          <w:rFonts w:hint="default" w:ascii="Times New Roman" w:hAnsi="Times New Roman" w:cs="Times New Roman"/>
          <w:color w:val="auto"/>
        </w:rPr>
        <w:t>等形式对</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20</w:t>
      </w:r>
      <w:r>
        <w:rPr>
          <w:rFonts w:hint="default" w:ascii="Times New Roman" w:hAnsi="Times New Roman" w:cs="Times New Roman"/>
          <w:color w:val="auto"/>
          <w:lang w:val="en-US" w:eastAsia="zh-CN"/>
        </w:rPr>
        <w:t>21</w:t>
      </w:r>
      <w:r>
        <w:rPr>
          <w:rFonts w:hint="default" w:ascii="Times New Roman" w:hAnsi="Times New Roman" w:cs="Times New Roman"/>
          <w:color w:val="auto"/>
          <w:lang w:eastAsia="zh-CN"/>
        </w:rPr>
        <w:t>年财政衔接推进乡村振兴补助资金</w:t>
      </w:r>
      <w:r>
        <w:rPr>
          <w:rFonts w:hint="default" w:ascii="Times New Roman" w:hAnsi="Times New Roman" w:cs="Times New Roman"/>
          <w:color w:val="auto"/>
        </w:rPr>
        <w:t>绩效评价项目进行客观评价，最终评价得分为</w:t>
      </w:r>
      <w:r>
        <w:rPr>
          <w:rFonts w:hint="default" w:ascii="Times New Roman" w:hAnsi="Times New Roman" w:cs="Times New Roman"/>
          <w:color w:val="auto"/>
          <w:highlight w:val="none"/>
          <w:lang w:val="en-US" w:eastAsia="zh-CN"/>
        </w:rPr>
        <w:t>96.</w:t>
      </w:r>
      <w:r>
        <w:rPr>
          <w:rFonts w:hint="eastAsia" w:cs="Times New Roman"/>
          <w:color w:val="auto"/>
          <w:highlight w:val="none"/>
          <w:lang w:val="en-US" w:eastAsia="zh-CN"/>
        </w:rPr>
        <w:t>23</w:t>
      </w:r>
      <w:r>
        <w:rPr>
          <w:rFonts w:hint="default" w:ascii="Times New Roman" w:hAnsi="Times New Roman" w:cs="Times New Roman"/>
          <w:color w:val="auto"/>
        </w:rPr>
        <w:t>分</w:t>
      </w:r>
      <w:r>
        <w:rPr>
          <w:rFonts w:hint="default" w:ascii="Times New Roman" w:hAnsi="Times New Roman" w:cs="Times New Roman"/>
          <w:color w:val="auto"/>
          <w:lang w:eastAsia="zh-CN"/>
        </w:rPr>
        <w:t>，</w:t>
      </w:r>
      <w:r>
        <w:rPr>
          <w:rFonts w:hint="default" w:ascii="Times New Roman" w:hAnsi="Times New Roman" w:cs="Times New Roman"/>
          <w:color w:val="auto"/>
        </w:rPr>
        <w:t>绩效评价级别为“</w:t>
      </w:r>
      <w:r>
        <w:rPr>
          <w:rFonts w:hint="default" w:ascii="Times New Roman" w:hAnsi="Times New Roman" w:cs="Times New Roman"/>
          <w:color w:val="auto"/>
          <w:highlight w:val="none"/>
          <w:lang w:val="en-US" w:eastAsia="zh-CN"/>
        </w:rPr>
        <w:t>优</w:t>
      </w:r>
      <w:r>
        <w:rPr>
          <w:rFonts w:hint="default" w:ascii="Times New Roman" w:hAnsi="Times New Roman" w:cs="Times New Roman"/>
          <w:color w:val="auto"/>
        </w:rPr>
        <w:t>”。具体得分情况见表3-1：</w:t>
      </w:r>
    </w:p>
    <w:p>
      <w:pPr>
        <w:pStyle w:val="29"/>
        <w:widowControl w:val="0"/>
        <w:wordWrap/>
        <w:adjustRightInd/>
        <w:snapToGrid/>
        <w:spacing w:before="0" w:after="0" w:line="560" w:lineRule="exact"/>
        <w:ind w:firstLine="561"/>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表3-1</w:t>
      </w:r>
      <w:r>
        <w:rPr>
          <w:rFonts w:hint="default" w:ascii="Times New Roman" w:hAnsi="Times New Roman" w:cs="Times New Roman"/>
          <w:color w:val="auto"/>
          <w:sz w:val="24"/>
          <w:szCs w:val="24"/>
          <w:lang w:val="en-US" w:eastAsia="zh-CN"/>
        </w:rPr>
        <w:t>滑县</w:t>
      </w:r>
      <w:r>
        <w:rPr>
          <w:rFonts w:hint="default" w:ascii="Times New Roman" w:hAnsi="Times New Roman" w:cs="Times New Roman"/>
          <w:color w:val="auto"/>
          <w:sz w:val="24"/>
          <w:szCs w:val="24"/>
          <w:lang w:eastAsia="zh-CN"/>
        </w:rPr>
        <w:t>202</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年财政衔接推进乡村振兴补助资金</w:t>
      </w:r>
      <w:r>
        <w:rPr>
          <w:rFonts w:hint="default" w:ascii="Times New Roman" w:hAnsi="Times New Roman" w:cs="Times New Roman"/>
          <w:color w:val="auto"/>
          <w:sz w:val="24"/>
          <w:szCs w:val="24"/>
        </w:rPr>
        <w:t>绩效评价项目得分表</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2"/>
        <w:gridCol w:w="1866"/>
        <w:gridCol w:w="1866"/>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一级指标</w:t>
            </w:r>
          </w:p>
        </w:tc>
        <w:tc>
          <w:tcPr>
            <w:tcW w:w="1866"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权重分</w:t>
            </w:r>
          </w:p>
        </w:tc>
        <w:tc>
          <w:tcPr>
            <w:tcW w:w="1866"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w:t>
            </w:r>
          </w:p>
        </w:tc>
        <w:tc>
          <w:tcPr>
            <w:tcW w:w="2741"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项目决策</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12.00 </w:t>
            </w:r>
          </w:p>
        </w:tc>
        <w:tc>
          <w:tcPr>
            <w:tcW w:w="27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项目过程</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 xml:space="preserve">27.37 </w:t>
            </w:r>
          </w:p>
        </w:tc>
        <w:tc>
          <w:tcPr>
            <w:tcW w:w="27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项目产出</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 xml:space="preserve">22.86 </w:t>
            </w:r>
          </w:p>
        </w:tc>
        <w:tc>
          <w:tcPr>
            <w:tcW w:w="27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项目成本</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 </w:t>
            </w:r>
          </w:p>
        </w:tc>
        <w:tc>
          <w:tcPr>
            <w:tcW w:w="27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项目效益</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29.00 </w:t>
            </w:r>
          </w:p>
        </w:tc>
        <w:tc>
          <w:tcPr>
            <w:tcW w:w="27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合计</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100</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lang w:val="en-US"/>
              </w:rPr>
            </w:pPr>
            <w:r>
              <w:rPr>
                <w:rFonts w:hint="default" w:ascii="Times New Roman" w:hAnsi="Times New Roman" w:eastAsia="宋体" w:cs="Times New Roman"/>
                <w:b/>
                <w:bCs/>
                <w:i w:val="0"/>
                <w:iCs w:val="0"/>
                <w:color w:val="auto"/>
                <w:kern w:val="0"/>
                <w:sz w:val="21"/>
                <w:szCs w:val="21"/>
                <w:u w:val="none"/>
                <w:lang w:val="en-US" w:eastAsia="zh-CN" w:bidi="ar"/>
              </w:rPr>
              <w:t xml:space="preserve">96.23 </w:t>
            </w:r>
          </w:p>
        </w:tc>
        <w:tc>
          <w:tcPr>
            <w:tcW w:w="27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96.23%</w:t>
            </w:r>
          </w:p>
        </w:tc>
      </w:tr>
    </w:tbl>
    <w:p>
      <w:pPr>
        <w:pStyle w:val="5"/>
        <w:rPr>
          <w:rFonts w:hint="default" w:ascii="Times New Roman" w:hAnsi="Times New Roman" w:cs="Times New Roman"/>
          <w:color w:val="auto"/>
          <w:lang w:val="en-US" w:eastAsia="zh-CN"/>
        </w:rPr>
      </w:pPr>
      <w:bookmarkStart w:id="103" w:name="_Toc23266437"/>
      <w:bookmarkStart w:id="104" w:name="_Toc23264922"/>
      <w:bookmarkStart w:id="105" w:name="_Toc23267048"/>
      <w:bookmarkStart w:id="106" w:name="_Toc13818"/>
      <w:bookmarkStart w:id="107" w:name="_Toc13038"/>
      <w:r>
        <w:rPr>
          <w:rFonts w:hint="default" w:ascii="Times New Roman" w:hAnsi="Times New Roman" w:cs="Times New Roman"/>
          <w:color w:val="auto"/>
        </w:rPr>
        <w:t>2.</w:t>
      </w:r>
      <w:bookmarkEnd w:id="103"/>
      <w:bookmarkEnd w:id="104"/>
      <w:bookmarkEnd w:id="105"/>
      <w:r>
        <w:rPr>
          <w:rFonts w:hint="default" w:ascii="Times New Roman" w:hAnsi="Times New Roman" w:cs="Times New Roman"/>
          <w:color w:val="auto"/>
          <w:lang w:val="en-US" w:eastAsia="zh-CN"/>
        </w:rPr>
        <w:t>总体评价结论</w:t>
      </w:r>
      <w:bookmarkEnd w:id="106"/>
      <w:bookmarkEnd w:id="107"/>
    </w:p>
    <w:p>
      <w:pPr>
        <w:pStyle w:val="26"/>
        <w:rPr>
          <w:rFonts w:hint="default" w:ascii="Times New Roman" w:hAnsi="Times New Roman" w:cs="Times New Roman"/>
          <w:color w:val="auto"/>
          <w:lang w:val="en-US"/>
        </w:rPr>
      </w:pPr>
      <w:r>
        <w:rPr>
          <w:rFonts w:hint="default" w:ascii="Times New Roman" w:hAnsi="Times New Roman" w:cs="Times New Roman"/>
          <w:color w:val="auto"/>
        </w:rPr>
        <w:t>总体来看，</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202</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年财政衔接推进乡村振兴补助资金</w:t>
      </w:r>
      <w:r>
        <w:rPr>
          <w:rFonts w:hint="default" w:ascii="Times New Roman" w:hAnsi="Times New Roman" w:cs="Times New Roman"/>
          <w:color w:val="auto"/>
        </w:rPr>
        <w:t>项目</w:t>
      </w:r>
      <w:r>
        <w:rPr>
          <w:rFonts w:hint="default" w:ascii="Times New Roman" w:hAnsi="Times New Roman" w:cs="Times New Roman"/>
          <w:color w:val="auto"/>
          <w:lang w:val="en-US" w:eastAsia="zh-CN"/>
        </w:rPr>
        <w:t>实施取得了一定成效。</w:t>
      </w:r>
      <w:r>
        <w:rPr>
          <w:rFonts w:hint="default" w:ascii="Times New Roman" w:hAnsi="Times New Roman" w:cs="Times New Roman"/>
          <w:b/>
          <w:bCs/>
          <w:color w:val="auto"/>
          <w:lang w:val="en-US" w:eastAsia="zh-CN"/>
        </w:rPr>
        <w:t>项目决策方面，</w:t>
      </w:r>
      <w:r>
        <w:rPr>
          <w:rFonts w:hint="default" w:ascii="Times New Roman" w:hAnsi="Times New Roman" w:cs="Times New Roman"/>
          <w:b w:val="0"/>
          <w:bCs w:val="0"/>
          <w:color w:val="auto"/>
          <w:lang w:val="en-US" w:eastAsia="zh-CN"/>
        </w:rPr>
        <w:t>项目</w:t>
      </w:r>
      <w:r>
        <w:rPr>
          <w:rFonts w:hint="default" w:ascii="Times New Roman" w:hAnsi="Times New Roman" w:cs="Times New Roman"/>
          <w:color w:val="auto"/>
        </w:rPr>
        <w:t>立项依据充分、立项程序规范、预算编制合理</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绩效目标设置总体较为规范</w:t>
      </w:r>
      <w:r>
        <w:rPr>
          <w:rFonts w:hint="default" w:ascii="Times New Roman" w:hAnsi="Times New Roman" w:cs="Times New Roman"/>
          <w:color w:val="auto"/>
        </w:rPr>
        <w:t>。</w:t>
      </w:r>
      <w:r>
        <w:rPr>
          <w:rFonts w:hint="default" w:ascii="Times New Roman" w:hAnsi="Times New Roman" w:cs="Times New Roman"/>
          <w:b/>
          <w:bCs/>
          <w:color w:val="auto"/>
        </w:rPr>
        <w:t>项目过程</w:t>
      </w:r>
      <w:r>
        <w:rPr>
          <w:rFonts w:hint="default" w:ascii="Times New Roman" w:hAnsi="Times New Roman" w:cs="Times New Roman"/>
          <w:b/>
          <w:bCs/>
          <w:color w:val="auto"/>
          <w:lang w:val="en-US" w:eastAsia="zh-CN"/>
        </w:rPr>
        <w:t>方面</w:t>
      </w:r>
      <w:r>
        <w:rPr>
          <w:rFonts w:hint="default" w:ascii="Times New Roman" w:hAnsi="Times New Roman" w:cs="Times New Roman"/>
          <w:color w:val="auto"/>
        </w:rPr>
        <w:t>，</w:t>
      </w:r>
      <w:r>
        <w:rPr>
          <w:rFonts w:hint="default" w:ascii="Times New Roman" w:hAnsi="Times New Roman" w:cs="Times New Roman"/>
          <w:color w:val="auto"/>
          <w:lang w:val="en-US" w:eastAsia="zh-CN"/>
        </w:rPr>
        <w:t>滑县</w:t>
      </w:r>
      <w:r>
        <w:rPr>
          <w:rFonts w:hint="default" w:ascii="Times New Roman" w:hAnsi="Times New Roman" w:cs="Times New Roman"/>
          <w:color w:val="auto"/>
        </w:rPr>
        <w:t>财政局、</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乡村振兴局</w:t>
      </w:r>
      <w:r>
        <w:rPr>
          <w:rFonts w:hint="default" w:ascii="Times New Roman" w:hAnsi="Times New Roman" w:cs="Times New Roman"/>
          <w:color w:val="auto"/>
        </w:rPr>
        <w:t>、各乡镇政府等单位职责分工明确</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项目管理制度较为健全，制度执行规范、有效</w:t>
      </w:r>
      <w:r>
        <w:rPr>
          <w:rFonts w:hint="default" w:ascii="Times New Roman" w:hAnsi="Times New Roman" w:cs="Times New Roman"/>
          <w:color w:val="auto"/>
        </w:rPr>
        <w:t>。</w:t>
      </w:r>
      <w:r>
        <w:rPr>
          <w:rFonts w:hint="default" w:ascii="Times New Roman" w:hAnsi="Times New Roman" w:cs="Times New Roman"/>
          <w:color w:val="auto"/>
          <w:lang w:val="en-US" w:eastAsia="zh-CN"/>
        </w:rPr>
        <w:t>资金支付进度总体良好，预算执行率为98.93%；财政衔接推进乡村振兴补助资金用于产业项目比例为56.54%，且高于2020年度产业项目资金占比。</w:t>
      </w:r>
      <w:r>
        <w:rPr>
          <w:rFonts w:hint="default" w:ascii="Times New Roman" w:hAnsi="Times New Roman" w:cs="Times New Roman"/>
          <w:b/>
          <w:bCs/>
          <w:color w:val="auto"/>
          <w:lang w:val="en-US" w:eastAsia="zh-CN"/>
        </w:rPr>
        <w:t>项目产出方面，</w:t>
      </w:r>
      <w:r>
        <w:rPr>
          <w:rFonts w:hint="default" w:ascii="Times New Roman" w:hAnsi="Times New Roman" w:cs="Times New Roman"/>
          <w:color w:val="auto"/>
          <w:lang w:val="en-US" w:eastAsia="zh-CN"/>
        </w:rPr>
        <w:t>2021年度全县衔接推进乡村振兴补助资金扶持项目及时完工，</w:t>
      </w:r>
      <w:r>
        <w:rPr>
          <w:rFonts w:hint="eastAsia" w:cs="Times New Roman"/>
          <w:color w:val="auto"/>
          <w:lang w:val="en-US" w:eastAsia="zh-CN"/>
        </w:rPr>
        <w:t>项目完工率为99.22%，</w:t>
      </w:r>
      <w:r>
        <w:rPr>
          <w:rFonts w:hint="default" w:ascii="Times New Roman" w:hAnsi="Times New Roman" w:cs="Times New Roman"/>
          <w:color w:val="auto"/>
          <w:lang w:val="en-US" w:eastAsia="zh-CN"/>
        </w:rPr>
        <w:t>项目验收合格率达100%。</w:t>
      </w:r>
      <w:r>
        <w:rPr>
          <w:rFonts w:hint="default" w:ascii="Times New Roman" w:hAnsi="Times New Roman" w:cs="Times New Roman"/>
          <w:b/>
          <w:bCs/>
          <w:color w:val="auto"/>
          <w:lang w:val="en-US" w:eastAsia="zh-CN"/>
        </w:rPr>
        <w:t>项目效益方面，</w:t>
      </w:r>
      <w:r>
        <w:rPr>
          <w:rFonts w:hint="default" w:ascii="Times New Roman" w:hAnsi="Times New Roman" w:cs="Times New Roman"/>
          <w:b w:val="0"/>
          <w:bCs w:val="0"/>
          <w:color w:val="auto"/>
          <w:lang w:val="en-US" w:eastAsia="zh-CN"/>
        </w:rPr>
        <w:t>通过项目实施，受扶持乡镇、行政村农民人均可支配收入、带动村集体经济收入均高于2020年，脱贫户和防止返贫监测对象满意度达</w:t>
      </w:r>
      <w:r>
        <w:rPr>
          <w:rFonts w:hint="eastAsia" w:ascii="Times New Roman" w:hAnsi="Times New Roman" w:cs="Times New Roman"/>
          <w:color w:val="auto"/>
          <w:lang w:val="en-US" w:eastAsia="zh-CN"/>
        </w:rPr>
        <w:t>96.53</w:t>
      </w:r>
      <w:r>
        <w:rPr>
          <w:rFonts w:hint="default" w:ascii="Times New Roman" w:hAnsi="Times New Roman" w:cs="Times New Roman"/>
          <w:b w:val="0"/>
          <w:bCs w:val="0"/>
          <w:color w:val="auto"/>
          <w:lang w:val="en-US" w:eastAsia="zh-CN"/>
        </w:rPr>
        <w:t>%。</w:t>
      </w:r>
      <w:r>
        <w:rPr>
          <w:rFonts w:hint="default" w:ascii="Times New Roman" w:hAnsi="Times New Roman" w:cs="Times New Roman"/>
          <w:color w:val="auto"/>
          <w:lang w:val="en-US" w:eastAsia="zh-CN"/>
        </w:rPr>
        <w:t>但在项目实施过程中仍存在部分乡村公告公示内容不够完整、部分项目联农带农机制不够健全、完善等，有待进一步优化、改进。</w:t>
      </w:r>
    </w:p>
    <w:p>
      <w:pPr>
        <w:pStyle w:val="27"/>
        <w:ind w:firstLine="562"/>
        <w:rPr>
          <w:rFonts w:hint="default" w:ascii="Times New Roman" w:hAnsi="Times New Roman" w:cs="Times New Roman"/>
          <w:color w:val="auto"/>
        </w:rPr>
      </w:pPr>
      <w:bookmarkStart w:id="108" w:name="_Toc23264923"/>
      <w:bookmarkStart w:id="109" w:name="_Toc3924"/>
      <w:bookmarkStart w:id="110" w:name="_Toc23266438"/>
      <w:r>
        <w:rPr>
          <w:rFonts w:hint="default" w:ascii="Times New Roman" w:hAnsi="Times New Roman" w:cs="Times New Roman"/>
          <w:color w:val="auto"/>
        </w:rPr>
        <w:t>（二）指标分析</w:t>
      </w:r>
      <w:bookmarkEnd w:id="108"/>
      <w:bookmarkEnd w:id="109"/>
      <w:bookmarkEnd w:id="110"/>
    </w:p>
    <w:p>
      <w:pPr>
        <w:pStyle w:val="5"/>
        <w:rPr>
          <w:rFonts w:hint="default" w:ascii="Times New Roman" w:hAnsi="Times New Roman" w:cs="Times New Roman"/>
          <w:color w:val="auto"/>
        </w:rPr>
      </w:pPr>
      <w:bookmarkStart w:id="111" w:name="_Toc28549"/>
      <w:bookmarkStart w:id="112" w:name="_Toc23266439"/>
      <w:bookmarkStart w:id="113" w:name="_Toc23267050"/>
      <w:bookmarkStart w:id="114" w:name="_Toc12190"/>
      <w:bookmarkStart w:id="115" w:name="_Toc23264924"/>
      <w:r>
        <w:rPr>
          <w:rFonts w:hint="default" w:ascii="Times New Roman" w:hAnsi="Times New Roman" w:cs="Times New Roman"/>
          <w:color w:val="auto"/>
        </w:rPr>
        <w:t>1.项目决策</w:t>
      </w:r>
      <w:bookmarkEnd w:id="111"/>
      <w:bookmarkEnd w:id="112"/>
      <w:bookmarkEnd w:id="113"/>
      <w:bookmarkEnd w:id="114"/>
      <w:bookmarkEnd w:id="115"/>
    </w:p>
    <w:p>
      <w:pPr>
        <w:pStyle w:val="26"/>
        <w:rPr>
          <w:rFonts w:hint="default" w:ascii="Times New Roman" w:hAnsi="Times New Roman" w:cs="Times New Roman"/>
          <w:color w:val="auto"/>
        </w:rPr>
      </w:pPr>
      <w:r>
        <w:rPr>
          <w:rFonts w:hint="default" w:ascii="Times New Roman" w:hAnsi="Times New Roman" w:cs="Times New Roman"/>
          <w:color w:val="auto"/>
        </w:rPr>
        <w:t>项目决策指标包含</w:t>
      </w:r>
      <w:r>
        <w:rPr>
          <w:rFonts w:hint="default" w:ascii="Times New Roman" w:hAnsi="Times New Roman" w:cs="Times New Roman"/>
          <w:color w:val="auto"/>
          <w:lang w:val="en-US" w:eastAsia="zh-CN"/>
        </w:rPr>
        <w:t>3</w:t>
      </w:r>
      <w:r>
        <w:rPr>
          <w:rFonts w:hint="default" w:ascii="Times New Roman" w:hAnsi="Times New Roman" w:cs="Times New Roman"/>
          <w:color w:val="auto"/>
        </w:rPr>
        <w:t>个二级指标</w:t>
      </w:r>
      <w:r>
        <w:rPr>
          <w:rFonts w:hint="default" w:ascii="Times New Roman" w:hAnsi="Times New Roman" w:cs="Times New Roman"/>
          <w:color w:val="auto"/>
          <w:lang w:val="en-US" w:eastAsia="zh-CN"/>
        </w:rPr>
        <w:t>6</w:t>
      </w:r>
      <w:r>
        <w:rPr>
          <w:rFonts w:hint="default" w:ascii="Times New Roman" w:hAnsi="Times New Roman" w:cs="Times New Roman"/>
          <w:color w:val="auto"/>
        </w:rPr>
        <w:t>个三级指标，权重为</w:t>
      </w:r>
      <w:r>
        <w:rPr>
          <w:rFonts w:hint="default" w:ascii="Times New Roman" w:hAnsi="Times New Roman" w:cs="Times New Roman"/>
          <w:color w:val="auto"/>
          <w:lang w:val="en-US" w:eastAsia="zh-CN"/>
        </w:rPr>
        <w:t>12</w:t>
      </w:r>
      <w:r>
        <w:rPr>
          <w:rFonts w:hint="default" w:ascii="Times New Roman" w:hAnsi="Times New Roman" w:cs="Times New Roman"/>
          <w:color w:val="auto"/>
        </w:rPr>
        <w:t>分，该项得分</w:t>
      </w:r>
      <w:r>
        <w:rPr>
          <w:rFonts w:hint="default" w:ascii="Times New Roman" w:hAnsi="Times New Roman" w:cs="Times New Roman"/>
          <w:color w:val="auto"/>
          <w:lang w:val="en-US" w:eastAsia="zh-CN"/>
        </w:rPr>
        <w:t>12</w:t>
      </w:r>
      <w:r>
        <w:rPr>
          <w:rFonts w:hint="default" w:ascii="Times New Roman" w:hAnsi="Times New Roman" w:cs="Times New Roman"/>
          <w:color w:val="auto"/>
        </w:rPr>
        <w:t>分，得分率</w:t>
      </w:r>
      <w:r>
        <w:rPr>
          <w:rFonts w:hint="default" w:ascii="Times New Roman" w:hAnsi="Times New Roman" w:cs="Times New Roman"/>
          <w:color w:val="auto"/>
          <w:lang w:val="en-US" w:eastAsia="zh-CN"/>
        </w:rPr>
        <w:t>100</w:t>
      </w:r>
      <w:r>
        <w:rPr>
          <w:rFonts w:hint="default" w:ascii="Times New Roman" w:hAnsi="Times New Roman" w:cs="Times New Roman"/>
          <w:color w:val="auto"/>
        </w:rPr>
        <w:t>%。项各指标得分情况如表3-2：</w:t>
      </w:r>
    </w:p>
    <w:p>
      <w:pPr>
        <w:pStyle w:val="29"/>
        <w:widowControl w:val="0"/>
        <w:wordWrap/>
        <w:adjustRightInd/>
        <w:snapToGrid/>
        <w:spacing w:before="0" w:after="0" w:line="560" w:lineRule="exact"/>
        <w:ind w:firstLine="561"/>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表3-2 项目决策指标得分情况</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2"/>
        <w:gridCol w:w="2691"/>
        <w:gridCol w:w="1240"/>
        <w:gridCol w:w="1429"/>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二级指标</w:t>
            </w:r>
          </w:p>
        </w:tc>
        <w:tc>
          <w:tcPr>
            <w:tcW w:w="2691"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三级指标</w:t>
            </w:r>
          </w:p>
        </w:tc>
        <w:tc>
          <w:tcPr>
            <w:tcW w:w="124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权重</w:t>
            </w:r>
          </w:p>
        </w:tc>
        <w:tc>
          <w:tcPr>
            <w:tcW w:w="142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w:t>
            </w:r>
          </w:p>
        </w:tc>
        <w:tc>
          <w:tcPr>
            <w:tcW w:w="1473"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A1项目立项（3）</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A11立项依据充分性</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1.00 </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A12立项程序规范性</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2.00 </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A2绩效目标（7）</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A21绩效目标合理性</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2.00 </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A22绩效目标明确性</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3</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3.00 </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sz w:val="21"/>
                <w:szCs w:val="21"/>
                <w:u w:val="none"/>
              </w:rPr>
            </w:pP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A23绩效监控及自评</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2.00 </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A3资金安排（2）</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A31预算编制合理性</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2.00 </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3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合计</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12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12</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100.00%</w:t>
            </w:r>
          </w:p>
        </w:tc>
      </w:tr>
    </w:tbl>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项目立项方面：</w:t>
      </w:r>
      <w:r>
        <w:rPr>
          <w:rFonts w:hint="default" w:ascii="Times New Roman" w:hAnsi="Times New Roman" w:cs="Times New Roman"/>
          <w:color w:val="auto"/>
          <w:lang w:val="en-US" w:eastAsia="zh-CN"/>
        </w:rPr>
        <w:t>2021年度，滑县财政衔接推进乡村振兴补助资金项目立项依据均较为充分，项目立项符合中共河南省委、河南省人民政府发布《关于全面推进乡村振兴加快农业农村现代化的实施意见》关于实现巩固拓展脱贫攻坚成果同乡村振兴有效衔接等政策内容；立项过程按文件规定执行，四议两公开程序规范。</w:t>
      </w:r>
    </w:p>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绩效目标方面：</w:t>
      </w:r>
      <w:r>
        <w:rPr>
          <w:rFonts w:hint="default" w:ascii="Times New Roman" w:hAnsi="Times New Roman" w:cs="Times New Roman"/>
          <w:color w:val="auto"/>
          <w:lang w:val="en-US" w:eastAsia="zh-CN"/>
        </w:rPr>
        <w:t>项目均设置绩效目标，绩效目标设置清晰、合理、可衡量，项目绩效目标与实际工作内容相关，并能够通过清晰、可衡量的指标值予以体现。</w:t>
      </w:r>
    </w:p>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资金安排方面：</w:t>
      </w:r>
      <w:r>
        <w:rPr>
          <w:rFonts w:hint="default" w:ascii="Times New Roman" w:hAnsi="Times New Roman" w:cs="Times New Roman"/>
          <w:color w:val="auto"/>
          <w:lang w:val="en-US" w:eastAsia="zh-CN"/>
        </w:rPr>
        <w:t>预算批复内容与实际内容相匹配，预算测算额度合理、科学。</w:t>
      </w:r>
    </w:p>
    <w:p>
      <w:pPr>
        <w:pStyle w:val="26"/>
        <w:rPr>
          <w:rFonts w:hint="default" w:ascii="Times New Roman" w:hAnsi="Times New Roman" w:cs="Times New Roman"/>
          <w:color w:val="auto"/>
          <w:lang w:val="en-US" w:eastAsia="zh-CN"/>
        </w:rPr>
      </w:pPr>
    </w:p>
    <w:p>
      <w:pPr>
        <w:pStyle w:val="5"/>
        <w:rPr>
          <w:rFonts w:hint="default" w:ascii="Times New Roman" w:hAnsi="Times New Roman" w:eastAsia="仿宋" w:cs="Times New Roman"/>
          <w:color w:val="auto"/>
          <w:lang w:val="en-US" w:eastAsia="zh-CN"/>
        </w:rPr>
      </w:pPr>
      <w:bookmarkStart w:id="116" w:name="_Toc23267051"/>
      <w:bookmarkStart w:id="117" w:name="_Toc86"/>
      <w:bookmarkStart w:id="118" w:name="_Toc28835"/>
      <w:bookmarkStart w:id="119" w:name="_Toc23264925"/>
      <w:bookmarkStart w:id="120" w:name="_Toc23266440"/>
      <w:r>
        <w:rPr>
          <w:rFonts w:hint="default" w:ascii="Times New Roman" w:hAnsi="Times New Roman" w:cs="Times New Roman"/>
          <w:color w:val="auto"/>
          <w:lang w:val="en-US" w:eastAsia="zh-CN"/>
        </w:rPr>
        <w:t>2.</w:t>
      </w:r>
      <w:r>
        <w:rPr>
          <w:rFonts w:hint="default" w:ascii="Times New Roman" w:hAnsi="Times New Roman" w:cs="Times New Roman"/>
          <w:color w:val="auto"/>
        </w:rPr>
        <w:t>项目</w:t>
      </w:r>
      <w:bookmarkEnd w:id="116"/>
      <w:bookmarkEnd w:id="117"/>
      <w:bookmarkEnd w:id="118"/>
      <w:bookmarkEnd w:id="119"/>
      <w:bookmarkEnd w:id="120"/>
      <w:r>
        <w:rPr>
          <w:rFonts w:hint="default" w:ascii="Times New Roman" w:hAnsi="Times New Roman" w:cs="Times New Roman"/>
          <w:color w:val="auto"/>
          <w:lang w:val="en-US" w:eastAsia="zh-CN"/>
        </w:rPr>
        <w:t>过程</w:t>
      </w:r>
    </w:p>
    <w:p>
      <w:pPr>
        <w:pStyle w:val="26"/>
        <w:rPr>
          <w:rFonts w:hint="default" w:ascii="Times New Roman" w:hAnsi="Times New Roman" w:cs="Times New Roman"/>
          <w:color w:val="auto"/>
        </w:rPr>
      </w:pPr>
      <w:r>
        <w:rPr>
          <w:rFonts w:hint="default" w:ascii="Times New Roman" w:hAnsi="Times New Roman" w:cs="Times New Roman"/>
          <w:color w:val="auto"/>
        </w:rPr>
        <w:t>项目</w:t>
      </w:r>
      <w:r>
        <w:rPr>
          <w:rFonts w:hint="default" w:ascii="Times New Roman" w:hAnsi="Times New Roman" w:cs="Times New Roman"/>
          <w:color w:val="auto"/>
          <w:lang w:val="en-US" w:eastAsia="zh-CN"/>
        </w:rPr>
        <w:t>过程</w:t>
      </w:r>
      <w:r>
        <w:rPr>
          <w:rFonts w:hint="default" w:ascii="Times New Roman" w:hAnsi="Times New Roman" w:cs="Times New Roman"/>
          <w:color w:val="auto"/>
        </w:rPr>
        <w:t>指标包含</w:t>
      </w:r>
      <w:r>
        <w:rPr>
          <w:rFonts w:hint="default" w:ascii="Times New Roman" w:hAnsi="Times New Roman" w:cs="Times New Roman"/>
          <w:color w:val="auto"/>
          <w:lang w:val="en-US" w:eastAsia="zh-CN"/>
        </w:rPr>
        <w:t>2</w:t>
      </w:r>
      <w:r>
        <w:rPr>
          <w:rFonts w:hint="default" w:ascii="Times New Roman" w:hAnsi="Times New Roman" w:cs="Times New Roman"/>
          <w:color w:val="auto"/>
        </w:rPr>
        <w:t>个二级指标</w:t>
      </w:r>
      <w:r>
        <w:rPr>
          <w:rFonts w:hint="default" w:ascii="Times New Roman" w:hAnsi="Times New Roman" w:cs="Times New Roman"/>
          <w:color w:val="auto"/>
          <w:lang w:val="en-US" w:eastAsia="zh-CN"/>
        </w:rPr>
        <w:t>11</w:t>
      </w:r>
      <w:r>
        <w:rPr>
          <w:rFonts w:hint="default" w:ascii="Times New Roman" w:hAnsi="Times New Roman" w:cs="Times New Roman"/>
          <w:color w:val="auto"/>
        </w:rPr>
        <w:t>个三级指标，权重为</w:t>
      </w:r>
      <w:r>
        <w:rPr>
          <w:rFonts w:hint="default" w:ascii="Times New Roman" w:hAnsi="Times New Roman" w:cs="Times New Roman"/>
          <w:color w:val="auto"/>
          <w:lang w:val="en-US" w:eastAsia="zh-CN"/>
        </w:rPr>
        <w:t>28</w:t>
      </w:r>
      <w:r>
        <w:rPr>
          <w:rFonts w:hint="default" w:ascii="Times New Roman" w:hAnsi="Times New Roman" w:cs="Times New Roman"/>
          <w:color w:val="auto"/>
        </w:rPr>
        <w:t>分，该项得分</w:t>
      </w:r>
      <w:r>
        <w:rPr>
          <w:rFonts w:hint="default" w:ascii="Times New Roman" w:hAnsi="Times New Roman" w:cs="Times New Roman"/>
          <w:color w:val="auto"/>
          <w:lang w:val="en-US" w:eastAsia="zh-CN"/>
        </w:rPr>
        <w:t>27.37</w:t>
      </w:r>
      <w:r>
        <w:rPr>
          <w:rFonts w:hint="default" w:ascii="Times New Roman" w:hAnsi="Times New Roman" w:cs="Times New Roman"/>
          <w:color w:val="auto"/>
        </w:rPr>
        <w:t>分，得分率</w:t>
      </w:r>
      <w:r>
        <w:rPr>
          <w:rFonts w:hint="default" w:ascii="Times New Roman" w:hAnsi="Times New Roman" w:cs="Times New Roman"/>
          <w:color w:val="auto"/>
          <w:lang w:val="en-US" w:eastAsia="zh-CN"/>
        </w:rPr>
        <w:t>97.7</w:t>
      </w:r>
      <w:r>
        <w:rPr>
          <w:rFonts w:hint="eastAsia" w:cs="Times New Roman"/>
          <w:color w:val="auto"/>
          <w:lang w:val="en-US" w:eastAsia="zh-CN"/>
        </w:rPr>
        <w:t>4</w:t>
      </w:r>
      <w:r>
        <w:rPr>
          <w:rFonts w:hint="default" w:ascii="Times New Roman" w:hAnsi="Times New Roman" w:cs="Times New Roman"/>
          <w:color w:val="auto"/>
        </w:rPr>
        <w:t>%。项各指标得分情况如表3-</w:t>
      </w:r>
      <w:r>
        <w:rPr>
          <w:rFonts w:hint="default" w:ascii="Times New Roman" w:hAnsi="Times New Roman" w:cs="Times New Roman"/>
          <w:color w:val="auto"/>
          <w:lang w:val="en-US" w:eastAsia="zh-CN"/>
        </w:rPr>
        <w:t>3</w:t>
      </w:r>
      <w:r>
        <w:rPr>
          <w:rFonts w:hint="default" w:ascii="Times New Roman" w:hAnsi="Times New Roman" w:cs="Times New Roman"/>
          <w:color w:val="auto"/>
        </w:rPr>
        <w:t>：</w:t>
      </w:r>
    </w:p>
    <w:p>
      <w:pPr>
        <w:pStyle w:val="29"/>
        <w:widowControl w:val="0"/>
        <w:wordWrap/>
        <w:adjustRightInd/>
        <w:snapToGrid/>
        <w:spacing w:before="0" w:after="0" w:line="560" w:lineRule="exact"/>
        <w:ind w:firstLine="561"/>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表3-3 项目过程指标情况表</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3"/>
        <w:gridCol w:w="3189"/>
        <w:gridCol w:w="1300"/>
        <w:gridCol w:w="133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二级指标</w:t>
            </w:r>
          </w:p>
        </w:tc>
        <w:tc>
          <w:tcPr>
            <w:tcW w:w="318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三级指标</w:t>
            </w:r>
          </w:p>
        </w:tc>
        <w:tc>
          <w:tcPr>
            <w:tcW w:w="13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权重</w:t>
            </w:r>
          </w:p>
        </w:tc>
        <w:tc>
          <w:tcPr>
            <w:tcW w:w="133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w:t>
            </w:r>
          </w:p>
        </w:tc>
        <w:tc>
          <w:tcPr>
            <w:tcW w:w="1313"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B1</w:t>
            </w:r>
            <w:r>
              <w:rPr>
                <w:rFonts w:hint="default" w:ascii="Times New Roman" w:hAnsi="Times New Roman" w:eastAsia="仿宋_GB2312" w:cs="Times New Roman"/>
                <w:i w:val="0"/>
                <w:iCs w:val="0"/>
                <w:color w:val="auto"/>
                <w:kern w:val="0"/>
                <w:sz w:val="21"/>
                <w:szCs w:val="21"/>
                <w:u w:val="none"/>
                <w:lang w:val="en-US" w:eastAsia="zh-CN"/>
              </w:rPr>
              <w:t>组织实施（</w:t>
            </w:r>
            <w:r>
              <w:rPr>
                <w:rFonts w:hint="default" w:ascii="Times New Roman" w:hAnsi="Times New Roman" w:eastAsia="宋体" w:cs="Times New Roman"/>
                <w:i w:val="0"/>
                <w:iCs w:val="0"/>
                <w:color w:val="auto"/>
                <w:kern w:val="0"/>
                <w:sz w:val="21"/>
                <w:szCs w:val="21"/>
                <w:u w:val="none"/>
                <w:lang w:val="en-US" w:eastAsia="zh-CN"/>
              </w:rPr>
              <w:t>13</w:t>
            </w:r>
            <w:r>
              <w:rPr>
                <w:rFonts w:hint="default" w:ascii="Times New Roman" w:hAnsi="Times New Roman" w:eastAsia="仿宋_GB2312" w:cs="Times New Roman"/>
                <w:i w:val="0"/>
                <w:iCs w:val="0"/>
                <w:color w:val="auto"/>
                <w:kern w:val="0"/>
                <w:sz w:val="21"/>
                <w:szCs w:val="21"/>
                <w:u w:val="none"/>
                <w:lang w:val="en-US" w:eastAsia="zh-CN"/>
              </w:rPr>
              <w:t>）</w:t>
            </w: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B11</w:t>
            </w:r>
            <w:r>
              <w:rPr>
                <w:rFonts w:hint="default" w:ascii="Times New Roman" w:hAnsi="Times New Roman" w:eastAsia="仿宋_GB2312" w:cs="Times New Roman"/>
                <w:i w:val="0"/>
                <w:iCs w:val="0"/>
                <w:color w:val="auto"/>
                <w:kern w:val="0"/>
                <w:sz w:val="21"/>
                <w:szCs w:val="21"/>
                <w:u w:val="none"/>
                <w:lang w:val="en-US" w:eastAsia="zh-CN"/>
              </w:rPr>
              <w:t>项目管理制度健全性</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2.00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B12</w:t>
            </w:r>
            <w:r>
              <w:rPr>
                <w:rFonts w:hint="default" w:ascii="Times New Roman" w:hAnsi="Times New Roman" w:eastAsia="仿宋_GB2312" w:cs="Times New Roman"/>
                <w:i w:val="0"/>
                <w:iCs w:val="0"/>
                <w:color w:val="auto"/>
                <w:kern w:val="0"/>
                <w:sz w:val="21"/>
                <w:szCs w:val="21"/>
                <w:u w:val="none"/>
                <w:lang w:val="en-US" w:eastAsia="zh-CN"/>
              </w:rPr>
              <w:t>项目管理制度执行有效性</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3.00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B13</w:t>
            </w:r>
            <w:r>
              <w:rPr>
                <w:rFonts w:hint="default" w:ascii="Times New Roman" w:hAnsi="Times New Roman" w:eastAsia="仿宋_GB2312" w:cs="Times New Roman"/>
                <w:i w:val="0"/>
                <w:iCs w:val="0"/>
                <w:color w:val="auto"/>
                <w:kern w:val="0"/>
                <w:sz w:val="21"/>
                <w:szCs w:val="21"/>
                <w:u w:val="none"/>
                <w:lang w:val="en-US" w:eastAsia="zh-CN"/>
              </w:rPr>
              <w:t>项目库建设及管理规范性</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4</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3.60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B14</w:t>
            </w:r>
            <w:r>
              <w:rPr>
                <w:rFonts w:hint="default" w:ascii="Times New Roman" w:hAnsi="Times New Roman" w:eastAsia="仿宋_GB2312" w:cs="Times New Roman"/>
                <w:i w:val="0"/>
                <w:iCs w:val="0"/>
                <w:color w:val="auto"/>
                <w:kern w:val="0"/>
                <w:sz w:val="21"/>
                <w:szCs w:val="21"/>
                <w:u w:val="none"/>
                <w:lang w:val="en-US" w:eastAsia="zh-CN"/>
              </w:rPr>
              <w:t>政府采购规范性</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2.00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B15</w:t>
            </w:r>
            <w:r>
              <w:rPr>
                <w:rFonts w:hint="default" w:ascii="Times New Roman" w:hAnsi="Times New Roman" w:eastAsia="仿宋_GB2312" w:cs="Times New Roman"/>
                <w:i w:val="0"/>
                <w:iCs w:val="0"/>
                <w:color w:val="auto"/>
                <w:kern w:val="0"/>
                <w:sz w:val="21"/>
                <w:szCs w:val="21"/>
                <w:u w:val="none"/>
                <w:lang w:val="en-US" w:eastAsia="zh-CN"/>
              </w:rPr>
              <w:t>信息公开和公告公示制度执行有效性</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1.80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B2</w:t>
            </w:r>
            <w:r>
              <w:rPr>
                <w:rFonts w:hint="default" w:ascii="Times New Roman" w:hAnsi="Times New Roman" w:eastAsia="仿宋_GB2312" w:cs="Times New Roman"/>
                <w:i w:val="0"/>
                <w:iCs w:val="0"/>
                <w:color w:val="auto"/>
                <w:kern w:val="0"/>
                <w:sz w:val="21"/>
                <w:szCs w:val="21"/>
                <w:u w:val="none"/>
                <w:lang w:val="en-US" w:eastAsia="zh-CN"/>
              </w:rPr>
              <w:t>资金管理（</w:t>
            </w:r>
            <w:r>
              <w:rPr>
                <w:rFonts w:hint="default" w:ascii="Times New Roman" w:hAnsi="Times New Roman" w:eastAsia="宋体" w:cs="Times New Roman"/>
                <w:i w:val="0"/>
                <w:iCs w:val="0"/>
                <w:color w:val="auto"/>
                <w:kern w:val="0"/>
                <w:sz w:val="21"/>
                <w:szCs w:val="21"/>
                <w:u w:val="none"/>
                <w:lang w:val="en-US" w:eastAsia="zh-CN"/>
              </w:rPr>
              <w:t>15</w:t>
            </w:r>
            <w:r>
              <w:rPr>
                <w:rFonts w:hint="default" w:ascii="Times New Roman" w:hAnsi="Times New Roman" w:eastAsia="仿宋_GB2312" w:cs="Times New Roman"/>
                <w:i w:val="0"/>
                <w:iCs w:val="0"/>
                <w:color w:val="auto"/>
                <w:kern w:val="0"/>
                <w:sz w:val="21"/>
                <w:szCs w:val="21"/>
                <w:u w:val="none"/>
                <w:lang w:val="en-US" w:eastAsia="zh-CN"/>
              </w:rPr>
              <w:t>）</w:t>
            </w: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B21</w:t>
            </w:r>
            <w:r>
              <w:rPr>
                <w:rFonts w:hint="default" w:ascii="Times New Roman" w:hAnsi="Times New Roman" w:eastAsia="仿宋_GB2312" w:cs="Times New Roman"/>
                <w:i w:val="0"/>
                <w:iCs w:val="0"/>
                <w:color w:val="auto"/>
                <w:kern w:val="0"/>
                <w:sz w:val="21"/>
                <w:szCs w:val="21"/>
                <w:u w:val="none"/>
                <w:lang w:val="en-US" w:eastAsia="zh-CN"/>
              </w:rPr>
              <w:t>资金到位率</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2.00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B22</w:t>
            </w:r>
            <w:r>
              <w:rPr>
                <w:rFonts w:hint="default" w:ascii="Times New Roman" w:hAnsi="Times New Roman" w:eastAsia="仿宋_GB2312" w:cs="Times New Roman"/>
                <w:i w:val="0"/>
                <w:iCs w:val="0"/>
                <w:color w:val="auto"/>
                <w:kern w:val="0"/>
                <w:sz w:val="21"/>
                <w:szCs w:val="21"/>
                <w:u w:val="none"/>
                <w:lang w:val="en-US" w:eastAsia="zh-CN"/>
              </w:rPr>
              <w:t>资金用于产业比例</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3.00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B23</w:t>
            </w:r>
            <w:r>
              <w:rPr>
                <w:rFonts w:hint="default" w:ascii="Times New Roman" w:hAnsi="Times New Roman" w:eastAsia="仿宋_GB2312" w:cs="Times New Roman"/>
                <w:i w:val="0"/>
                <w:iCs w:val="0"/>
                <w:color w:val="auto"/>
                <w:kern w:val="0"/>
                <w:sz w:val="21"/>
                <w:szCs w:val="21"/>
                <w:u w:val="none"/>
                <w:lang w:val="en-US" w:eastAsia="zh-CN"/>
              </w:rPr>
              <w:t>预算执行率</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rPr>
              <w:t>2.9</w:t>
            </w:r>
            <w:r>
              <w:rPr>
                <w:rFonts w:hint="default" w:ascii="Times New Roman" w:hAnsi="Times New Roman" w:cs="Times New Roman"/>
                <w:i w:val="0"/>
                <w:iCs w:val="0"/>
                <w:color w:val="auto"/>
                <w:kern w:val="0"/>
                <w:sz w:val="21"/>
                <w:szCs w:val="21"/>
                <w:u w:val="none"/>
                <w:lang w:val="en-US" w:eastAsia="zh-CN"/>
              </w:rPr>
              <w:t>7</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rPr>
              <w:t>98.93</w:t>
            </w:r>
            <w:r>
              <w:rPr>
                <w:rFonts w:hint="default" w:ascii="Times New Roman" w:hAnsi="Times New Roman" w:eastAsia="宋体" w:cs="Times New Roman"/>
                <w:i w:val="0"/>
                <w:iCs w:val="0"/>
                <w:color w:val="auto"/>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B24</w:t>
            </w:r>
            <w:r>
              <w:rPr>
                <w:rFonts w:hint="default" w:ascii="Times New Roman" w:hAnsi="Times New Roman" w:eastAsia="仿宋_GB2312" w:cs="Times New Roman"/>
                <w:i w:val="0"/>
                <w:iCs w:val="0"/>
                <w:color w:val="auto"/>
                <w:kern w:val="0"/>
                <w:sz w:val="21"/>
                <w:szCs w:val="21"/>
                <w:u w:val="none"/>
                <w:lang w:val="en-US" w:eastAsia="zh-CN"/>
              </w:rPr>
              <w:t>财务管理制度健全性</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2.00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B25</w:t>
            </w:r>
            <w:r>
              <w:rPr>
                <w:rFonts w:hint="default" w:ascii="Times New Roman" w:hAnsi="Times New Roman" w:eastAsia="仿宋_GB2312" w:cs="Times New Roman"/>
                <w:i w:val="0"/>
                <w:iCs w:val="0"/>
                <w:color w:val="auto"/>
                <w:kern w:val="0"/>
                <w:sz w:val="21"/>
                <w:szCs w:val="21"/>
                <w:u w:val="none"/>
                <w:lang w:val="en-US" w:eastAsia="zh-CN"/>
              </w:rPr>
              <w:t>资金使用合规性</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3</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3.00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1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B26</w:t>
            </w:r>
            <w:r>
              <w:rPr>
                <w:rFonts w:hint="default" w:ascii="Times New Roman" w:hAnsi="Times New Roman" w:eastAsia="仿宋_GB2312" w:cs="Times New Roman"/>
                <w:i w:val="0"/>
                <w:iCs w:val="0"/>
                <w:color w:val="auto"/>
                <w:kern w:val="0"/>
                <w:sz w:val="21"/>
                <w:szCs w:val="21"/>
                <w:u w:val="none"/>
                <w:lang w:val="en-US" w:eastAsia="zh-CN"/>
              </w:rPr>
              <w:t>监督管理有效性</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2.00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45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28</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27.37</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97.7</w:t>
            </w:r>
            <w:r>
              <w:rPr>
                <w:rFonts w:hint="eastAsia" w:ascii="Times New Roman" w:hAnsi="Times New Roman" w:eastAsia="仿宋_GB2312" w:cs="Times New Roman"/>
                <w:b/>
                <w:bCs/>
                <w:i w:val="0"/>
                <w:iCs w:val="0"/>
                <w:color w:val="auto"/>
                <w:kern w:val="0"/>
                <w:sz w:val="21"/>
                <w:szCs w:val="21"/>
                <w:u w:val="none"/>
                <w:lang w:val="en-US" w:eastAsia="zh-CN"/>
              </w:rPr>
              <w:t>4</w:t>
            </w:r>
            <w:r>
              <w:rPr>
                <w:rFonts w:hint="default" w:ascii="Times New Roman" w:hAnsi="Times New Roman" w:eastAsia="仿宋_GB2312" w:cs="Times New Roman"/>
                <w:b/>
                <w:bCs/>
                <w:i w:val="0"/>
                <w:iCs w:val="0"/>
                <w:color w:val="auto"/>
                <w:kern w:val="0"/>
                <w:sz w:val="21"/>
                <w:szCs w:val="21"/>
                <w:u w:val="none"/>
                <w:lang w:val="en-US" w:eastAsia="zh-CN"/>
              </w:rPr>
              <w:t>%</w:t>
            </w:r>
          </w:p>
        </w:tc>
      </w:tr>
    </w:tbl>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组织实施方面：</w:t>
      </w:r>
      <w:r>
        <w:rPr>
          <w:rFonts w:hint="default" w:ascii="Times New Roman" w:hAnsi="Times New Roman" w:cs="Times New Roman"/>
          <w:color w:val="auto"/>
          <w:lang w:val="en-US" w:eastAsia="zh-CN"/>
        </w:rPr>
        <w:t>滑县财政衔接推进乡村振兴补助资金项目管理制度较为健全、制度执行规范有效；滑县建立有2021年项目库，入库项目内容完整，且不存在负面清单项目；政府采购程序规范。采购活动按照政府采购相关限额标准有序开展，合同签订过程中审批程序、签订形式规范，及时完成合同的签订，严格依据合同条例执行合同管理。</w:t>
      </w:r>
    </w:p>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资金管理方面：</w:t>
      </w:r>
      <w:r>
        <w:rPr>
          <w:rFonts w:hint="default" w:ascii="Times New Roman" w:hAnsi="Times New Roman" w:cs="Times New Roman"/>
          <w:color w:val="auto"/>
          <w:lang w:val="en-US" w:eastAsia="zh-CN"/>
        </w:rPr>
        <w:t>资金投入保障有力。2021年度，滑县财政衔接推进乡村振兴补助资金到位率为100%；用于产业项目资金占比56.54%，且高于2020年产业项目资金比例；县本级预算安排资金相较于2020年提升0.53%；资金支付进度总体良好，预算执行率达到98.93%；资金管理较为规范。项目资金财务管理制度健全，资金支出符合国家财经法规和财务管理制度以及有关专项资金管理办法规定。</w:t>
      </w:r>
    </w:p>
    <w:p>
      <w:pPr>
        <w:pStyle w:val="5"/>
        <w:numPr>
          <w:ilvl w:val="0"/>
          <w:numId w:val="0"/>
        </w:numPr>
        <w:ind w:firstLine="643" w:firstLineChars="200"/>
        <w:rPr>
          <w:rFonts w:hint="default" w:ascii="Times New Roman" w:hAnsi="Times New Roman" w:cs="Times New Roman"/>
          <w:color w:val="auto"/>
        </w:rPr>
      </w:pPr>
      <w:bookmarkStart w:id="121" w:name="_Toc23267052"/>
      <w:bookmarkStart w:id="122" w:name="_Toc16619"/>
      <w:bookmarkStart w:id="123" w:name="_Toc23264926"/>
      <w:bookmarkStart w:id="124" w:name="_Toc5970"/>
      <w:bookmarkStart w:id="125" w:name="_Toc23266441"/>
      <w:r>
        <w:rPr>
          <w:rFonts w:hint="default" w:ascii="Times New Roman" w:hAnsi="Times New Roman" w:cs="Times New Roman"/>
          <w:color w:val="auto"/>
          <w:lang w:val="en-US" w:eastAsia="zh-CN"/>
        </w:rPr>
        <w:t>3.</w:t>
      </w:r>
      <w:r>
        <w:rPr>
          <w:rFonts w:hint="default" w:ascii="Times New Roman" w:hAnsi="Times New Roman" w:cs="Times New Roman"/>
          <w:color w:val="auto"/>
        </w:rPr>
        <w:t>项目产出</w:t>
      </w:r>
      <w:bookmarkEnd w:id="121"/>
      <w:bookmarkEnd w:id="122"/>
      <w:bookmarkEnd w:id="123"/>
      <w:bookmarkEnd w:id="124"/>
      <w:bookmarkEnd w:id="125"/>
    </w:p>
    <w:p>
      <w:pPr>
        <w:pStyle w:val="26"/>
        <w:rPr>
          <w:rFonts w:hint="default" w:ascii="Times New Roman" w:hAnsi="Times New Roman" w:cs="Times New Roman"/>
          <w:color w:val="auto"/>
        </w:rPr>
      </w:pPr>
      <w:r>
        <w:rPr>
          <w:rFonts w:hint="default" w:ascii="Times New Roman" w:hAnsi="Times New Roman" w:cs="Times New Roman"/>
          <w:color w:val="auto"/>
        </w:rPr>
        <w:t>项目</w:t>
      </w:r>
      <w:r>
        <w:rPr>
          <w:rFonts w:hint="default" w:ascii="Times New Roman" w:hAnsi="Times New Roman" w:cs="Times New Roman"/>
          <w:color w:val="auto"/>
          <w:lang w:val="en-US" w:eastAsia="zh-CN"/>
        </w:rPr>
        <w:t>产出类</w:t>
      </w:r>
      <w:r>
        <w:rPr>
          <w:rFonts w:hint="default" w:ascii="Times New Roman" w:hAnsi="Times New Roman" w:cs="Times New Roman"/>
          <w:color w:val="auto"/>
        </w:rPr>
        <w:t>指标包含</w:t>
      </w:r>
      <w:r>
        <w:rPr>
          <w:rFonts w:hint="default" w:ascii="Times New Roman" w:hAnsi="Times New Roman" w:cs="Times New Roman"/>
          <w:color w:val="auto"/>
          <w:lang w:val="en-US" w:eastAsia="zh-CN"/>
        </w:rPr>
        <w:t>3</w:t>
      </w:r>
      <w:r>
        <w:rPr>
          <w:rFonts w:hint="default" w:ascii="Times New Roman" w:hAnsi="Times New Roman" w:cs="Times New Roman"/>
          <w:color w:val="auto"/>
        </w:rPr>
        <w:t>个二级指标</w:t>
      </w:r>
      <w:r>
        <w:rPr>
          <w:rFonts w:hint="default" w:ascii="Times New Roman" w:hAnsi="Times New Roman" w:cs="Times New Roman"/>
          <w:color w:val="auto"/>
          <w:lang w:val="en-US" w:eastAsia="zh-CN"/>
        </w:rPr>
        <w:t>5</w:t>
      </w:r>
      <w:r>
        <w:rPr>
          <w:rFonts w:hint="default" w:ascii="Times New Roman" w:hAnsi="Times New Roman" w:cs="Times New Roman"/>
          <w:color w:val="auto"/>
        </w:rPr>
        <w:t>个三级指标，权重为</w:t>
      </w:r>
      <w:r>
        <w:rPr>
          <w:rFonts w:hint="default" w:ascii="Times New Roman" w:hAnsi="Times New Roman" w:cs="Times New Roman"/>
          <w:color w:val="auto"/>
          <w:lang w:val="en-US" w:eastAsia="zh-CN"/>
        </w:rPr>
        <w:t>23</w:t>
      </w:r>
      <w:r>
        <w:rPr>
          <w:rFonts w:hint="default" w:ascii="Times New Roman" w:hAnsi="Times New Roman" w:cs="Times New Roman"/>
          <w:color w:val="auto"/>
        </w:rPr>
        <w:t>分，该项得分</w:t>
      </w:r>
      <w:r>
        <w:rPr>
          <w:rFonts w:hint="default" w:ascii="Times New Roman" w:hAnsi="Times New Roman" w:cs="Times New Roman"/>
          <w:color w:val="auto"/>
          <w:lang w:val="en-US" w:eastAsia="zh-CN"/>
        </w:rPr>
        <w:t>22.</w:t>
      </w:r>
      <w:r>
        <w:rPr>
          <w:rFonts w:hint="eastAsia" w:cs="Times New Roman"/>
          <w:color w:val="auto"/>
          <w:lang w:val="en-US" w:eastAsia="zh-CN"/>
        </w:rPr>
        <w:t>86</w:t>
      </w:r>
      <w:r>
        <w:rPr>
          <w:rFonts w:hint="default" w:ascii="Times New Roman" w:hAnsi="Times New Roman" w:cs="Times New Roman"/>
          <w:color w:val="auto"/>
        </w:rPr>
        <w:t>分，得分率</w:t>
      </w:r>
      <w:r>
        <w:rPr>
          <w:rFonts w:hint="default" w:ascii="Times New Roman" w:hAnsi="Times New Roman" w:cs="Times New Roman"/>
          <w:color w:val="auto"/>
          <w:lang w:val="en-US" w:eastAsia="zh-CN"/>
        </w:rPr>
        <w:t>99.</w:t>
      </w:r>
      <w:r>
        <w:rPr>
          <w:rFonts w:hint="eastAsia" w:cs="Times New Roman"/>
          <w:color w:val="auto"/>
          <w:lang w:val="en-US" w:eastAsia="zh-CN"/>
        </w:rPr>
        <w:t>38</w:t>
      </w:r>
      <w:r>
        <w:rPr>
          <w:rFonts w:hint="default" w:ascii="Times New Roman" w:hAnsi="Times New Roman" w:cs="Times New Roman"/>
          <w:color w:val="auto"/>
        </w:rPr>
        <w:t>%。项各指标得分情况如表3-</w:t>
      </w:r>
      <w:r>
        <w:rPr>
          <w:rFonts w:hint="default" w:ascii="Times New Roman" w:hAnsi="Times New Roman" w:cs="Times New Roman"/>
          <w:color w:val="auto"/>
          <w:lang w:val="en-US" w:eastAsia="zh-CN"/>
        </w:rPr>
        <w:t>4</w:t>
      </w:r>
      <w:r>
        <w:rPr>
          <w:rFonts w:hint="default" w:ascii="Times New Roman" w:hAnsi="Times New Roman" w:cs="Times New Roman"/>
          <w:color w:val="auto"/>
        </w:rPr>
        <w:t>：</w:t>
      </w:r>
    </w:p>
    <w:p>
      <w:pPr>
        <w:pStyle w:val="29"/>
        <w:widowControl w:val="0"/>
        <w:wordWrap/>
        <w:adjustRightInd/>
        <w:snapToGrid/>
        <w:spacing w:before="0" w:after="0" w:line="560" w:lineRule="exact"/>
        <w:ind w:firstLine="561"/>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表3-4 产出类指标得分情况表</w:t>
      </w:r>
    </w:p>
    <w:tbl>
      <w:tblPr>
        <w:tblStyle w:val="19"/>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903"/>
        <w:gridCol w:w="1310"/>
        <w:gridCol w:w="126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700" w:type="dxa"/>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二级指标</w:t>
            </w:r>
          </w:p>
        </w:tc>
        <w:tc>
          <w:tcPr>
            <w:tcW w:w="2903" w:type="dxa"/>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三级指标</w:t>
            </w:r>
          </w:p>
        </w:tc>
        <w:tc>
          <w:tcPr>
            <w:tcW w:w="1310" w:type="dxa"/>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权重</w:t>
            </w:r>
          </w:p>
        </w:tc>
        <w:tc>
          <w:tcPr>
            <w:tcW w:w="1260" w:type="dxa"/>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w:t>
            </w:r>
          </w:p>
        </w:tc>
        <w:tc>
          <w:tcPr>
            <w:tcW w:w="1352" w:type="dxa"/>
            <w:shd w:val="clear" w:color="auto" w:fill="BFBFBF"/>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0" w:type="dxa"/>
            <w:vMerge w:val="restart"/>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C1产出数量（11）</w:t>
            </w:r>
          </w:p>
        </w:tc>
        <w:tc>
          <w:tcPr>
            <w:tcW w:w="2903"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C11项目建设实施完成率</w:t>
            </w:r>
          </w:p>
        </w:tc>
        <w:tc>
          <w:tcPr>
            <w:tcW w:w="131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6</w:t>
            </w:r>
          </w:p>
        </w:tc>
        <w:tc>
          <w:tcPr>
            <w:tcW w:w="126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lang w:val="en-US"/>
              </w:rPr>
            </w:pPr>
            <w:r>
              <w:rPr>
                <w:rFonts w:hint="default" w:ascii="Times New Roman" w:hAnsi="Times New Roman" w:eastAsia="仿宋_GB2312" w:cs="Times New Roman"/>
                <w:i w:val="0"/>
                <w:iCs w:val="0"/>
                <w:color w:val="auto"/>
                <w:kern w:val="0"/>
                <w:sz w:val="21"/>
                <w:szCs w:val="21"/>
                <w:u w:val="none"/>
                <w:lang w:val="en-US" w:eastAsia="zh-CN"/>
              </w:rPr>
              <w:t>5.</w:t>
            </w:r>
            <w:r>
              <w:rPr>
                <w:rFonts w:hint="eastAsia" w:ascii="Times New Roman" w:hAnsi="Times New Roman" w:eastAsia="仿宋_GB2312" w:cs="Times New Roman"/>
                <w:i w:val="0"/>
                <w:iCs w:val="0"/>
                <w:color w:val="auto"/>
                <w:kern w:val="0"/>
                <w:sz w:val="21"/>
                <w:szCs w:val="21"/>
                <w:u w:val="none"/>
                <w:lang w:val="en-US" w:eastAsia="zh-CN"/>
              </w:rPr>
              <w:t>95</w:t>
            </w:r>
          </w:p>
        </w:tc>
        <w:tc>
          <w:tcPr>
            <w:tcW w:w="1352"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rPr>
              <w:t>99.22</w:t>
            </w:r>
            <w:r>
              <w:rPr>
                <w:rFonts w:hint="default" w:ascii="Times New Roman" w:hAnsi="Times New Roman" w:eastAsia="仿宋_GB2312" w:cs="Times New Roman"/>
                <w:i w:val="0"/>
                <w:iCs w:val="0"/>
                <w:color w:val="auto"/>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0" w:type="dxa"/>
            <w:vMerge w:val="continue"/>
            <w:vAlign w:val="center"/>
          </w:tcPr>
          <w:p>
            <w:pPr>
              <w:jc w:val="center"/>
              <w:rPr>
                <w:rFonts w:hint="default" w:ascii="Times New Roman" w:hAnsi="Times New Roman" w:eastAsia="仿宋_GB2312" w:cs="Times New Roman"/>
                <w:i w:val="0"/>
                <w:iCs w:val="0"/>
                <w:color w:val="auto"/>
                <w:sz w:val="21"/>
                <w:szCs w:val="21"/>
                <w:u w:val="none"/>
              </w:rPr>
            </w:pPr>
          </w:p>
        </w:tc>
        <w:tc>
          <w:tcPr>
            <w:tcW w:w="2903"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C12资金落实到项目比例</w:t>
            </w:r>
          </w:p>
        </w:tc>
        <w:tc>
          <w:tcPr>
            <w:tcW w:w="131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5</w:t>
            </w:r>
          </w:p>
        </w:tc>
        <w:tc>
          <w:tcPr>
            <w:tcW w:w="126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4.91 </w:t>
            </w:r>
          </w:p>
        </w:tc>
        <w:tc>
          <w:tcPr>
            <w:tcW w:w="1352"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98.10%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0" w:type="dxa"/>
            <w:vMerge w:val="restart"/>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C2产出质量（7）</w:t>
            </w:r>
          </w:p>
        </w:tc>
        <w:tc>
          <w:tcPr>
            <w:tcW w:w="2903"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C21项目验收合格率</w:t>
            </w:r>
          </w:p>
        </w:tc>
        <w:tc>
          <w:tcPr>
            <w:tcW w:w="131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4</w:t>
            </w:r>
          </w:p>
        </w:tc>
        <w:tc>
          <w:tcPr>
            <w:tcW w:w="126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4.00 </w:t>
            </w:r>
          </w:p>
        </w:tc>
        <w:tc>
          <w:tcPr>
            <w:tcW w:w="1352"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0" w:type="dxa"/>
            <w:vMerge w:val="continue"/>
            <w:vAlign w:val="center"/>
          </w:tcPr>
          <w:p>
            <w:pPr>
              <w:jc w:val="center"/>
              <w:rPr>
                <w:rFonts w:hint="default" w:ascii="Times New Roman" w:hAnsi="Times New Roman" w:eastAsia="仿宋_GB2312" w:cs="Times New Roman"/>
                <w:i w:val="0"/>
                <w:iCs w:val="0"/>
                <w:color w:val="auto"/>
                <w:sz w:val="21"/>
                <w:szCs w:val="21"/>
                <w:u w:val="none"/>
              </w:rPr>
            </w:pPr>
          </w:p>
        </w:tc>
        <w:tc>
          <w:tcPr>
            <w:tcW w:w="2903"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C22工程质量达标率</w:t>
            </w:r>
          </w:p>
        </w:tc>
        <w:tc>
          <w:tcPr>
            <w:tcW w:w="131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3</w:t>
            </w:r>
          </w:p>
        </w:tc>
        <w:tc>
          <w:tcPr>
            <w:tcW w:w="126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3.00 </w:t>
            </w:r>
          </w:p>
        </w:tc>
        <w:tc>
          <w:tcPr>
            <w:tcW w:w="1352"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C3产出时效（5）</w:t>
            </w:r>
          </w:p>
        </w:tc>
        <w:tc>
          <w:tcPr>
            <w:tcW w:w="2903"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C31项目完成及时率</w:t>
            </w:r>
          </w:p>
        </w:tc>
        <w:tc>
          <w:tcPr>
            <w:tcW w:w="131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5</w:t>
            </w:r>
          </w:p>
        </w:tc>
        <w:tc>
          <w:tcPr>
            <w:tcW w:w="1260"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 xml:space="preserve">5.00 </w:t>
            </w:r>
          </w:p>
        </w:tc>
        <w:tc>
          <w:tcPr>
            <w:tcW w:w="1352" w:type="dxa"/>
            <w:vAlign w:val="center"/>
          </w:tcPr>
          <w:p>
            <w:pPr>
              <w:widowControl/>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3" w:type="dxa"/>
            <w:gridSpan w:val="2"/>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合计</w:t>
            </w:r>
          </w:p>
        </w:tc>
        <w:tc>
          <w:tcPr>
            <w:tcW w:w="1310" w:type="dxa"/>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23</w:t>
            </w:r>
          </w:p>
        </w:tc>
        <w:tc>
          <w:tcPr>
            <w:tcW w:w="1260" w:type="dxa"/>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lang w:val="en-US"/>
              </w:rPr>
            </w:pPr>
            <w:r>
              <w:rPr>
                <w:rFonts w:hint="default" w:ascii="Times New Roman" w:hAnsi="Times New Roman" w:eastAsia="仿宋_GB2312" w:cs="Times New Roman"/>
                <w:b/>
                <w:bCs/>
                <w:i w:val="0"/>
                <w:iCs w:val="0"/>
                <w:color w:val="auto"/>
                <w:kern w:val="0"/>
                <w:sz w:val="21"/>
                <w:szCs w:val="21"/>
                <w:u w:val="none"/>
                <w:lang w:val="en-US" w:eastAsia="zh-CN"/>
              </w:rPr>
              <w:t>22.</w:t>
            </w:r>
            <w:r>
              <w:rPr>
                <w:rFonts w:hint="eastAsia" w:ascii="Times New Roman" w:hAnsi="Times New Roman" w:eastAsia="仿宋_GB2312" w:cs="Times New Roman"/>
                <w:b/>
                <w:bCs/>
                <w:i w:val="0"/>
                <w:iCs w:val="0"/>
                <w:color w:val="auto"/>
                <w:kern w:val="0"/>
                <w:sz w:val="21"/>
                <w:szCs w:val="21"/>
                <w:u w:val="none"/>
                <w:lang w:val="en-US" w:eastAsia="zh-CN"/>
              </w:rPr>
              <w:t>86</w:t>
            </w:r>
          </w:p>
        </w:tc>
        <w:tc>
          <w:tcPr>
            <w:tcW w:w="1352" w:type="dxa"/>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99.</w:t>
            </w:r>
            <w:r>
              <w:rPr>
                <w:rFonts w:hint="eastAsia" w:ascii="Times New Roman" w:hAnsi="Times New Roman" w:eastAsia="仿宋_GB2312" w:cs="Times New Roman"/>
                <w:b/>
                <w:bCs/>
                <w:i w:val="0"/>
                <w:iCs w:val="0"/>
                <w:color w:val="auto"/>
                <w:kern w:val="0"/>
                <w:sz w:val="21"/>
                <w:szCs w:val="21"/>
                <w:u w:val="none"/>
                <w:lang w:val="en-US" w:eastAsia="zh-CN"/>
              </w:rPr>
              <w:t>38</w:t>
            </w:r>
            <w:r>
              <w:rPr>
                <w:rFonts w:hint="default" w:ascii="Times New Roman" w:hAnsi="Times New Roman" w:eastAsia="仿宋_GB2312" w:cs="Times New Roman"/>
                <w:b/>
                <w:bCs/>
                <w:i w:val="0"/>
                <w:iCs w:val="0"/>
                <w:color w:val="auto"/>
                <w:kern w:val="0"/>
                <w:sz w:val="21"/>
                <w:szCs w:val="21"/>
                <w:u w:val="none"/>
                <w:lang w:val="en-US" w:eastAsia="zh-CN"/>
              </w:rPr>
              <w:t>%</w:t>
            </w:r>
          </w:p>
        </w:tc>
      </w:tr>
    </w:tbl>
    <w:p>
      <w:pPr>
        <w:pStyle w:val="2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项目建设实施总体进度较好。2021年，滑县财政衔接推进乡村振兴补助资金实施范围涉及全县各类项目38</w:t>
      </w:r>
      <w:r>
        <w:rPr>
          <w:rFonts w:hint="eastAsia" w:cs="Times New Roman"/>
          <w:color w:val="auto"/>
          <w:lang w:val="en-US" w:eastAsia="zh-CN"/>
        </w:rPr>
        <w:t>8</w:t>
      </w:r>
      <w:r>
        <w:rPr>
          <w:rFonts w:hint="default" w:ascii="Times New Roman" w:hAnsi="Times New Roman" w:cs="Times New Roman"/>
          <w:color w:val="auto"/>
          <w:lang w:val="en-US" w:eastAsia="zh-CN"/>
        </w:rPr>
        <w:t>个，包括农村基础设施类项目（背街小巷硬化奖补、道路硬化、农村生活废水排水、危房改造、以工代赈）277个、产业发展类项目（产业设施配套、村集体经济发展滑丰智能化种子加工产业、冷库建设扶持、设施农业产业扶持、农产品加工扶持）107个、雨露计划、小额贷款贴息等其他类项目</w:t>
      </w:r>
      <w:r>
        <w:rPr>
          <w:rFonts w:hint="eastAsia" w:cs="Times New Roman"/>
          <w:color w:val="auto"/>
          <w:lang w:val="en-US" w:eastAsia="zh-CN"/>
        </w:rPr>
        <w:t>4</w:t>
      </w:r>
      <w:r>
        <w:rPr>
          <w:rFonts w:hint="default" w:ascii="Times New Roman" w:hAnsi="Times New Roman" w:cs="Times New Roman"/>
          <w:color w:val="auto"/>
          <w:lang w:val="en-US" w:eastAsia="zh-CN"/>
        </w:rPr>
        <w:t>个。截至评价期结束，38</w:t>
      </w:r>
      <w:r>
        <w:rPr>
          <w:rFonts w:hint="eastAsia" w:cs="Times New Roman"/>
          <w:color w:val="auto"/>
          <w:lang w:val="en-US" w:eastAsia="zh-CN"/>
        </w:rPr>
        <w:t>5</w:t>
      </w:r>
      <w:r>
        <w:rPr>
          <w:rFonts w:hint="default" w:ascii="Times New Roman" w:hAnsi="Times New Roman" w:cs="Times New Roman"/>
          <w:color w:val="auto"/>
          <w:lang w:val="en-US" w:eastAsia="zh-CN"/>
        </w:rPr>
        <w:t>个项目</w:t>
      </w:r>
      <w:r>
        <w:rPr>
          <w:rFonts w:hint="default" w:ascii="Times New Roman" w:hAnsi="Times New Roman" w:cs="Times New Roman"/>
          <w:color w:val="auto"/>
        </w:rPr>
        <w:t>已完成</w:t>
      </w:r>
      <w:r>
        <w:rPr>
          <w:rFonts w:hint="default" w:ascii="Times New Roman" w:hAnsi="Times New Roman" w:cs="Times New Roman"/>
          <w:color w:val="auto"/>
          <w:lang w:val="en-US" w:eastAsia="zh-CN"/>
        </w:rPr>
        <w:t>建设任务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项目完工率为</w:t>
      </w:r>
      <w:r>
        <w:rPr>
          <w:rFonts w:hint="eastAsia" w:cs="Times New Roman"/>
          <w:color w:val="auto"/>
          <w:lang w:val="en-US" w:eastAsia="zh-CN"/>
        </w:rPr>
        <w:t>99.22</w:t>
      </w:r>
      <w:r>
        <w:rPr>
          <w:rFonts w:hint="default" w:ascii="Times New Roman" w:hAnsi="Times New Roman" w:cs="Times New Roman"/>
          <w:color w:val="auto"/>
          <w:lang w:val="en-US" w:eastAsia="zh-CN"/>
        </w:rPr>
        <w:t>%。产出质量总体达标，各项目验收合格率达100%，各项工程质量达标率为100%；项目完工总体较为及时。</w:t>
      </w:r>
    </w:p>
    <w:p>
      <w:pPr>
        <w:pStyle w:val="5"/>
        <w:numPr>
          <w:ilvl w:val="0"/>
          <w:numId w:val="0"/>
        </w:numPr>
        <w:ind w:firstLine="643" w:firstLineChars="200"/>
        <w:rPr>
          <w:rFonts w:hint="default" w:ascii="Times New Roman" w:hAnsi="Times New Roman" w:cs="Times New Roman"/>
          <w:color w:val="auto"/>
          <w:lang w:val="en-US" w:eastAsia="zh-CN"/>
        </w:rPr>
      </w:pPr>
      <w:bookmarkStart w:id="126" w:name="_Toc23267053"/>
      <w:bookmarkStart w:id="127" w:name="_Toc23266442"/>
      <w:bookmarkStart w:id="128" w:name="_Toc23264927"/>
      <w:bookmarkStart w:id="129" w:name="_Toc18499"/>
      <w:bookmarkStart w:id="130" w:name="_Toc14144"/>
      <w:r>
        <w:rPr>
          <w:rFonts w:hint="default" w:ascii="Times New Roman" w:hAnsi="Times New Roman" w:cs="Times New Roman"/>
          <w:color w:val="auto"/>
          <w:lang w:val="en-US" w:eastAsia="zh-CN"/>
        </w:rPr>
        <w:t>4.项目成本</w:t>
      </w:r>
    </w:p>
    <w:p>
      <w:pPr>
        <w:pStyle w:val="2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产出成本类指标包括1个二级指标1个三级指标，主要从经济成本角度进行考察。该指标权重分5分，得分5分，得分率100%。依据滑县财政局提供的项目资金支付进度表，结合项目单位自评情况，抽取的5类项目预算安排资金7165.67万元，实际支付金额7154.53万元，项目成本控制在预算范围内。</w:t>
      </w:r>
    </w:p>
    <w:p>
      <w:pPr>
        <w:pStyle w:val="5"/>
        <w:numPr>
          <w:ilvl w:val="0"/>
          <w:numId w:val="0"/>
        </w:numPr>
        <w:ind w:firstLine="643"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r>
        <w:rPr>
          <w:rFonts w:hint="default" w:ascii="Times New Roman" w:hAnsi="Times New Roman" w:cs="Times New Roman"/>
          <w:color w:val="auto"/>
        </w:rPr>
        <w:t>项目</w:t>
      </w:r>
      <w:bookmarkEnd w:id="126"/>
      <w:bookmarkEnd w:id="127"/>
      <w:bookmarkEnd w:id="128"/>
      <w:bookmarkEnd w:id="129"/>
      <w:bookmarkEnd w:id="130"/>
      <w:r>
        <w:rPr>
          <w:rFonts w:hint="default" w:ascii="Times New Roman" w:hAnsi="Times New Roman" w:cs="Times New Roman"/>
          <w:color w:val="auto"/>
          <w:lang w:val="en-US" w:eastAsia="zh-CN"/>
        </w:rPr>
        <w:t>效益</w:t>
      </w:r>
    </w:p>
    <w:p>
      <w:pPr>
        <w:pStyle w:val="2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项目效益类指标共包含4个二级指标7个三级指标，权重分32分，得分29分，得分率90.63%。各指标得分情况如表3-5所示：</w:t>
      </w:r>
    </w:p>
    <w:p>
      <w:pPr>
        <w:pStyle w:val="25"/>
        <w:widowControl w:val="0"/>
        <w:wordWrap/>
        <w:autoSpaceDE w:val="0"/>
        <w:autoSpaceDN w:val="0"/>
        <w:adjustRightInd w:val="0"/>
        <w:snapToGrid/>
        <w:spacing w:line="560" w:lineRule="exact"/>
        <w:jc w:val="center"/>
        <w:textAlignment w:val="auto"/>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lang w:val="en-US" w:eastAsia="zh-CN"/>
        </w:rPr>
        <w:t>表3-5 效益类指标得分情况表</w:t>
      </w:r>
    </w:p>
    <w:tbl>
      <w:tblPr>
        <w:tblStyle w:val="19"/>
        <w:tblpPr w:leftFromText="180" w:rightFromText="180" w:vertAnchor="text" w:horzAnchor="page" w:tblpX="1797" w:tblpY="301"/>
        <w:tblOverlap w:val="never"/>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3836"/>
        <w:gridCol w:w="839"/>
        <w:gridCol w:w="101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trPr>
        <w:tc>
          <w:tcPr>
            <w:tcW w:w="17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二级指标</w:t>
            </w:r>
          </w:p>
        </w:tc>
        <w:tc>
          <w:tcPr>
            <w:tcW w:w="3836"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三级指标</w:t>
            </w:r>
          </w:p>
        </w:tc>
        <w:tc>
          <w:tcPr>
            <w:tcW w:w="83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权重</w:t>
            </w:r>
          </w:p>
        </w:tc>
        <w:tc>
          <w:tcPr>
            <w:tcW w:w="101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w:t>
            </w:r>
          </w:p>
        </w:tc>
        <w:tc>
          <w:tcPr>
            <w:tcW w:w="114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E1</w:t>
            </w:r>
            <w:r>
              <w:rPr>
                <w:rFonts w:hint="default" w:ascii="Times New Roman" w:hAnsi="Times New Roman" w:eastAsia="仿宋_GB2312" w:cs="Times New Roman"/>
                <w:i w:val="0"/>
                <w:iCs w:val="0"/>
                <w:color w:val="auto"/>
                <w:kern w:val="0"/>
                <w:sz w:val="21"/>
                <w:szCs w:val="21"/>
                <w:u w:val="none"/>
                <w:lang w:val="en-US" w:eastAsia="zh-CN"/>
              </w:rPr>
              <w:t>经济效益（</w:t>
            </w:r>
            <w:r>
              <w:rPr>
                <w:rFonts w:hint="default" w:ascii="Times New Roman" w:hAnsi="Times New Roman" w:eastAsia="宋体" w:cs="Times New Roman"/>
                <w:i w:val="0"/>
                <w:iCs w:val="0"/>
                <w:color w:val="auto"/>
                <w:kern w:val="0"/>
                <w:sz w:val="21"/>
                <w:szCs w:val="21"/>
                <w:u w:val="none"/>
                <w:lang w:val="en-US" w:eastAsia="zh-CN"/>
              </w:rPr>
              <w:t>11</w:t>
            </w:r>
            <w:r>
              <w:rPr>
                <w:rFonts w:hint="default" w:ascii="Times New Roman" w:hAnsi="Times New Roman" w:eastAsia="仿宋_GB2312" w:cs="Times New Roman"/>
                <w:i w:val="0"/>
                <w:iCs w:val="0"/>
                <w:color w:val="auto"/>
                <w:kern w:val="0"/>
                <w:sz w:val="21"/>
                <w:szCs w:val="21"/>
                <w:u w:val="none"/>
                <w:lang w:val="en-US" w:eastAsia="zh-CN"/>
              </w:rPr>
              <w:t>）</w:t>
            </w:r>
          </w:p>
        </w:tc>
        <w:tc>
          <w:tcPr>
            <w:tcW w:w="3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E11</w:t>
            </w:r>
            <w:r>
              <w:rPr>
                <w:rFonts w:hint="default" w:ascii="Times New Roman" w:hAnsi="Times New Roman" w:eastAsia="仿宋_GB2312" w:cs="Times New Roman"/>
                <w:i w:val="0"/>
                <w:iCs w:val="0"/>
                <w:color w:val="auto"/>
                <w:kern w:val="0"/>
                <w:sz w:val="21"/>
                <w:szCs w:val="21"/>
                <w:u w:val="none"/>
                <w:lang w:val="en-US" w:eastAsia="zh-CN"/>
              </w:rPr>
              <w:t>农村居民人均可支配收入增长率</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6.00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E12</w:t>
            </w:r>
            <w:r>
              <w:rPr>
                <w:rFonts w:hint="default" w:ascii="Times New Roman" w:hAnsi="Times New Roman" w:eastAsia="仿宋_GB2312" w:cs="Times New Roman"/>
                <w:i w:val="0"/>
                <w:iCs w:val="0"/>
                <w:color w:val="auto"/>
                <w:kern w:val="0"/>
                <w:sz w:val="21"/>
                <w:szCs w:val="21"/>
                <w:u w:val="none"/>
                <w:lang w:val="en-US" w:eastAsia="zh-CN"/>
              </w:rPr>
              <w:t>带动增加村集体经济年收入</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5.00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E2</w:t>
            </w:r>
            <w:r>
              <w:rPr>
                <w:rFonts w:hint="default" w:ascii="Times New Roman" w:hAnsi="Times New Roman" w:eastAsia="仿宋_GB2312" w:cs="Times New Roman"/>
                <w:i w:val="0"/>
                <w:iCs w:val="0"/>
                <w:color w:val="auto"/>
                <w:kern w:val="0"/>
                <w:sz w:val="21"/>
                <w:szCs w:val="21"/>
                <w:u w:val="none"/>
                <w:lang w:val="en-US" w:eastAsia="zh-CN"/>
              </w:rPr>
              <w:t>社会效益（</w:t>
            </w:r>
            <w:r>
              <w:rPr>
                <w:rFonts w:hint="default" w:ascii="Times New Roman" w:hAnsi="Times New Roman" w:eastAsia="宋体" w:cs="Times New Roman"/>
                <w:i w:val="0"/>
                <w:iCs w:val="0"/>
                <w:color w:val="auto"/>
                <w:kern w:val="0"/>
                <w:sz w:val="21"/>
                <w:szCs w:val="21"/>
                <w:u w:val="none"/>
                <w:lang w:val="en-US" w:eastAsia="zh-CN"/>
              </w:rPr>
              <w:t>5</w:t>
            </w:r>
            <w:r>
              <w:rPr>
                <w:rFonts w:hint="default" w:ascii="Times New Roman" w:hAnsi="Times New Roman" w:eastAsia="仿宋_GB2312" w:cs="Times New Roman"/>
                <w:i w:val="0"/>
                <w:iCs w:val="0"/>
                <w:color w:val="auto"/>
                <w:kern w:val="0"/>
                <w:sz w:val="21"/>
                <w:szCs w:val="21"/>
                <w:u w:val="none"/>
                <w:lang w:val="en-US" w:eastAsia="zh-CN"/>
              </w:rPr>
              <w:t>）</w:t>
            </w:r>
          </w:p>
        </w:tc>
        <w:tc>
          <w:tcPr>
            <w:tcW w:w="3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E21</w:t>
            </w:r>
            <w:r>
              <w:rPr>
                <w:rFonts w:hint="default" w:ascii="Times New Roman" w:hAnsi="Times New Roman" w:eastAsia="仿宋_GB2312" w:cs="Times New Roman"/>
                <w:i w:val="0"/>
                <w:iCs w:val="0"/>
                <w:color w:val="auto"/>
                <w:kern w:val="0"/>
                <w:sz w:val="21"/>
                <w:szCs w:val="21"/>
                <w:u w:val="none"/>
                <w:lang w:val="en-US" w:eastAsia="zh-CN"/>
              </w:rPr>
              <w:t>惠及群众数量</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5.00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E3</w:t>
            </w:r>
            <w:r>
              <w:rPr>
                <w:rFonts w:hint="default" w:ascii="Times New Roman" w:hAnsi="Times New Roman" w:eastAsia="仿宋_GB2312" w:cs="Times New Roman"/>
                <w:i w:val="0"/>
                <w:iCs w:val="0"/>
                <w:color w:val="auto"/>
                <w:kern w:val="0"/>
                <w:sz w:val="21"/>
                <w:szCs w:val="21"/>
                <w:u w:val="none"/>
                <w:lang w:val="en-US" w:eastAsia="zh-CN"/>
              </w:rPr>
              <w:t>可持续影响（</w:t>
            </w:r>
            <w:r>
              <w:rPr>
                <w:rFonts w:hint="default" w:ascii="Times New Roman" w:hAnsi="Times New Roman" w:eastAsia="宋体" w:cs="Times New Roman"/>
                <w:i w:val="0"/>
                <w:iCs w:val="0"/>
                <w:color w:val="auto"/>
                <w:kern w:val="0"/>
                <w:sz w:val="21"/>
                <w:szCs w:val="21"/>
                <w:u w:val="none"/>
                <w:lang w:val="en-US" w:eastAsia="zh-CN"/>
              </w:rPr>
              <w:t>12</w:t>
            </w:r>
            <w:r>
              <w:rPr>
                <w:rFonts w:hint="default" w:ascii="Times New Roman" w:hAnsi="Times New Roman" w:eastAsia="仿宋_GB2312" w:cs="Times New Roman"/>
                <w:i w:val="0"/>
                <w:iCs w:val="0"/>
                <w:color w:val="auto"/>
                <w:kern w:val="0"/>
                <w:sz w:val="21"/>
                <w:szCs w:val="21"/>
                <w:u w:val="none"/>
                <w:lang w:val="en-US" w:eastAsia="zh-CN"/>
              </w:rPr>
              <w:t>）</w:t>
            </w:r>
          </w:p>
        </w:tc>
        <w:tc>
          <w:tcPr>
            <w:tcW w:w="3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E31</w:t>
            </w:r>
            <w:r>
              <w:rPr>
                <w:rFonts w:hint="default" w:ascii="Times New Roman" w:hAnsi="Times New Roman" w:eastAsia="仿宋_GB2312" w:cs="Times New Roman"/>
                <w:i w:val="0"/>
                <w:iCs w:val="0"/>
                <w:color w:val="auto"/>
                <w:kern w:val="0"/>
                <w:sz w:val="21"/>
                <w:szCs w:val="21"/>
                <w:u w:val="none"/>
                <w:lang w:val="en-US" w:eastAsia="zh-CN"/>
              </w:rPr>
              <w:t>联农带农机制有效性</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3.00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E32</w:t>
            </w:r>
            <w:r>
              <w:rPr>
                <w:rFonts w:hint="default" w:ascii="Times New Roman" w:hAnsi="Times New Roman" w:eastAsia="仿宋_GB2312" w:cs="Times New Roman"/>
                <w:i w:val="0"/>
                <w:iCs w:val="0"/>
                <w:color w:val="auto"/>
                <w:kern w:val="0"/>
                <w:sz w:val="21"/>
                <w:szCs w:val="21"/>
                <w:u w:val="none"/>
                <w:lang w:val="en-US" w:eastAsia="zh-CN"/>
              </w:rPr>
              <w:t>项目管护机制健全性</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4.00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u w:val="none"/>
              </w:rPr>
            </w:pPr>
          </w:p>
        </w:tc>
        <w:tc>
          <w:tcPr>
            <w:tcW w:w="3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E33</w:t>
            </w:r>
            <w:r>
              <w:rPr>
                <w:rFonts w:hint="default" w:ascii="Times New Roman" w:hAnsi="Times New Roman" w:eastAsia="仿宋_GB2312" w:cs="Times New Roman"/>
                <w:i w:val="0"/>
                <w:iCs w:val="0"/>
                <w:color w:val="auto"/>
                <w:kern w:val="0"/>
                <w:sz w:val="21"/>
                <w:szCs w:val="21"/>
                <w:u w:val="none"/>
                <w:lang w:val="en-US" w:eastAsia="zh-CN"/>
              </w:rPr>
              <w:t>往年项目持续发挥作用情况</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2.00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E4</w:t>
            </w:r>
            <w:r>
              <w:rPr>
                <w:rFonts w:hint="default" w:ascii="Times New Roman" w:hAnsi="Times New Roman" w:eastAsia="仿宋_GB2312" w:cs="Times New Roman"/>
                <w:i w:val="0"/>
                <w:iCs w:val="0"/>
                <w:color w:val="auto"/>
                <w:kern w:val="0"/>
                <w:sz w:val="21"/>
                <w:szCs w:val="21"/>
                <w:u w:val="none"/>
                <w:lang w:val="en-US" w:eastAsia="zh-CN"/>
              </w:rPr>
              <w:t>服务对象满意度（</w:t>
            </w:r>
            <w:r>
              <w:rPr>
                <w:rFonts w:hint="default" w:ascii="Times New Roman" w:hAnsi="Times New Roman" w:eastAsia="宋体" w:cs="Times New Roman"/>
                <w:i w:val="0"/>
                <w:iCs w:val="0"/>
                <w:color w:val="auto"/>
                <w:kern w:val="0"/>
                <w:sz w:val="21"/>
                <w:szCs w:val="21"/>
                <w:u w:val="none"/>
                <w:lang w:val="en-US" w:eastAsia="zh-CN"/>
              </w:rPr>
              <w:t>4</w:t>
            </w:r>
            <w:r>
              <w:rPr>
                <w:rFonts w:hint="default" w:ascii="Times New Roman" w:hAnsi="Times New Roman" w:eastAsia="仿宋_GB2312" w:cs="Times New Roman"/>
                <w:i w:val="0"/>
                <w:iCs w:val="0"/>
                <w:color w:val="auto"/>
                <w:kern w:val="0"/>
                <w:sz w:val="21"/>
                <w:szCs w:val="21"/>
                <w:u w:val="none"/>
                <w:lang w:val="en-US" w:eastAsia="zh-CN"/>
              </w:rPr>
              <w:t>）</w:t>
            </w:r>
          </w:p>
        </w:tc>
        <w:tc>
          <w:tcPr>
            <w:tcW w:w="3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E41</w:t>
            </w:r>
            <w:r>
              <w:rPr>
                <w:rFonts w:hint="default" w:ascii="Times New Roman" w:hAnsi="Times New Roman" w:eastAsia="仿宋_GB2312" w:cs="Times New Roman"/>
                <w:i w:val="0"/>
                <w:iCs w:val="0"/>
                <w:color w:val="auto"/>
                <w:kern w:val="0"/>
                <w:sz w:val="21"/>
                <w:szCs w:val="21"/>
                <w:u w:val="none"/>
                <w:lang w:val="en-US" w:eastAsia="zh-CN"/>
              </w:rPr>
              <w:t>脱贫户和防止返贫监测对象满意度</w:t>
            </w:r>
            <w:r>
              <w:rPr>
                <w:rFonts w:hint="default" w:ascii="Times New Roman" w:hAnsi="Times New Roman" w:eastAsia="宋体" w:cs="Times New Roman"/>
                <w:i w:val="0"/>
                <w:iCs w:val="0"/>
                <w:color w:val="auto"/>
                <w:kern w:val="0"/>
                <w:sz w:val="21"/>
                <w:szCs w:val="21"/>
                <w:u w:val="none"/>
                <w:lang w:val="en-US" w:eastAsia="zh-CN"/>
              </w:rPr>
              <w:t xml:space="preserve"> </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 xml:space="preserve">4.00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55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合计</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32</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 xml:space="preserve">29.00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rPr>
              <w:t>90.63%</w:t>
            </w:r>
          </w:p>
        </w:tc>
      </w:tr>
    </w:tbl>
    <w:p>
      <w:pPr>
        <w:pStyle w:val="2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财政衔接推进乡村振兴补助资金项目实施效益显著。2021年，滑县受扶持乡镇、行政村的农村居民人均可支配收入、带动村集体经济年收入均高于2020年。惠及群众数量达到预期标准。产业设施配套项目惠及困难群众数982户、背街小巷硬化奖补项目惠及困难群众户数5068户、村集体经济发展滑丰智能化种子加工产业项目惠及群众数量13772户、农村生活废水排水项目惠及困难群众数量8901户，均达到预期标准。所抽查的基础建设类项目均建立有管护制度；管护制度内容健全，包括管护内容、责任分工等；能够根据管护制度严格落实管护任务，管护质量较高，未出现管护不到位情况。</w:t>
      </w:r>
    </w:p>
    <w:p>
      <w:pPr>
        <w:pStyle w:val="2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但部分产业项目联农带农机制不够健全、完善。产业设施配套项目联农带农机制为农村农业产业发展提供便利条件，便于4961户群众开展农业产业生产，促进产业发展，为发展大棚蔬菜提供便利条件，提高群众满意度，缺乏明确具体的联农带农措施和预期带农效果；滑县2021年村集体经济发展滑丰智能化种子加工产业项目，按照项目资金额度，河南滑丰种业科技有限公司按每个村集体实际投资额的8%向村集体缴纳租金。通过实施该项目，可村集体经济发展积累资金，收益也可用于扶贫带贫及村内各项公益事业，联农带农</w:t>
      </w:r>
      <w:r>
        <w:rPr>
          <w:rFonts w:hint="eastAsia" w:cs="Times New Roman"/>
          <w:color w:val="auto"/>
          <w:lang w:val="en-US" w:eastAsia="zh-CN"/>
        </w:rPr>
        <w:t>机制有待完善</w:t>
      </w:r>
      <w:r>
        <w:rPr>
          <w:rFonts w:hint="default" w:ascii="Times New Roman" w:hAnsi="Times New Roman" w:cs="Times New Roman"/>
          <w:color w:val="auto"/>
          <w:lang w:val="en-US" w:eastAsia="zh-CN"/>
        </w:rPr>
        <w:t>。农民群众受益显著。脱贫户和防止返贫监测对象综合满意度达</w:t>
      </w:r>
      <w:r>
        <w:rPr>
          <w:rFonts w:hint="eastAsia" w:ascii="Times New Roman" w:hAnsi="Times New Roman" w:cs="Times New Roman"/>
          <w:color w:val="auto"/>
          <w:lang w:val="en-US" w:eastAsia="zh-CN"/>
        </w:rPr>
        <w:t>96.53</w:t>
      </w:r>
      <w:r>
        <w:rPr>
          <w:rFonts w:hint="default" w:ascii="Times New Roman" w:hAnsi="Times New Roman" w:cs="Times New Roman"/>
          <w:b w:val="0"/>
          <w:bCs w:val="0"/>
          <w:color w:val="auto"/>
          <w:lang w:val="en-US" w:eastAsia="zh-CN"/>
        </w:rPr>
        <w:t>%</w:t>
      </w:r>
      <w:r>
        <w:rPr>
          <w:rFonts w:hint="default" w:ascii="Times New Roman" w:hAnsi="Times New Roman" w:cs="Times New Roman"/>
          <w:color w:val="auto"/>
          <w:lang w:val="en-US" w:eastAsia="zh-CN"/>
        </w:rPr>
        <w:t>，满意度水平总体较高。</w:t>
      </w:r>
    </w:p>
    <w:p>
      <w:pPr>
        <w:pStyle w:val="3"/>
        <w:ind w:firstLine="640"/>
        <w:rPr>
          <w:rFonts w:hint="default" w:ascii="Times New Roman" w:hAnsi="Times New Roman" w:cs="Times New Roman"/>
          <w:b w:val="0"/>
          <w:color w:val="auto"/>
          <w:szCs w:val="32"/>
          <w:highlight w:val="yellow"/>
        </w:rPr>
      </w:pPr>
      <w:bookmarkStart w:id="131" w:name="_Toc23266443"/>
      <w:bookmarkStart w:id="132" w:name="_Toc23264928"/>
      <w:bookmarkStart w:id="133" w:name="_Toc31429"/>
      <w:r>
        <w:rPr>
          <w:rFonts w:hint="default" w:ascii="Times New Roman" w:hAnsi="Times New Roman" w:cs="Times New Roman"/>
          <w:b w:val="0"/>
          <w:color w:val="auto"/>
          <w:szCs w:val="32"/>
          <w:highlight w:val="none"/>
        </w:rPr>
        <w:t>四、主要成绩和经验做法</w:t>
      </w:r>
      <w:bookmarkEnd w:id="131"/>
      <w:bookmarkEnd w:id="132"/>
      <w:bookmarkEnd w:id="133"/>
    </w:p>
    <w:p>
      <w:pPr>
        <w:pStyle w:val="26"/>
        <w:rPr>
          <w:rFonts w:hint="default" w:ascii="Times New Roman" w:hAnsi="Times New Roman" w:cs="Times New Roman"/>
          <w:color w:val="auto"/>
          <w:lang w:val="en-US" w:eastAsia="zh-CN"/>
        </w:rPr>
      </w:pPr>
      <w:bookmarkStart w:id="134" w:name="_Toc23264930"/>
      <w:bookmarkStart w:id="135" w:name="_Toc23266445"/>
      <w:r>
        <w:rPr>
          <w:rFonts w:hint="default" w:ascii="Times New Roman" w:hAnsi="Times New Roman" w:cs="Times New Roman"/>
          <w:b/>
          <w:bCs/>
          <w:color w:val="auto"/>
          <w:lang w:val="en-US" w:eastAsia="zh-CN"/>
        </w:rPr>
        <w:t>一是突出接续核心，巩固拓展脱贫攻坚成果。</w:t>
      </w:r>
      <w:r>
        <w:rPr>
          <w:rFonts w:hint="default" w:ascii="Times New Roman" w:hAnsi="Times New Roman" w:cs="Times New Roman"/>
          <w:color w:val="auto"/>
          <w:lang w:val="en-US" w:eastAsia="zh-CN"/>
        </w:rPr>
        <w:t>严格落实“四不摘”要求，保持现有帮扶政策、资金支持、帮扶力量总体稳定。</w:t>
      </w:r>
      <w:r>
        <w:rPr>
          <w:rFonts w:hint="default" w:ascii="Times New Roman" w:hAnsi="Times New Roman" w:cs="Times New Roman"/>
          <w:color w:val="auto"/>
        </w:rPr>
        <w:t>完善体制机制，成立巩固拓展脱贫攻坚成果同乡村振兴有效衔接工作领导小组和8个工作专班；出台《滑县推进乡村振兴实施办法》，依据先整治、后提升、梯次创建的工作思路，将全县所有自然村按照</w:t>
      </w:r>
      <w:r>
        <w:rPr>
          <w:rFonts w:hint="eastAsia" w:ascii="Times New Roman" w:hAnsi="Times New Roman" w:cs="Times New Roman"/>
          <w:color w:val="auto"/>
          <w:lang w:eastAsia="zh-CN"/>
        </w:rPr>
        <w:t>“</w:t>
      </w:r>
      <w:r>
        <w:rPr>
          <w:rFonts w:hint="default" w:ascii="Times New Roman" w:hAnsi="Times New Roman" w:cs="Times New Roman"/>
          <w:color w:val="auto"/>
        </w:rPr>
        <w:t>整洁达标村、特色示范村、富裕文明村</w:t>
      </w:r>
      <w:r>
        <w:rPr>
          <w:rFonts w:hint="eastAsia" w:ascii="Times New Roman" w:hAnsi="Times New Roman" w:cs="Times New Roman"/>
          <w:color w:val="auto"/>
          <w:lang w:eastAsia="zh-CN"/>
        </w:rPr>
        <w:t>”</w:t>
      </w:r>
      <w:r>
        <w:rPr>
          <w:rFonts w:hint="default" w:ascii="Times New Roman" w:hAnsi="Times New Roman" w:cs="Times New Roman"/>
          <w:color w:val="auto"/>
        </w:rPr>
        <w:t>进行创建命名，积极开展农村人居环境整治</w:t>
      </w:r>
      <w:r>
        <w:rPr>
          <w:rFonts w:hint="eastAsia" w:ascii="Times New Roman" w:hAnsi="Times New Roman" w:cs="Times New Roman"/>
          <w:color w:val="auto"/>
          <w:lang w:eastAsia="zh-CN"/>
        </w:rPr>
        <w:t>“</w:t>
      </w:r>
      <w:r>
        <w:rPr>
          <w:rFonts w:hint="default" w:ascii="Times New Roman" w:hAnsi="Times New Roman" w:cs="Times New Roman"/>
          <w:color w:val="auto"/>
        </w:rPr>
        <w:t>五清一平一绿化</w:t>
      </w:r>
      <w:r>
        <w:rPr>
          <w:rFonts w:hint="eastAsia" w:ascii="Times New Roman" w:hAnsi="Times New Roman" w:cs="Times New Roman"/>
          <w:color w:val="auto"/>
          <w:lang w:eastAsia="zh-CN"/>
        </w:rPr>
        <w:t>”</w:t>
      </w:r>
      <w:r>
        <w:rPr>
          <w:rFonts w:hint="default" w:ascii="Times New Roman" w:hAnsi="Times New Roman" w:cs="Times New Roman"/>
          <w:color w:val="auto"/>
        </w:rPr>
        <w:t>达标村创建工作，开展农村背街小巷硬化，大力推进农村厕所革命，全面推进乡村振兴工作开展。</w:t>
      </w:r>
    </w:p>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二是实行全流程管理，实施过程分工明确责任落实。</w:t>
      </w:r>
      <w:r>
        <w:rPr>
          <w:rFonts w:hint="default" w:ascii="Times New Roman" w:hAnsi="Times New Roman" w:cs="Times New Roman"/>
          <w:color w:val="auto"/>
          <w:lang w:val="en-US" w:eastAsia="zh-CN"/>
        </w:rPr>
        <w:t>项目实施过程中村级主要负责项目申报、对项目开竣工和实施情况进行公开公示，保障群众对帮扶项目监督约束作用，保障项目顺利实施；乡级主要负责督促施工进度，监督施工质量，协调村级与施工单位关系，遇到问题及时解决，保障项目按预期计划顺利实施，按时、高质完成项目交付；县级主要对整体项目进度进行把控，督促指导各乡镇按项目实施方案实施项目，保障项目实施过程中无偏差，对项目实施关键环节进行监督指导，委托监理负责质量把关，保障项目不存在质量问题。</w:t>
      </w:r>
    </w:p>
    <w:p>
      <w:pPr>
        <w:pStyle w:val="26"/>
        <w:rPr>
          <w:rFonts w:hint="default" w:ascii="Times New Roman" w:hAnsi="Times New Roman" w:cs="Times New Roman"/>
          <w:color w:val="auto"/>
        </w:rPr>
      </w:pPr>
      <w:r>
        <w:rPr>
          <w:rFonts w:hint="default" w:ascii="Times New Roman" w:hAnsi="Times New Roman" w:cs="Times New Roman"/>
          <w:b/>
          <w:bCs/>
          <w:color w:val="auto"/>
          <w:lang w:val="en-US" w:eastAsia="zh-CN"/>
        </w:rPr>
        <w:t>三是资金投入保障有力，</w:t>
      </w:r>
      <w:r>
        <w:rPr>
          <w:rFonts w:hint="default" w:ascii="Times New Roman" w:hAnsi="Times New Roman" w:cs="Times New Roman"/>
          <w:b/>
          <w:bCs/>
          <w:color w:val="auto"/>
        </w:rPr>
        <w:t>项目建设完成度相对较高</w:t>
      </w:r>
      <w:r>
        <w:rPr>
          <w:rFonts w:hint="default" w:ascii="Times New Roman" w:hAnsi="Times New Roman" w:cs="Times New Roman"/>
          <w:b/>
          <w:bCs/>
          <w:color w:val="auto"/>
          <w:lang w:eastAsia="zh-CN"/>
        </w:rPr>
        <w:t>。</w:t>
      </w:r>
      <w:r>
        <w:rPr>
          <w:rFonts w:hint="default" w:ascii="Times New Roman" w:hAnsi="Times New Roman" w:cs="Times New Roman"/>
          <w:color w:val="auto"/>
          <w:lang w:val="en-US" w:eastAsia="zh-CN"/>
        </w:rPr>
        <w:t>资金投入稳中有增。一方面，县本级预算安排资金有所增加。2021年度滑县县本级预算安排衔接财政资金规模5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346.21万元，相较于2020年5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318.02万元增幅为0.53%。另一方面，用于产业项目资金比例大幅提升。2021年，滑县共安排落实财政衔接推进乡村振兴补助资金16</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143.21万元，包括中央资金8</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578万元，省级资金2</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219万元，县级资金5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346.21万元。各级资金用于产业发展项目资金规模为9</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127.12万元，占比56.54%，远高于2020年。同时，</w:t>
      </w:r>
      <w:r>
        <w:rPr>
          <w:rFonts w:hint="default" w:ascii="Times New Roman" w:hAnsi="Times New Roman" w:cs="Times New Roman"/>
          <w:color w:val="auto"/>
        </w:rPr>
        <w:t>为推动</w:t>
      </w:r>
      <w:r>
        <w:rPr>
          <w:rFonts w:hint="default" w:ascii="Times New Roman" w:hAnsi="Times New Roman" w:cs="Times New Roman"/>
          <w:color w:val="auto"/>
          <w:lang w:val="en-US" w:eastAsia="zh-CN"/>
        </w:rPr>
        <w:t>脱贫攻坚巩固</w:t>
      </w:r>
      <w:r>
        <w:rPr>
          <w:rFonts w:hint="default" w:ascii="Times New Roman" w:hAnsi="Times New Roman" w:cs="Times New Roman"/>
          <w:color w:val="auto"/>
        </w:rPr>
        <w:t>工作有序开展，</w:t>
      </w:r>
      <w:r>
        <w:rPr>
          <w:rFonts w:hint="default" w:ascii="Times New Roman" w:hAnsi="Times New Roman" w:cs="Times New Roman"/>
          <w:color w:val="auto"/>
          <w:lang w:val="en-US" w:eastAsia="zh-CN"/>
        </w:rPr>
        <w:t>滑县对全县涉农项目进行统筹管理</w:t>
      </w:r>
      <w:r>
        <w:rPr>
          <w:rFonts w:hint="default" w:ascii="Times New Roman" w:hAnsi="Times New Roman" w:cs="Times New Roman"/>
          <w:color w:val="auto"/>
        </w:rPr>
        <w:t>。制定帮扶计划</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设计项目</w:t>
      </w:r>
      <w:r>
        <w:rPr>
          <w:rFonts w:hint="default" w:ascii="Times New Roman" w:hAnsi="Times New Roman" w:cs="Times New Roman"/>
          <w:color w:val="auto"/>
        </w:rPr>
        <w:t>实施方案，明确帮扶责任单位、帮扶人员</w:t>
      </w:r>
      <w:r>
        <w:rPr>
          <w:rFonts w:hint="default" w:ascii="Times New Roman" w:hAnsi="Times New Roman" w:cs="Times New Roman"/>
          <w:color w:val="auto"/>
          <w:lang w:val="en-US" w:eastAsia="zh-CN"/>
        </w:rPr>
        <w:t>等，项目建设进度总体良好</w:t>
      </w:r>
      <w:r>
        <w:rPr>
          <w:rFonts w:hint="default" w:ascii="Times New Roman" w:hAnsi="Times New Roman" w:cs="Times New Roman"/>
          <w:color w:val="auto"/>
        </w:rPr>
        <w:t>。</w:t>
      </w:r>
    </w:p>
    <w:p>
      <w:pPr>
        <w:pStyle w:val="26"/>
        <w:rPr>
          <w:rFonts w:hint="default" w:ascii="Times New Roman" w:hAnsi="Times New Roman" w:cs="Times New Roman"/>
          <w:color w:val="auto"/>
        </w:rPr>
      </w:pPr>
      <w:r>
        <w:rPr>
          <w:rFonts w:hint="default" w:ascii="Times New Roman" w:hAnsi="Times New Roman" w:cs="Times New Roman"/>
          <w:b/>
          <w:bCs/>
          <w:color w:val="auto"/>
          <w:lang w:val="en-US" w:eastAsia="zh-CN"/>
        </w:rPr>
        <w:t>四是项目实施成效显著</w:t>
      </w:r>
      <w:r>
        <w:rPr>
          <w:rFonts w:hint="default" w:ascii="Times New Roman" w:hAnsi="Times New Roman" w:cs="Times New Roman"/>
          <w:b/>
          <w:bCs/>
          <w:color w:val="auto"/>
          <w:lang w:eastAsia="zh-CN"/>
        </w:rPr>
        <w:t>，</w:t>
      </w:r>
      <w:r>
        <w:rPr>
          <w:rFonts w:hint="default" w:ascii="Times New Roman" w:hAnsi="Times New Roman" w:cs="Times New Roman"/>
          <w:b/>
          <w:bCs/>
          <w:color w:val="auto"/>
        </w:rPr>
        <w:t>受扶持村民整体满意度较高</w:t>
      </w:r>
      <w:r>
        <w:rPr>
          <w:rFonts w:hint="default" w:ascii="Times New Roman" w:hAnsi="Times New Roman" w:cs="Times New Roman"/>
          <w:b/>
          <w:bCs/>
          <w:color w:val="auto"/>
          <w:lang w:eastAsia="zh-CN"/>
        </w:rPr>
        <w:t>。</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乡村振兴局</w:t>
      </w:r>
      <w:r>
        <w:rPr>
          <w:rFonts w:hint="default" w:ascii="Times New Roman" w:hAnsi="Times New Roman" w:cs="Times New Roman"/>
          <w:color w:val="auto"/>
        </w:rPr>
        <w:t>根据各村（含贫困户、贫困人口）</w:t>
      </w:r>
      <w:r>
        <w:rPr>
          <w:rFonts w:hint="default" w:ascii="Times New Roman" w:hAnsi="Times New Roman" w:cs="Times New Roman"/>
          <w:color w:val="auto"/>
          <w:lang w:val="en-US" w:eastAsia="zh-CN"/>
        </w:rPr>
        <w:t>脱贫攻坚成果巩固</w:t>
      </w:r>
      <w:r>
        <w:rPr>
          <w:rFonts w:hint="default" w:ascii="Times New Roman" w:hAnsi="Times New Roman" w:cs="Times New Roman"/>
          <w:color w:val="auto"/>
        </w:rPr>
        <w:t>需求，建立科学有效的</w:t>
      </w:r>
      <w:r>
        <w:rPr>
          <w:rFonts w:hint="default" w:ascii="Times New Roman" w:hAnsi="Times New Roman" w:cs="Times New Roman"/>
          <w:color w:val="auto"/>
          <w:lang w:val="en-US" w:eastAsia="zh-CN"/>
        </w:rPr>
        <w:t>资金</w:t>
      </w:r>
      <w:r>
        <w:rPr>
          <w:rFonts w:hint="default" w:ascii="Times New Roman" w:hAnsi="Times New Roman" w:cs="Times New Roman"/>
          <w:color w:val="auto"/>
        </w:rPr>
        <w:t>投入机制，</w:t>
      </w:r>
      <w:r>
        <w:rPr>
          <w:rFonts w:hint="default" w:ascii="Times New Roman" w:hAnsi="Times New Roman" w:cs="Times New Roman"/>
          <w:color w:val="auto"/>
          <w:lang w:val="en-US" w:eastAsia="zh-CN"/>
        </w:rPr>
        <w:t>项目实施</w:t>
      </w:r>
      <w:r>
        <w:rPr>
          <w:rFonts w:hint="default" w:ascii="Times New Roman" w:hAnsi="Times New Roman" w:cs="Times New Roman"/>
          <w:color w:val="auto"/>
        </w:rPr>
        <w:t>效果显著。</w:t>
      </w:r>
      <w:r>
        <w:rPr>
          <w:rFonts w:hint="default" w:ascii="Times New Roman" w:hAnsi="Times New Roman" w:cs="Times New Roman"/>
          <w:color w:val="auto"/>
          <w:lang w:val="en-US" w:eastAsia="zh-CN"/>
        </w:rPr>
        <w:t>受扶持乡镇、行政村的农村居民人均可支配收入、带动村集体经济年收入均高于2020年。惠及群众数量达到预期标准，</w:t>
      </w:r>
      <w:r>
        <w:rPr>
          <w:rFonts w:hint="default" w:ascii="Times New Roman" w:hAnsi="Times New Roman" w:cs="Times New Roman"/>
          <w:color w:val="auto"/>
        </w:rPr>
        <w:t>未发现返贫、复贫现象。</w:t>
      </w:r>
      <w:r>
        <w:rPr>
          <w:rFonts w:hint="default" w:ascii="Times New Roman" w:hAnsi="Times New Roman" w:cs="Times New Roman"/>
          <w:color w:val="auto"/>
          <w:lang w:val="en-US" w:eastAsia="zh-CN"/>
        </w:rPr>
        <w:t>另</w:t>
      </w:r>
      <w:r>
        <w:rPr>
          <w:rFonts w:hint="default" w:ascii="Times New Roman" w:hAnsi="Times New Roman" w:cs="Times New Roman"/>
          <w:color w:val="auto"/>
        </w:rPr>
        <w:t>通过对</w:t>
      </w:r>
      <w:r>
        <w:rPr>
          <w:rFonts w:hint="default" w:ascii="Times New Roman" w:hAnsi="Times New Roman" w:cs="Times New Roman"/>
          <w:color w:val="auto"/>
          <w:lang w:val="en-US" w:eastAsia="zh-CN"/>
        </w:rPr>
        <w:t>滑县</w:t>
      </w:r>
      <w:r>
        <w:rPr>
          <w:rFonts w:hint="default" w:ascii="Times New Roman" w:hAnsi="Times New Roman" w:cs="Times New Roman"/>
          <w:color w:val="auto"/>
        </w:rPr>
        <w:t>受扶持村民进行满意度调查，脱贫户和防止返贫监测对象整体满意度为</w:t>
      </w:r>
      <w:r>
        <w:rPr>
          <w:rFonts w:hint="default" w:ascii="Times New Roman" w:hAnsi="Times New Roman" w:cs="Times New Roman"/>
          <w:color w:val="auto"/>
          <w:lang w:val="en-US" w:eastAsia="zh-CN"/>
        </w:rPr>
        <w:t>96.53%</w:t>
      </w:r>
      <w:r>
        <w:rPr>
          <w:rFonts w:hint="default" w:ascii="Times New Roman" w:hAnsi="Times New Roman" w:cs="Times New Roman"/>
          <w:color w:val="auto"/>
        </w:rPr>
        <w:t>，</w:t>
      </w:r>
      <w:r>
        <w:rPr>
          <w:rFonts w:hint="default" w:ascii="Times New Roman" w:hAnsi="Times New Roman" w:cs="Times New Roman"/>
          <w:color w:val="auto"/>
          <w:lang w:val="en-US" w:eastAsia="zh-CN"/>
        </w:rPr>
        <w:t>满意度水平总体较高</w:t>
      </w:r>
      <w:r>
        <w:rPr>
          <w:rFonts w:hint="default" w:ascii="Times New Roman" w:hAnsi="Times New Roman" w:cs="Times New Roman"/>
          <w:color w:val="auto"/>
        </w:rPr>
        <w:t>。其中，</w:t>
      </w:r>
      <w:r>
        <w:rPr>
          <w:rFonts w:hint="default" w:ascii="Times New Roman" w:hAnsi="Times New Roman" w:cs="Times New Roman"/>
          <w:color w:val="auto"/>
          <w:lang w:val="en-US" w:eastAsia="zh-CN"/>
        </w:rPr>
        <w:t>受益村民对扶持</w:t>
      </w:r>
      <w:r>
        <w:rPr>
          <w:rFonts w:hint="default" w:ascii="Times New Roman" w:hAnsi="Times New Roman" w:cs="Times New Roman"/>
          <w:color w:val="auto"/>
        </w:rPr>
        <w:t>项目遴选公开、公平、公正性的满意度</w:t>
      </w:r>
      <w:r>
        <w:rPr>
          <w:rFonts w:hint="default" w:ascii="Times New Roman" w:hAnsi="Times New Roman" w:cs="Times New Roman"/>
          <w:color w:val="auto"/>
          <w:lang w:val="en-US" w:eastAsia="zh-CN"/>
        </w:rPr>
        <w:t>达</w:t>
      </w:r>
      <w:r>
        <w:rPr>
          <w:rFonts w:hint="default" w:ascii="Times New Roman" w:hAnsi="Times New Roman" w:cs="Times New Roman"/>
          <w:color w:val="auto"/>
        </w:rPr>
        <w:t>9</w:t>
      </w:r>
      <w:r>
        <w:rPr>
          <w:rFonts w:hint="eastAsia" w:ascii="Times New Roman" w:hAnsi="Times New Roman" w:cs="Times New Roman"/>
          <w:color w:val="auto"/>
          <w:lang w:val="en-US" w:eastAsia="zh-CN"/>
        </w:rPr>
        <w:t>5</w:t>
      </w:r>
      <w:r>
        <w:rPr>
          <w:rFonts w:hint="default" w:ascii="Times New Roman" w:hAnsi="Times New Roman" w:cs="Times New Roman"/>
          <w:color w:val="auto"/>
        </w:rPr>
        <w:t>.64%</w:t>
      </w:r>
      <w:r>
        <w:rPr>
          <w:rFonts w:hint="default" w:ascii="Times New Roman" w:hAnsi="Times New Roman" w:cs="Times New Roman"/>
          <w:color w:val="auto"/>
          <w:lang w:eastAsia="zh-CN"/>
        </w:rPr>
        <w:t>，对本村项目实施过程的满意度</w:t>
      </w:r>
      <w:r>
        <w:rPr>
          <w:rFonts w:hint="default" w:ascii="Times New Roman" w:hAnsi="Times New Roman" w:cs="Times New Roman"/>
          <w:color w:val="auto"/>
          <w:lang w:val="en-US" w:eastAsia="zh-CN"/>
        </w:rPr>
        <w:t>达</w:t>
      </w:r>
      <w:r>
        <w:rPr>
          <w:rFonts w:hint="default" w:ascii="Times New Roman" w:hAnsi="Times New Roman" w:cs="Times New Roman"/>
          <w:color w:val="auto"/>
          <w:lang w:eastAsia="zh-CN"/>
        </w:rPr>
        <w:t>9</w:t>
      </w:r>
      <w:r>
        <w:rPr>
          <w:rFonts w:hint="eastAsia" w:ascii="Times New Roman" w:hAnsi="Times New Roman" w:cs="Times New Roman"/>
          <w:color w:val="auto"/>
          <w:lang w:val="en-US" w:eastAsia="zh-CN"/>
        </w:rPr>
        <w:t>4</w:t>
      </w:r>
      <w:r>
        <w:rPr>
          <w:rFonts w:hint="default" w:ascii="Times New Roman" w:hAnsi="Times New Roman" w:cs="Times New Roman"/>
          <w:color w:val="auto"/>
          <w:lang w:eastAsia="zh-CN"/>
        </w:rPr>
        <w:t>.97%，对</w:t>
      </w:r>
      <w:r>
        <w:rPr>
          <w:rFonts w:hint="default" w:ascii="Times New Roman" w:hAnsi="Times New Roman" w:cs="Times New Roman"/>
          <w:color w:val="auto"/>
          <w:lang w:val="en-US" w:eastAsia="zh-CN"/>
        </w:rPr>
        <w:t>帮扶</w:t>
      </w:r>
      <w:r>
        <w:rPr>
          <w:rFonts w:hint="default" w:ascii="Times New Roman" w:hAnsi="Times New Roman" w:cs="Times New Roman"/>
          <w:color w:val="auto"/>
          <w:lang w:eastAsia="zh-CN"/>
        </w:rPr>
        <w:t>人员工作态度和能力的满意度</w:t>
      </w:r>
      <w:r>
        <w:rPr>
          <w:rFonts w:hint="default" w:ascii="Times New Roman" w:hAnsi="Times New Roman" w:cs="Times New Roman"/>
          <w:color w:val="auto"/>
          <w:lang w:val="en-US" w:eastAsia="zh-CN"/>
        </w:rPr>
        <w:t>达</w:t>
      </w:r>
      <w:r>
        <w:rPr>
          <w:rFonts w:hint="default" w:ascii="Times New Roman" w:hAnsi="Times New Roman" w:cs="Times New Roman"/>
          <w:color w:val="auto"/>
          <w:lang w:eastAsia="zh-CN"/>
        </w:rPr>
        <w:t>9</w:t>
      </w:r>
      <w:r>
        <w:rPr>
          <w:rFonts w:hint="eastAsia" w:ascii="Times New Roman" w:hAnsi="Times New Roman" w:cs="Times New Roman"/>
          <w:color w:val="auto"/>
          <w:lang w:val="en-US" w:eastAsia="zh-CN"/>
        </w:rPr>
        <w:t>6.</w:t>
      </w:r>
      <w:r>
        <w:rPr>
          <w:rFonts w:hint="default" w:ascii="Times New Roman" w:hAnsi="Times New Roman" w:cs="Times New Roman"/>
          <w:color w:val="auto"/>
          <w:lang w:eastAsia="zh-CN"/>
        </w:rPr>
        <w:t>64%</w:t>
      </w:r>
      <w:r>
        <w:rPr>
          <w:rFonts w:hint="default" w:ascii="Times New Roman" w:hAnsi="Times New Roman" w:cs="Times New Roman"/>
          <w:color w:val="auto"/>
        </w:rPr>
        <w:t>，</w:t>
      </w:r>
      <w:r>
        <w:rPr>
          <w:rFonts w:hint="default" w:ascii="Times New Roman" w:hAnsi="Times New Roman" w:cs="Times New Roman"/>
          <w:color w:val="auto"/>
          <w:lang w:eastAsia="zh-CN"/>
        </w:rPr>
        <w:t>对本村项目促进农民增收效果的满意度</w:t>
      </w:r>
      <w:r>
        <w:rPr>
          <w:rFonts w:hint="default" w:ascii="Times New Roman" w:hAnsi="Times New Roman" w:cs="Times New Roman"/>
          <w:color w:val="auto"/>
          <w:lang w:val="en-US" w:eastAsia="zh-CN"/>
        </w:rPr>
        <w:t>达</w:t>
      </w:r>
      <w:r>
        <w:rPr>
          <w:rFonts w:hint="default" w:ascii="Times New Roman" w:hAnsi="Times New Roman" w:cs="Times New Roman"/>
          <w:color w:val="auto"/>
          <w:lang w:eastAsia="zh-CN"/>
        </w:rPr>
        <w:t>9</w:t>
      </w:r>
      <w:r>
        <w:rPr>
          <w:rFonts w:hint="eastAsia" w:ascii="Times New Roman" w:hAnsi="Times New Roman" w:cs="Times New Roman"/>
          <w:color w:val="auto"/>
          <w:lang w:val="en-US" w:eastAsia="zh-CN"/>
        </w:rPr>
        <w:t>7</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5</w:t>
      </w:r>
      <w:r>
        <w:rPr>
          <w:rFonts w:hint="default" w:ascii="Times New Roman" w:hAnsi="Times New Roman" w:cs="Times New Roman"/>
          <w:color w:val="auto"/>
          <w:lang w:eastAsia="zh-CN"/>
        </w:rPr>
        <w:t>4%，</w:t>
      </w:r>
      <w:r>
        <w:rPr>
          <w:rFonts w:hint="default" w:ascii="Times New Roman" w:hAnsi="Times New Roman" w:cs="Times New Roman"/>
          <w:color w:val="auto"/>
          <w:lang w:val="en-US" w:eastAsia="zh-CN"/>
        </w:rPr>
        <w:t>滑县脱贫攻坚巩固</w:t>
      </w:r>
      <w:r>
        <w:rPr>
          <w:rFonts w:hint="default" w:ascii="Times New Roman" w:hAnsi="Times New Roman" w:cs="Times New Roman"/>
          <w:color w:val="auto"/>
        </w:rPr>
        <w:t>工作得到村民</w:t>
      </w:r>
      <w:r>
        <w:rPr>
          <w:rFonts w:hint="default" w:ascii="Times New Roman" w:hAnsi="Times New Roman" w:cs="Times New Roman"/>
          <w:color w:val="auto"/>
          <w:lang w:val="en-US" w:eastAsia="zh-CN"/>
        </w:rPr>
        <w:t>广泛</w:t>
      </w:r>
      <w:r>
        <w:rPr>
          <w:rFonts w:hint="default" w:ascii="Times New Roman" w:hAnsi="Times New Roman" w:cs="Times New Roman"/>
          <w:color w:val="auto"/>
        </w:rPr>
        <w:t>认可。</w:t>
      </w:r>
    </w:p>
    <w:bookmarkEnd w:id="134"/>
    <w:bookmarkEnd w:id="135"/>
    <w:p>
      <w:pPr>
        <w:pStyle w:val="3"/>
        <w:numPr>
          <w:ilvl w:val="0"/>
          <w:numId w:val="3"/>
        </w:numPr>
        <w:ind w:firstLine="640"/>
        <w:rPr>
          <w:rFonts w:hint="default" w:ascii="Times New Roman" w:hAnsi="Times New Roman" w:cs="Times New Roman"/>
          <w:b w:val="0"/>
          <w:color w:val="auto"/>
          <w:szCs w:val="32"/>
        </w:rPr>
      </w:pPr>
      <w:bookmarkStart w:id="136" w:name="_Toc4687"/>
      <w:bookmarkStart w:id="137" w:name="_Toc23264934"/>
      <w:bookmarkStart w:id="138" w:name="_Toc23266446"/>
      <w:r>
        <w:rPr>
          <w:rFonts w:hint="default" w:ascii="Times New Roman" w:hAnsi="Times New Roman" w:cs="Times New Roman"/>
          <w:b w:val="0"/>
          <w:color w:val="auto"/>
          <w:szCs w:val="32"/>
        </w:rPr>
        <w:t>存在的主要问题</w:t>
      </w:r>
      <w:bookmarkEnd w:id="136"/>
    </w:p>
    <w:p>
      <w:pPr>
        <w:pStyle w:val="26"/>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一是部分产业类项目联动带农模式</w:t>
      </w:r>
      <w:r>
        <w:rPr>
          <w:rFonts w:hint="eastAsia" w:cs="Times New Roman"/>
          <w:b/>
          <w:bCs/>
          <w:color w:val="auto"/>
          <w:lang w:val="en-US" w:eastAsia="zh-CN"/>
        </w:rPr>
        <w:t>需优化完善</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eastAsia="zh-CN"/>
        </w:rPr>
        <w:t>滑县2021年村集体经济发展滑丰智能化种子加工产业项目主要实施内容为按照项目资金额度，河南滑丰种业科技有限公司按每个村集体实际投资额的8%向村集体缴纳租金。通过实施该项目，可</w:t>
      </w:r>
      <w:r>
        <w:rPr>
          <w:rFonts w:hint="eastAsia" w:cs="Times New Roman"/>
          <w:color w:val="auto"/>
          <w:lang w:val="en-US" w:eastAsia="zh-CN"/>
        </w:rPr>
        <w:t>为</w:t>
      </w:r>
      <w:r>
        <w:rPr>
          <w:rFonts w:hint="default" w:ascii="Times New Roman" w:hAnsi="Times New Roman" w:cs="Times New Roman"/>
          <w:color w:val="auto"/>
          <w:lang w:val="en-US" w:eastAsia="zh-CN"/>
        </w:rPr>
        <w:t>村集体经济发展积累资金，收益也可用于扶贫带贫及村内各项公益事业。联农带农模式</w:t>
      </w:r>
      <w:r>
        <w:rPr>
          <w:rFonts w:hint="eastAsia" w:cs="Times New Roman"/>
          <w:color w:val="auto"/>
          <w:lang w:val="en-US" w:eastAsia="zh-CN"/>
        </w:rPr>
        <w:t>一是</w:t>
      </w:r>
      <w:r>
        <w:rPr>
          <w:rFonts w:hint="default" w:ascii="Times New Roman" w:hAnsi="Times New Roman" w:cs="Times New Roman"/>
          <w:color w:val="auto"/>
          <w:lang w:val="en-US" w:eastAsia="zh-CN"/>
        </w:rPr>
        <w:t>滑丰种业缴纳租金，</w:t>
      </w:r>
      <w:r>
        <w:rPr>
          <w:rFonts w:hint="eastAsia" w:cs="Times New Roman"/>
          <w:color w:val="auto"/>
          <w:lang w:val="en-US" w:eastAsia="zh-CN"/>
        </w:rPr>
        <w:t>并</w:t>
      </w:r>
      <w:r>
        <w:rPr>
          <w:rFonts w:hint="default" w:ascii="Times New Roman" w:hAnsi="Times New Roman" w:cs="Times New Roman"/>
          <w:color w:val="auto"/>
          <w:lang w:val="en-US" w:eastAsia="zh-CN"/>
        </w:rPr>
        <w:t>与村内小麦种植农户签订优质小麦订单收购合同，增加签订合同户种植收入</w:t>
      </w:r>
      <w:r>
        <w:rPr>
          <w:rFonts w:hint="eastAsia" w:cs="Times New Roman"/>
          <w:color w:val="auto"/>
          <w:lang w:val="en-US" w:eastAsia="zh-CN"/>
        </w:rPr>
        <w:t>，联动带农模式需进一步优化完善</w:t>
      </w:r>
      <w:r>
        <w:rPr>
          <w:rFonts w:hint="default" w:ascii="Times New Roman" w:hAnsi="Times New Roman" w:cs="Times New Roman"/>
          <w:color w:val="auto"/>
          <w:lang w:val="en-US" w:eastAsia="zh-CN"/>
        </w:rPr>
        <w:t>。</w:t>
      </w:r>
    </w:p>
    <w:p>
      <w:pPr>
        <w:pStyle w:val="26"/>
        <w:rPr>
          <w:rFonts w:hint="default" w:ascii="Times New Roman" w:hAnsi="Times New Roman" w:cs="Times New Roman"/>
          <w:color w:val="auto"/>
          <w:lang w:val="en-US" w:eastAsia="zh-CN"/>
        </w:rPr>
      </w:pPr>
      <w:r>
        <w:rPr>
          <w:rFonts w:hint="eastAsia" w:cs="Times New Roman"/>
          <w:b/>
          <w:bCs/>
          <w:color w:val="auto"/>
          <w:lang w:val="en-US" w:eastAsia="zh-CN"/>
        </w:rPr>
        <w:t>二</w:t>
      </w:r>
      <w:r>
        <w:rPr>
          <w:rFonts w:hint="default" w:ascii="Times New Roman" w:hAnsi="Times New Roman" w:cs="Times New Roman"/>
          <w:b/>
          <w:bCs/>
          <w:color w:val="auto"/>
          <w:lang w:val="en-US" w:eastAsia="zh-CN"/>
        </w:rPr>
        <w:t>是部分乡（镇）、村级公告公示内容不够完整。</w:t>
      </w:r>
      <w:r>
        <w:rPr>
          <w:rFonts w:hint="default" w:ascii="Times New Roman" w:hAnsi="Times New Roman" w:cs="Times New Roman"/>
          <w:color w:val="auto"/>
        </w:rPr>
        <w:t>根据</w:t>
      </w:r>
      <w:r>
        <w:rPr>
          <w:rFonts w:hint="default" w:ascii="Times New Roman" w:hAnsi="Times New Roman" w:cs="Times New Roman"/>
          <w:color w:val="auto"/>
          <w:lang w:val="en-US" w:eastAsia="zh-CN"/>
        </w:rPr>
        <w:t>脱贫攻坚项目公告公示要求，乡（镇）、村级应设置脱贫攻坚专项公告公示牌，对相关内容进行公示。公示内容应包括：资金项目公告公示制度、年度资金项目安排计划、上年度资金项目计划完成情况、脱贫攻坚项目库等内容。经评价组实地核查，部分乡（镇）、村级公告公示未就项目公告公示制度等进行公告公示。</w:t>
      </w:r>
    </w:p>
    <w:p>
      <w:pPr>
        <w:pStyle w:val="3"/>
        <w:numPr>
          <w:ilvl w:val="0"/>
          <w:numId w:val="3"/>
        </w:numPr>
        <w:ind w:firstLine="640"/>
        <w:rPr>
          <w:rFonts w:hint="default" w:ascii="Times New Roman" w:hAnsi="Times New Roman" w:cs="Times New Roman"/>
          <w:b w:val="0"/>
          <w:color w:val="auto"/>
          <w:szCs w:val="32"/>
        </w:rPr>
      </w:pPr>
      <w:bookmarkStart w:id="139" w:name="_Toc12491"/>
      <w:r>
        <w:rPr>
          <w:rFonts w:hint="default" w:ascii="Times New Roman" w:hAnsi="Times New Roman" w:cs="Times New Roman"/>
          <w:b w:val="0"/>
          <w:color w:val="auto"/>
          <w:szCs w:val="32"/>
        </w:rPr>
        <w:t>有关建议</w:t>
      </w:r>
      <w:bookmarkEnd w:id="137"/>
      <w:bookmarkEnd w:id="138"/>
      <w:bookmarkEnd w:id="139"/>
    </w:p>
    <w:p>
      <w:pPr>
        <w:pStyle w:val="26"/>
        <w:rPr>
          <w:rFonts w:hint="default" w:ascii="Times New Roman" w:hAnsi="Times New Roman" w:cs="Times New Roman"/>
          <w:color w:val="auto"/>
        </w:rPr>
      </w:pPr>
      <w:r>
        <w:rPr>
          <w:rFonts w:hint="default" w:ascii="Times New Roman" w:hAnsi="Times New Roman" w:cs="Times New Roman"/>
          <w:b/>
          <w:bCs/>
          <w:color w:val="auto"/>
          <w:lang w:val="en-US" w:eastAsia="zh-CN"/>
        </w:rPr>
        <w:t>一是完善项目联农带农和后续帮扶跟进机制。</w:t>
      </w:r>
      <w:r>
        <w:rPr>
          <w:rFonts w:hint="default" w:ascii="Times New Roman" w:hAnsi="Times New Roman" w:cs="Times New Roman"/>
          <w:color w:val="auto"/>
          <w:lang w:val="en-US" w:eastAsia="zh-CN"/>
        </w:rPr>
        <w:t>通过政策引导，根据受扶持村民自身条件与发展需求，与村民建立多形式的利益联结方式，如股份联结、订单联结、服务联结、劳务联结等形式，促进利益联结机制多样化，全面巩固脱贫攻坚成果，避免出现复贫、返贫现象。同时，</w:t>
      </w:r>
      <w:r>
        <w:rPr>
          <w:rFonts w:hint="default" w:ascii="Times New Roman" w:hAnsi="Times New Roman" w:cs="Times New Roman"/>
          <w:color w:val="auto"/>
        </w:rPr>
        <w:t>建议各乡镇</w:t>
      </w:r>
      <w:r>
        <w:rPr>
          <w:rFonts w:hint="default" w:ascii="Times New Roman" w:hAnsi="Times New Roman" w:cs="Times New Roman"/>
          <w:color w:val="auto"/>
          <w:lang w:val="en-US" w:eastAsia="zh-CN"/>
        </w:rPr>
        <w:t>政府</w:t>
      </w:r>
      <w:r>
        <w:rPr>
          <w:rFonts w:hint="default" w:ascii="Times New Roman" w:hAnsi="Times New Roman" w:cs="Times New Roman"/>
          <w:color w:val="auto"/>
        </w:rPr>
        <w:t>和村委完善</w:t>
      </w:r>
      <w:r>
        <w:rPr>
          <w:rFonts w:hint="default" w:ascii="Times New Roman" w:hAnsi="Times New Roman" w:cs="Times New Roman"/>
          <w:color w:val="auto"/>
          <w:lang w:val="en-US" w:eastAsia="zh-CN"/>
        </w:rPr>
        <w:t>扶持</w:t>
      </w:r>
      <w:r>
        <w:rPr>
          <w:rFonts w:hint="default" w:ascii="Times New Roman" w:hAnsi="Times New Roman" w:cs="Times New Roman"/>
          <w:color w:val="auto"/>
        </w:rPr>
        <w:t>项目后期帮扶跟进措施，并增加浮动收益，保障</w:t>
      </w:r>
      <w:r>
        <w:rPr>
          <w:rFonts w:hint="default" w:ascii="Times New Roman" w:hAnsi="Times New Roman" w:cs="Times New Roman"/>
          <w:color w:val="auto"/>
          <w:lang w:val="en-US" w:eastAsia="zh-CN"/>
        </w:rPr>
        <w:t>实施</w:t>
      </w:r>
      <w:r>
        <w:rPr>
          <w:rFonts w:hint="default" w:ascii="Times New Roman" w:hAnsi="Times New Roman" w:cs="Times New Roman"/>
          <w:color w:val="auto"/>
        </w:rPr>
        <w:t>效果。明确项目建设结束后，如何在一定期限内继续帮助</w:t>
      </w:r>
      <w:r>
        <w:rPr>
          <w:rFonts w:hint="default" w:ascii="Times New Roman" w:hAnsi="Times New Roman" w:cs="Times New Roman"/>
          <w:color w:val="auto"/>
          <w:lang w:val="en-US" w:eastAsia="zh-CN"/>
        </w:rPr>
        <w:t>受扶持</w:t>
      </w:r>
      <w:r>
        <w:rPr>
          <w:rFonts w:hint="default" w:ascii="Times New Roman" w:hAnsi="Times New Roman" w:cs="Times New Roman"/>
          <w:color w:val="auto"/>
        </w:rPr>
        <w:t>村民</w:t>
      </w:r>
      <w:r>
        <w:rPr>
          <w:rFonts w:hint="default" w:ascii="Times New Roman" w:hAnsi="Times New Roman" w:cs="Times New Roman"/>
          <w:color w:val="auto"/>
          <w:lang w:val="en-US" w:eastAsia="zh-CN"/>
        </w:rPr>
        <w:t>持续收益</w:t>
      </w:r>
      <w:r>
        <w:rPr>
          <w:rFonts w:hint="default" w:ascii="Times New Roman" w:hAnsi="Times New Roman" w:cs="Times New Roman"/>
          <w:color w:val="auto"/>
        </w:rPr>
        <w:t>等方式方法。可通过对</w:t>
      </w:r>
      <w:r>
        <w:rPr>
          <w:rFonts w:hint="default" w:ascii="Times New Roman" w:hAnsi="Times New Roman" w:cs="Times New Roman"/>
          <w:color w:val="auto"/>
          <w:lang w:val="en-US" w:eastAsia="zh-CN"/>
        </w:rPr>
        <w:t>扶持</w:t>
      </w:r>
      <w:r>
        <w:rPr>
          <w:rFonts w:hint="default" w:ascii="Times New Roman" w:hAnsi="Times New Roman" w:cs="Times New Roman"/>
          <w:color w:val="auto"/>
        </w:rPr>
        <w:t>人口进行定期跟踪、反馈的方式，了解</w:t>
      </w:r>
      <w:r>
        <w:rPr>
          <w:rFonts w:hint="default" w:ascii="Times New Roman" w:hAnsi="Times New Roman" w:cs="Times New Roman"/>
          <w:color w:val="auto"/>
          <w:lang w:val="en-US" w:eastAsia="zh-CN"/>
        </w:rPr>
        <w:t>帮扶村</w:t>
      </w:r>
      <w:r>
        <w:rPr>
          <w:rFonts w:hint="default" w:ascii="Times New Roman" w:hAnsi="Times New Roman" w:cs="Times New Roman"/>
          <w:color w:val="auto"/>
        </w:rPr>
        <w:t>有关设施投入使用、运营情况，以及村民实际生活情况，避免出现脱贫人口再次返贫等问题。</w:t>
      </w:r>
    </w:p>
    <w:p>
      <w:pPr>
        <w:pStyle w:val="26"/>
        <w:rPr>
          <w:rFonts w:hint="default" w:ascii="Times New Roman" w:hAnsi="Times New Roman" w:cs="Times New Roman"/>
          <w:color w:val="auto"/>
          <w:lang w:val="en-US" w:eastAsia="zh-CN"/>
        </w:rPr>
      </w:pPr>
      <w:r>
        <w:rPr>
          <w:rFonts w:hint="eastAsia" w:cs="Times New Roman"/>
          <w:b/>
          <w:bCs/>
          <w:color w:val="auto"/>
          <w:lang w:val="en-US" w:eastAsia="zh-CN"/>
        </w:rPr>
        <w:t>二</w:t>
      </w:r>
      <w:r>
        <w:rPr>
          <w:rFonts w:hint="default" w:ascii="Times New Roman" w:hAnsi="Times New Roman" w:cs="Times New Roman"/>
          <w:b/>
          <w:bCs/>
          <w:color w:val="auto"/>
          <w:lang w:val="en-US" w:eastAsia="zh-CN"/>
        </w:rPr>
        <w:t>是</w:t>
      </w:r>
      <w:r>
        <w:rPr>
          <w:rFonts w:hint="default" w:ascii="Times New Roman" w:hAnsi="Times New Roman" w:cs="Times New Roman"/>
          <w:b/>
          <w:bCs/>
          <w:color w:val="auto"/>
        </w:rPr>
        <w:t>加强</w:t>
      </w:r>
      <w:r>
        <w:rPr>
          <w:rFonts w:hint="default" w:ascii="Times New Roman" w:hAnsi="Times New Roman" w:cs="Times New Roman"/>
          <w:b/>
          <w:bCs/>
          <w:color w:val="auto"/>
          <w:lang w:val="en-US" w:eastAsia="zh-CN"/>
        </w:rPr>
        <w:t>乡（镇）、村级公告公示</w:t>
      </w:r>
      <w:r>
        <w:rPr>
          <w:rFonts w:hint="default" w:ascii="Times New Roman" w:hAnsi="Times New Roman" w:cs="Times New Roman"/>
          <w:b/>
          <w:bCs/>
          <w:color w:val="auto"/>
        </w:rPr>
        <w:t>管理</w:t>
      </w:r>
      <w:r>
        <w:rPr>
          <w:rFonts w:hint="default" w:ascii="Times New Roman" w:hAnsi="Times New Roman" w:cs="Times New Roman"/>
          <w:b/>
          <w:bCs/>
          <w:color w:val="auto"/>
          <w:lang w:eastAsia="zh-CN"/>
        </w:rPr>
        <w:t>。</w:t>
      </w:r>
      <w:r>
        <w:rPr>
          <w:rFonts w:hint="default" w:ascii="Times New Roman" w:hAnsi="Times New Roman" w:cs="Times New Roman"/>
          <w:color w:val="auto"/>
          <w:lang w:val="en-US" w:eastAsia="zh-CN"/>
        </w:rPr>
        <w:t>一方面，加强宣传、讲解工作。</w:t>
      </w:r>
      <w:r>
        <w:rPr>
          <w:rFonts w:hint="default" w:ascii="Times New Roman" w:hAnsi="Times New Roman" w:cs="Times New Roman"/>
          <w:color w:val="auto"/>
        </w:rPr>
        <w:t>建议</w:t>
      </w:r>
      <w:r>
        <w:rPr>
          <w:rFonts w:hint="default" w:ascii="Times New Roman" w:hAnsi="Times New Roman" w:cs="Times New Roman"/>
          <w:color w:val="auto"/>
          <w:lang w:val="en-US" w:eastAsia="zh-CN"/>
        </w:rPr>
        <w:t>滑县</w:t>
      </w:r>
      <w:r>
        <w:rPr>
          <w:rFonts w:hint="default" w:ascii="Times New Roman" w:hAnsi="Times New Roman" w:cs="Times New Roman"/>
          <w:color w:val="auto"/>
          <w:lang w:eastAsia="zh-CN"/>
        </w:rPr>
        <w:t>乡村振兴局、</w:t>
      </w:r>
      <w:r>
        <w:rPr>
          <w:rFonts w:hint="default" w:ascii="Times New Roman" w:hAnsi="Times New Roman" w:cs="Times New Roman"/>
          <w:color w:val="auto"/>
        </w:rPr>
        <w:t>财政局定期派出工作人员对各</w:t>
      </w:r>
      <w:r>
        <w:rPr>
          <w:rFonts w:hint="default" w:ascii="Times New Roman" w:hAnsi="Times New Roman" w:cs="Times New Roman"/>
          <w:color w:val="auto"/>
          <w:lang w:val="en-US" w:eastAsia="zh-CN"/>
        </w:rPr>
        <w:t>乡（镇）、行政村脱贫攻坚项目</w:t>
      </w:r>
      <w:r>
        <w:rPr>
          <w:rFonts w:hint="default" w:ascii="Times New Roman" w:hAnsi="Times New Roman" w:cs="Times New Roman"/>
          <w:color w:val="auto"/>
        </w:rPr>
        <w:t>负责人进行</w:t>
      </w:r>
      <w:r>
        <w:rPr>
          <w:rFonts w:hint="default" w:ascii="Times New Roman" w:hAnsi="Times New Roman" w:cs="Times New Roman"/>
          <w:color w:val="auto"/>
          <w:lang w:val="en-US" w:eastAsia="zh-CN"/>
        </w:rPr>
        <w:t>公告公示制度宣传</w:t>
      </w:r>
      <w:r>
        <w:rPr>
          <w:rFonts w:hint="default" w:ascii="Times New Roman" w:hAnsi="Times New Roman" w:cs="Times New Roman"/>
          <w:color w:val="auto"/>
        </w:rPr>
        <w:t>，可通过集中培训或定期调研等形式，在每年项目申报前，针对项目</w:t>
      </w:r>
      <w:r>
        <w:rPr>
          <w:rFonts w:hint="default" w:ascii="Times New Roman" w:hAnsi="Times New Roman" w:cs="Times New Roman"/>
          <w:color w:val="auto"/>
          <w:lang w:val="en-US" w:eastAsia="zh-CN"/>
        </w:rPr>
        <w:t>公告公示制度的完整性、规范性</w:t>
      </w:r>
      <w:r>
        <w:rPr>
          <w:rFonts w:hint="default" w:ascii="Times New Roman" w:hAnsi="Times New Roman" w:cs="Times New Roman"/>
          <w:color w:val="auto"/>
        </w:rPr>
        <w:t>等内容进行讲解，帮助项目申报单位答疑解惑，提高</w:t>
      </w:r>
      <w:r>
        <w:rPr>
          <w:rFonts w:hint="default" w:ascii="Times New Roman" w:hAnsi="Times New Roman" w:cs="Times New Roman"/>
          <w:color w:val="auto"/>
          <w:lang w:val="en-US" w:eastAsia="zh-CN"/>
        </w:rPr>
        <w:t>乡（镇）、村公告公示制度完整性、规范性</w:t>
      </w:r>
      <w:r>
        <w:rPr>
          <w:rFonts w:hint="default" w:ascii="Times New Roman" w:hAnsi="Times New Roman" w:cs="Times New Roman"/>
          <w:color w:val="auto"/>
        </w:rPr>
        <w:t>，并由此促进项目建设实施的规范性与可行性。</w:t>
      </w:r>
      <w:r>
        <w:rPr>
          <w:rFonts w:hint="default" w:ascii="Times New Roman" w:hAnsi="Times New Roman" w:cs="Times New Roman"/>
          <w:color w:val="auto"/>
          <w:lang w:val="en-US" w:eastAsia="zh-CN"/>
        </w:rPr>
        <w:t>另一方面，加强监督管理工作。建议滑县乡村振兴局在项目公告公示关键节点定期开展专项督导工作，以图片资料、实地调研等形式审核各乡（镇）、村级公告公示制度完整性、规范性，将公告公示工作完成较好的单位树立为学习典型，促进全县项目公告公示工作全面提升。</w:t>
      </w:r>
    </w:p>
    <w:p>
      <w:pPr>
        <w:pStyle w:val="26"/>
        <w:rPr>
          <w:rFonts w:hint="default" w:ascii="Times New Roman" w:hAnsi="Times New Roman" w:cs="Times New Roman"/>
          <w:color w:val="auto"/>
          <w:lang w:val="en-US" w:eastAsia="zh-CN"/>
        </w:rPr>
      </w:pPr>
      <w:r>
        <w:rPr>
          <w:rFonts w:hint="eastAsia" w:cs="Times New Roman"/>
          <w:b/>
          <w:bCs/>
          <w:color w:val="auto"/>
          <w:lang w:val="en-US" w:eastAsia="zh-CN"/>
        </w:rPr>
        <w:t>三</w:t>
      </w:r>
      <w:r>
        <w:rPr>
          <w:rFonts w:hint="default" w:ascii="Times New Roman" w:hAnsi="Times New Roman" w:cs="Times New Roman"/>
          <w:b/>
          <w:bCs/>
          <w:color w:val="auto"/>
          <w:lang w:val="en-US" w:eastAsia="zh-CN"/>
        </w:rPr>
        <w:t>是</w:t>
      </w:r>
      <w:r>
        <w:rPr>
          <w:rFonts w:hint="eastAsia" w:ascii="Times New Roman" w:hAnsi="Times New Roman" w:cs="Times New Roman"/>
          <w:b/>
          <w:bCs/>
          <w:color w:val="auto"/>
          <w:lang w:val="en-US" w:eastAsia="zh-CN"/>
        </w:rPr>
        <w:t>促进</w:t>
      </w:r>
      <w:r>
        <w:rPr>
          <w:rFonts w:hint="default" w:ascii="Times New Roman" w:hAnsi="Times New Roman" w:cs="Times New Roman"/>
          <w:b/>
          <w:bCs/>
          <w:color w:val="auto"/>
          <w:lang w:val="en-US" w:eastAsia="zh-CN"/>
        </w:rPr>
        <w:t>产业类项目联农带农模式多样化。</w:t>
      </w:r>
      <w:r>
        <w:rPr>
          <w:rFonts w:hint="default" w:ascii="Times New Roman" w:hAnsi="Times New Roman" w:cs="Times New Roman"/>
          <w:color w:val="auto"/>
          <w:lang w:val="en-US" w:eastAsia="zh-CN"/>
        </w:rPr>
        <w:t>以多样化、多类型产业类项目促进脱贫攻坚成果巩固模式多样化、可持续性。一是对外学习借鉴。通过不定期对其他县区脱贫攻坚工作调研考察，学习先进经验，研究如何进一步通过产业类项目带动困难群众就业情况，通过就业带动困难群众技能提升，促进脱贫攻坚项目与扶持群众之间形成良性循环。二是对内深度挖掘。立足滑县固有条件，精准定位产业类项目发展方向，因地制宜挖掘本地优势产业，打造一批特色产业类项目，提升产业类项目多样性，进一步促进利益链接模式多样化。</w:t>
      </w:r>
    </w:p>
    <w:p>
      <w:pPr>
        <w:pStyle w:val="26"/>
        <w:tabs>
          <w:tab w:val="left" w:pos="6948"/>
        </w:tabs>
        <w:spacing w:before="120" w:after="60"/>
        <w:rPr>
          <w:rFonts w:hint="default" w:ascii="Times New Roman" w:hAnsi="Times New Roman" w:cs="Times New Roman"/>
          <w:color w:val="auto"/>
        </w:rPr>
      </w:pPr>
      <w:r>
        <w:rPr>
          <w:rFonts w:hint="default" w:ascii="Times New Roman" w:hAnsi="Times New Roman" w:eastAsia="黑体" w:cs="Times New Roman"/>
          <w:b/>
          <w:bCs/>
          <w:color w:val="auto"/>
          <w:kern w:val="44"/>
          <w:sz w:val="32"/>
          <w:szCs w:val="44"/>
          <w:lang w:val="en-US" w:eastAsia="zh-CN" w:bidi="ar-SA"/>
        </w:rPr>
        <w:t>七、绩效评价结果应用建议</w:t>
      </w:r>
    </w:p>
    <w:p>
      <w:pPr>
        <w:pStyle w:val="26"/>
        <w:rPr>
          <w:rFonts w:hint="default" w:ascii="Times New Roman" w:hAnsi="Times New Roman" w:cs="Times New Roman"/>
          <w:color w:val="auto"/>
        </w:rPr>
      </w:pPr>
      <w:r>
        <w:rPr>
          <w:rFonts w:hint="default" w:ascii="Times New Roman" w:hAnsi="Times New Roman" w:cs="Times New Roman"/>
          <w:color w:val="auto"/>
          <w:lang w:val="en-US" w:eastAsia="zh-CN"/>
        </w:rPr>
        <w:t>一是</w:t>
      </w:r>
      <w:r>
        <w:rPr>
          <w:rFonts w:hint="default" w:ascii="Times New Roman" w:hAnsi="Times New Roman" w:cs="Times New Roman"/>
          <w:color w:val="auto"/>
        </w:rPr>
        <w:t>把绩效评价结果作为财政部门每年安排部门预算的重要依据，为预算编制提供参考，加强项目预算准确性，尽快实现预算与绩效管理一体化。</w:t>
      </w:r>
    </w:p>
    <w:p>
      <w:pPr>
        <w:pStyle w:val="26"/>
        <w:rPr>
          <w:rFonts w:hint="default" w:ascii="Times New Roman" w:hAnsi="Times New Roman" w:cs="Times New Roman"/>
          <w:color w:val="auto"/>
        </w:rPr>
      </w:pPr>
      <w:r>
        <w:rPr>
          <w:rFonts w:hint="default" w:ascii="Times New Roman" w:hAnsi="Times New Roman" w:cs="Times New Roman"/>
          <w:color w:val="auto"/>
          <w:lang w:val="en-US" w:eastAsia="zh-CN"/>
        </w:rPr>
        <w:t>二是</w:t>
      </w:r>
      <w:r>
        <w:rPr>
          <w:rFonts w:hint="default" w:ascii="Times New Roman" w:hAnsi="Times New Roman" w:cs="Times New Roman"/>
          <w:color w:val="auto"/>
        </w:rPr>
        <w:t>利用绩效监督结果，促进主管部门增强责任和效益观念，提高财政资金支出决策水平、管理水平和资金使用效果，完善长效管理制度。硬化绩效约束。在提高预算绩效约束力方面，深入贯彻绩效评价结果，按照规定作为改进管理和编制以后年度预算的依据，落实责任，实现绩效约束提升项目产出和效益的目的。</w:t>
      </w:r>
    </w:p>
    <w:p>
      <w:pPr>
        <w:pStyle w:val="26"/>
        <w:rPr>
          <w:rFonts w:hint="default" w:ascii="Times New Roman" w:hAnsi="Times New Roman" w:cs="Times New Roman"/>
          <w:color w:val="auto"/>
        </w:rPr>
      </w:pPr>
      <w:r>
        <w:rPr>
          <w:rFonts w:hint="default" w:ascii="Times New Roman" w:hAnsi="Times New Roman" w:cs="Times New Roman"/>
          <w:color w:val="auto"/>
          <w:lang w:val="en-US" w:eastAsia="zh-CN"/>
        </w:rPr>
        <w:t>三是</w:t>
      </w:r>
      <w:r>
        <w:rPr>
          <w:rFonts w:hint="default" w:ascii="Times New Roman" w:hAnsi="Times New Roman" w:cs="Times New Roman"/>
          <w:color w:val="auto"/>
        </w:rPr>
        <w:t>公开年度预算安排和评价结果，搭建社会公众参与绩效管理的途径和平台，自觉接受社会各界监督，完善压力传导机制，落实主体责任。</w:t>
      </w:r>
    </w:p>
    <w:p>
      <w:pPr>
        <w:pStyle w:val="26"/>
        <w:rPr>
          <w:rFonts w:hint="default" w:ascii="Times New Roman" w:hAnsi="Times New Roman" w:cs="Times New Roman"/>
          <w:color w:val="auto"/>
        </w:rPr>
      </w:pPr>
      <w:r>
        <w:rPr>
          <w:rFonts w:hint="default" w:ascii="Times New Roman" w:hAnsi="Times New Roman" w:cs="Times New Roman"/>
          <w:color w:val="auto"/>
          <w:lang w:val="en-US" w:eastAsia="zh-CN"/>
        </w:rPr>
        <w:t>四是</w:t>
      </w:r>
      <w:r>
        <w:rPr>
          <w:rFonts w:hint="default" w:ascii="Times New Roman" w:hAnsi="Times New Roman" w:cs="Times New Roman"/>
          <w:color w:val="auto"/>
        </w:rPr>
        <w:t>在落实主体责任过程中逐渐加强对预算绩效管理的组织领导，切实转变思想观念，牢固树立绩效意识，完善相关政策约束，加强预算绩效管理力量，充实预算绩效管理人员，督促指导有关政策措施落实。针对预算执行率较低的问题，落实主体责任，合理分析原因并进行整改完善，总结经验教训且在下年度预算安排中应用执行。</w:t>
      </w:r>
    </w:p>
    <w:p>
      <w:pPr>
        <w:pStyle w:val="26"/>
        <w:tabs>
          <w:tab w:val="left" w:pos="6948"/>
        </w:tabs>
        <w:spacing w:before="120" w:after="60"/>
        <w:rPr>
          <w:rFonts w:hint="default" w:ascii="Times New Roman" w:hAnsi="Times New Roman" w:eastAsia="黑体" w:cs="Times New Roman"/>
          <w:b/>
          <w:bCs/>
          <w:color w:val="auto"/>
          <w:kern w:val="44"/>
          <w:sz w:val="32"/>
          <w:szCs w:val="44"/>
          <w:lang w:val="en-US" w:eastAsia="zh-CN" w:bidi="ar-SA"/>
        </w:rPr>
      </w:pPr>
      <w:bookmarkStart w:id="140" w:name="_Toc23266449"/>
      <w:bookmarkStart w:id="141" w:name="_Toc23264937"/>
      <w:r>
        <w:rPr>
          <w:rFonts w:hint="default" w:ascii="Times New Roman" w:hAnsi="Times New Roman" w:eastAsia="黑体" w:cs="Times New Roman"/>
          <w:b/>
          <w:bCs/>
          <w:color w:val="auto"/>
          <w:kern w:val="44"/>
          <w:sz w:val="32"/>
          <w:szCs w:val="44"/>
          <w:lang w:val="en-US" w:eastAsia="zh-CN" w:bidi="ar-SA"/>
        </w:rPr>
        <w:t>八、其他需要说明的问题</w:t>
      </w:r>
      <w:bookmarkEnd w:id="140"/>
      <w:bookmarkEnd w:id="141"/>
    </w:p>
    <w:p>
      <w:pPr>
        <w:pStyle w:val="26"/>
        <w:tabs>
          <w:tab w:val="left" w:pos="6948"/>
        </w:tabs>
        <w:spacing w:before="120" w:after="6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无</w:t>
      </w: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tabs>
          <w:tab w:val="left" w:pos="1020"/>
        </w:tabs>
        <w:rPr>
          <w:rFonts w:hint="default" w:ascii="Times New Roman" w:hAnsi="Times New Roman" w:cs="Times New Roman"/>
          <w:snapToGrid w:val="0"/>
          <w:color w:val="auto"/>
          <w:kern w:val="0"/>
        </w:rPr>
        <w:sectPr>
          <w:footerReference r:id="rId7" w:type="default"/>
          <w:pgSz w:w="11906" w:h="16838"/>
          <w:pgMar w:top="1440" w:right="1797" w:bottom="1440" w:left="1797" w:header="851" w:footer="992" w:gutter="0"/>
          <w:pgNumType w:fmt="decimal"/>
          <w:cols w:space="720" w:num="1"/>
          <w:docGrid w:linePitch="312" w:charSpace="0"/>
        </w:sectPr>
      </w:pPr>
      <w:r>
        <w:rPr>
          <w:rFonts w:hint="default" w:ascii="Times New Roman" w:hAnsi="Times New Roman" w:cs="Times New Roman"/>
          <w:color w:val="auto"/>
          <w:lang w:val="en-US" w:eastAsia="zh-CN"/>
        </w:rPr>
        <w:tab/>
      </w:r>
      <w:bookmarkStart w:id="142" w:name="_Toc23264938"/>
      <w:bookmarkStart w:id="143" w:name="_Toc14958636"/>
      <w:bookmarkStart w:id="144" w:name="_Toc23266450"/>
    </w:p>
    <w:p>
      <w:pPr>
        <w:pStyle w:val="3"/>
        <w:ind w:firstLine="643"/>
        <w:rPr>
          <w:rFonts w:hint="default" w:ascii="Times New Roman" w:hAnsi="Times New Roman" w:cs="Times New Roman"/>
          <w:color w:val="auto"/>
        </w:rPr>
      </w:pPr>
      <w:bookmarkStart w:id="145" w:name="_Toc3579"/>
      <w:r>
        <w:rPr>
          <w:rFonts w:hint="default" w:ascii="Times New Roman" w:hAnsi="Times New Roman" w:cs="Times New Roman"/>
          <w:snapToGrid w:val="0"/>
          <w:color w:val="auto"/>
          <w:kern w:val="0"/>
        </w:rPr>
        <w:t xml:space="preserve">附件一 </w:t>
      </w:r>
      <w:r>
        <w:rPr>
          <w:rFonts w:hint="default" w:ascii="Times New Roman" w:hAnsi="Times New Roman" w:cs="Times New Roman"/>
          <w:color w:val="auto"/>
        </w:rPr>
        <w:t>综合评分表</w:t>
      </w:r>
      <w:bookmarkEnd w:id="142"/>
      <w:bookmarkEnd w:id="143"/>
      <w:bookmarkEnd w:id="144"/>
      <w:bookmarkEnd w:id="145"/>
    </w:p>
    <w:tbl>
      <w:tblPr>
        <w:tblStyle w:val="19"/>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941"/>
        <w:gridCol w:w="946"/>
        <w:gridCol w:w="700"/>
        <w:gridCol w:w="1853"/>
        <w:gridCol w:w="1054"/>
        <w:gridCol w:w="2967"/>
        <w:gridCol w:w="3964"/>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blHeader/>
          <w:jc w:val="center"/>
        </w:trPr>
        <w:tc>
          <w:tcPr>
            <w:tcW w:w="331"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1"/>
                <w:szCs w:val="21"/>
                <w:u w:val="none"/>
                <w:lang w:val="en-US" w:eastAsia="zh-CN" w:bidi="ar"/>
              </w:rPr>
            </w:pPr>
            <w:r>
              <w:rPr>
                <w:rFonts w:hint="eastAsia" w:ascii="仿宋_GB2312" w:hAnsi="宋体" w:eastAsia="仿宋_GB2312" w:cs="仿宋_GB2312"/>
                <w:b/>
                <w:bCs/>
                <w:i w:val="0"/>
                <w:iCs w:val="0"/>
                <w:color w:val="auto"/>
                <w:kern w:val="0"/>
                <w:sz w:val="21"/>
                <w:szCs w:val="21"/>
                <w:u w:val="none"/>
                <w:lang w:val="en-US" w:eastAsia="zh-CN" w:bidi="ar"/>
              </w:rPr>
              <w:t>一级</w:t>
            </w:r>
          </w:p>
          <w:p>
            <w:pPr>
              <w:keepNext w:val="0"/>
              <w:keepLines w:val="0"/>
              <w:widowControl/>
              <w:suppressLineNumbers w:val="0"/>
              <w:jc w:val="center"/>
              <w:textAlignment w:val="center"/>
              <w:rPr>
                <w:rFonts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指标</w:t>
            </w:r>
          </w:p>
        </w:tc>
        <w:tc>
          <w:tcPr>
            <w:tcW w:w="332"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1"/>
                <w:szCs w:val="21"/>
                <w:u w:val="none"/>
                <w:lang w:val="en-US" w:eastAsia="zh-CN" w:bidi="ar"/>
              </w:rPr>
            </w:pPr>
            <w:r>
              <w:rPr>
                <w:rFonts w:hint="eastAsia" w:ascii="仿宋_GB2312" w:hAnsi="宋体" w:eastAsia="仿宋_GB2312" w:cs="仿宋_GB2312"/>
                <w:b/>
                <w:bCs/>
                <w:i w:val="0"/>
                <w:iCs w:val="0"/>
                <w:color w:val="auto"/>
                <w:kern w:val="0"/>
                <w:sz w:val="21"/>
                <w:szCs w:val="21"/>
                <w:u w:val="none"/>
                <w:lang w:val="en-US" w:eastAsia="zh-CN" w:bidi="ar"/>
              </w:rPr>
              <w:t>二级</w:t>
            </w:r>
          </w:p>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指标</w:t>
            </w:r>
          </w:p>
        </w:tc>
        <w:tc>
          <w:tcPr>
            <w:tcW w:w="333"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1"/>
                <w:szCs w:val="21"/>
                <w:u w:val="none"/>
                <w:lang w:val="en-US" w:eastAsia="zh-CN" w:bidi="ar"/>
              </w:rPr>
            </w:pPr>
            <w:r>
              <w:rPr>
                <w:rFonts w:hint="eastAsia" w:ascii="仿宋_GB2312" w:hAnsi="宋体" w:eastAsia="仿宋_GB2312" w:cs="仿宋_GB2312"/>
                <w:b/>
                <w:bCs/>
                <w:i w:val="0"/>
                <w:iCs w:val="0"/>
                <w:color w:val="auto"/>
                <w:kern w:val="0"/>
                <w:sz w:val="21"/>
                <w:szCs w:val="21"/>
                <w:u w:val="none"/>
                <w:lang w:val="en-US" w:eastAsia="zh-CN" w:bidi="ar"/>
              </w:rPr>
              <w:t>三级</w:t>
            </w:r>
          </w:p>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指标</w:t>
            </w:r>
          </w:p>
        </w:tc>
        <w:tc>
          <w:tcPr>
            <w:tcW w:w="247"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权重</w:t>
            </w:r>
          </w:p>
        </w:tc>
        <w:tc>
          <w:tcPr>
            <w:tcW w:w="654"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指标解释</w:t>
            </w:r>
          </w:p>
        </w:tc>
        <w:tc>
          <w:tcPr>
            <w:tcW w:w="372"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标杆值</w:t>
            </w:r>
          </w:p>
        </w:tc>
        <w:tc>
          <w:tcPr>
            <w:tcW w:w="1047"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评分标准</w:t>
            </w:r>
          </w:p>
        </w:tc>
        <w:tc>
          <w:tcPr>
            <w:tcW w:w="1399"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评分过程</w:t>
            </w:r>
          </w:p>
        </w:tc>
        <w:tc>
          <w:tcPr>
            <w:tcW w:w="282"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jc w:val="center"/>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w:t>
            </w:r>
            <w:r>
              <w:rPr>
                <w:rFonts w:hint="eastAsia" w:ascii="仿宋_GB2312" w:hAnsi="Times New Roman" w:eastAsia="仿宋_GB2312" w:cs="仿宋_GB2312"/>
                <w:i w:val="0"/>
                <w:iCs w:val="0"/>
                <w:color w:val="auto"/>
                <w:kern w:val="0"/>
                <w:sz w:val="21"/>
                <w:szCs w:val="21"/>
                <w:u w:val="none"/>
                <w:lang w:val="en-US" w:eastAsia="zh-CN" w:bidi="ar"/>
              </w:rPr>
              <w:t>项目决策（</w:t>
            </w:r>
            <w:r>
              <w:rPr>
                <w:rFonts w:hint="default" w:ascii="Times New Roman" w:hAnsi="Times New Roman" w:eastAsia="宋体" w:cs="Times New Roman"/>
                <w:i w:val="0"/>
                <w:iCs w:val="0"/>
                <w:color w:val="auto"/>
                <w:kern w:val="0"/>
                <w:sz w:val="21"/>
                <w:szCs w:val="21"/>
                <w:u w:val="none"/>
                <w:lang w:val="en-US" w:eastAsia="zh-CN" w:bidi="ar"/>
              </w:rPr>
              <w:t>12</w:t>
            </w:r>
            <w:r>
              <w:rPr>
                <w:rFonts w:hint="eastAsia" w:ascii="仿宋_GB2312" w:hAnsi="Times New Roman" w:eastAsia="仿宋_GB2312" w:cs="仿宋_GB2312"/>
                <w:i w:val="0"/>
                <w:iCs w:val="0"/>
                <w:color w:val="auto"/>
                <w:kern w:val="0"/>
                <w:sz w:val="21"/>
                <w:szCs w:val="21"/>
                <w:u w:val="none"/>
                <w:lang w:val="en-US" w:eastAsia="zh-CN" w:bidi="ar"/>
              </w:rPr>
              <w:t>）</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A1</w:t>
            </w:r>
            <w:r>
              <w:rPr>
                <w:rFonts w:hint="eastAsia" w:ascii="仿宋_GB2312" w:hAnsi="Times New Roman" w:eastAsia="仿宋_GB2312" w:cs="仿宋_GB2312"/>
                <w:i w:val="0"/>
                <w:iCs w:val="0"/>
                <w:color w:val="auto"/>
                <w:kern w:val="0"/>
                <w:sz w:val="21"/>
                <w:szCs w:val="21"/>
                <w:u w:val="none"/>
                <w:lang w:val="en-US" w:eastAsia="zh-CN" w:bidi="ar"/>
              </w:rPr>
              <w:t>项目立项（</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A11</w:t>
            </w:r>
            <w:r>
              <w:rPr>
                <w:rFonts w:hint="eastAsia" w:ascii="仿宋_GB2312" w:hAnsi="Times New Roman" w:eastAsia="仿宋_GB2312" w:cs="仿宋_GB2312"/>
                <w:i w:val="0"/>
                <w:iCs w:val="0"/>
                <w:color w:val="auto"/>
                <w:kern w:val="0"/>
                <w:sz w:val="21"/>
                <w:szCs w:val="21"/>
                <w:u w:val="none"/>
                <w:lang w:val="en-US" w:eastAsia="zh-CN" w:bidi="ar"/>
              </w:rPr>
              <w:t>立项依据充分性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项目立项是否符合法律法规、相关政策、发展规划以及部门职责，用以反映和考核项目立项依据情况。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充分</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项目立项符合国家法律法规、省市国民经济中长期发展规划；②项目立项符合国家、省市相关政策要求；③项目立项与本地区乡村振兴局部门职责范围相符，属于部门履职所需；④项目属于公共财政支持范围，符合中央、地方事权支出责任划分原则。以上各项各占</w:t>
            </w:r>
            <w:r>
              <w:rPr>
                <w:rFonts w:hint="default" w:ascii="Times New Roman" w:hAnsi="Times New Roman" w:eastAsia="仿宋_GB2312" w:cs="Times New Roman"/>
                <w:i w:val="0"/>
                <w:iCs w:val="0"/>
                <w:color w:val="auto"/>
                <w:kern w:val="0"/>
                <w:sz w:val="21"/>
                <w:szCs w:val="21"/>
                <w:u w:val="none"/>
                <w:lang w:val="en-US" w:eastAsia="zh-CN" w:bidi="ar"/>
              </w:rPr>
              <w:t>1/4</w:t>
            </w:r>
            <w:r>
              <w:rPr>
                <w:rFonts w:hint="eastAsia" w:ascii="仿宋_GB2312" w:hAnsi="宋体" w:eastAsia="仿宋_GB2312" w:cs="仿宋_GB2312"/>
                <w:i w:val="0"/>
                <w:iCs w:val="0"/>
                <w:color w:val="auto"/>
                <w:kern w:val="0"/>
                <w:sz w:val="21"/>
                <w:szCs w:val="21"/>
                <w:u w:val="none"/>
                <w:lang w:val="en-US" w:eastAsia="zh-CN" w:bidi="ar"/>
              </w:rPr>
              <w:t>权重分，符合得分，不符合相应扣分。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项目立项符合中共中央、国务院发布了《关于实现巩固拓展脱贫攻坚成果同乡村振兴有效衔接的意见》的政策要求；②项目立项符合中共河南省委、河南省人民政府发布《关于全面推进乡村振兴加快农业农村现代化的实施意见》关于实现巩固拓展脱贫攻坚成果同乡村振兴有效衔接等内容；③项目立项与本地区乡村振兴局部门职责范围相符，属于部门履职所需；④项目属于公共财政支持范围，符合中央、地方事权支出责任划分原则。综上，该指标得满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A12</w:t>
            </w:r>
            <w:r>
              <w:rPr>
                <w:rFonts w:hint="eastAsia" w:ascii="仿宋_GB2312" w:hAnsi="Times New Roman" w:eastAsia="仿宋_GB2312" w:cs="仿宋_GB2312"/>
                <w:i w:val="0"/>
                <w:iCs w:val="0"/>
                <w:color w:val="auto"/>
                <w:kern w:val="0"/>
                <w:sz w:val="21"/>
                <w:szCs w:val="21"/>
                <w:u w:val="none"/>
                <w:lang w:val="en-US" w:eastAsia="zh-CN" w:bidi="ar"/>
              </w:rPr>
              <w:t>立项程序规范性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项目的申请、设立过程是否符合相关要求，用以反映和考核项目立项的规范情况。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规范</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①项目按照规定的程序申请设立；②审批文件、材料符合相关要求；③事前已经过必要的可行性研究、专家论证、风险评估、集体决策等。其中①②各占</w:t>
            </w:r>
            <w:r>
              <w:rPr>
                <w:rFonts w:hint="default" w:ascii="Times New Roman" w:hAnsi="Times New Roman" w:eastAsia="仿宋_GB2312" w:cs="Times New Roman"/>
                <w:i w:val="0"/>
                <w:iCs w:val="0"/>
                <w:color w:val="auto"/>
                <w:kern w:val="0"/>
                <w:sz w:val="21"/>
                <w:szCs w:val="21"/>
                <w:u w:val="none"/>
                <w:lang w:val="en-US" w:eastAsia="zh-CN" w:bidi="ar"/>
              </w:rPr>
              <w:t>30%</w:t>
            </w:r>
            <w:r>
              <w:rPr>
                <w:rFonts w:hint="eastAsia" w:ascii="仿宋_GB2312" w:hAnsi="宋体" w:eastAsia="仿宋_GB2312" w:cs="仿宋_GB2312"/>
                <w:i w:val="0"/>
                <w:iCs w:val="0"/>
                <w:color w:val="auto"/>
                <w:kern w:val="0"/>
                <w:sz w:val="21"/>
                <w:szCs w:val="21"/>
                <w:u w:val="none"/>
                <w:lang w:val="en-US" w:eastAsia="zh-CN" w:bidi="ar"/>
              </w:rPr>
              <w:t>权重分，③占</w:t>
            </w:r>
            <w:r>
              <w:rPr>
                <w:rFonts w:hint="default" w:ascii="Times New Roman" w:hAnsi="Times New Roman" w:eastAsia="仿宋_GB2312" w:cs="Times New Roman"/>
                <w:i w:val="0"/>
                <w:iCs w:val="0"/>
                <w:color w:val="auto"/>
                <w:kern w:val="0"/>
                <w:sz w:val="21"/>
                <w:szCs w:val="21"/>
                <w:u w:val="none"/>
                <w:lang w:val="en-US" w:eastAsia="zh-CN" w:bidi="ar"/>
              </w:rPr>
              <w:t>40%</w:t>
            </w:r>
            <w:r>
              <w:rPr>
                <w:rFonts w:hint="eastAsia" w:ascii="仿宋_GB2312" w:hAnsi="宋体" w:eastAsia="仿宋_GB2312" w:cs="仿宋_GB2312"/>
                <w:i w:val="0"/>
                <w:iCs w:val="0"/>
                <w:color w:val="auto"/>
                <w:kern w:val="0"/>
                <w:sz w:val="21"/>
                <w:szCs w:val="21"/>
                <w:u w:val="none"/>
                <w:lang w:val="en-US" w:eastAsia="zh-CN" w:bidi="ar"/>
              </w:rPr>
              <w:t>权重分。每发现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个项目不符合，扣除相应权重分的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①项目立项符合国家政策要求，按照规定的程序申请设立；②审批文件、材料符合相关要求；③事前已经过必要的可行性研究、专家论证、风险评估、集体决策等。综上，该指标得满分。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A2</w:t>
            </w:r>
            <w:r>
              <w:rPr>
                <w:rFonts w:hint="eastAsia" w:ascii="仿宋_GB2312" w:hAnsi="Times New Roman" w:eastAsia="仿宋_GB2312" w:cs="仿宋_GB2312"/>
                <w:i w:val="0"/>
                <w:iCs w:val="0"/>
                <w:color w:val="auto"/>
                <w:kern w:val="0"/>
                <w:sz w:val="21"/>
                <w:szCs w:val="21"/>
                <w:u w:val="none"/>
                <w:lang w:val="en-US" w:eastAsia="zh-CN" w:bidi="ar"/>
              </w:rPr>
              <w:t>绩效目标（</w:t>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A21</w:t>
            </w:r>
            <w:r>
              <w:rPr>
                <w:rFonts w:hint="eastAsia" w:ascii="仿宋_GB2312" w:hAnsi="Times New Roman" w:eastAsia="仿宋_GB2312" w:cs="仿宋_GB2312"/>
                <w:i w:val="0"/>
                <w:iCs w:val="0"/>
                <w:color w:val="auto"/>
                <w:kern w:val="0"/>
                <w:sz w:val="21"/>
                <w:szCs w:val="21"/>
                <w:u w:val="none"/>
                <w:lang w:val="en-US" w:eastAsia="zh-CN" w:bidi="ar"/>
              </w:rPr>
              <w:t>绩效目标合理性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项目所设定的绩效目标是否符合实际、切实可行，用以反映和考核项目绩效目标与项目实施的相符情况。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合理</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①项目设立有绩效目标；②项目绩效目标与实际工作内容具有相关性；③项目预期产出和效果符合正常的业绩水平。具备要素①，得到指标分值的</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；如不具备，该指标分值为</w:t>
            </w:r>
            <w:r>
              <w:rPr>
                <w:rFonts w:hint="default" w:ascii="Times New Roman" w:hAnsi="Times New Roman" w:eastAsia="仿宋_GB2312" w:cs="Times New Roman"/>
                <w:i w:val="0"/>
                <w:iCs w:val="0"/>
                <w:color w:val="auto"/>
                <w:kern w:val="0"/>
                <w:sz w:val="21"/>
                <w:szCs w:val="21"/>
                <w:u w:val="none"/>
                <w:lang w:val="en-US" w:eastAsia="zh-CN" w:bidi="ar"/>
              </w:rPr>
              <w:t>0</w:t>
            </w:r>
            <w:r>
              <w:rPr>
                <w:rFonts w:hint="eastAsia" w:ascii="仿宋_GB2312" w:hAnsi="宋体" w:eastAsia="仿宋_GB2312" w:cs="仿宋_GB2312"/>
                <w:i w:val="0"/>
                <w:iCs w:val="0"/>
                <w:color w:val="auto"/>
                <w:kern w:val="0"/>
                <w:sz w:val="21"/>
                <w:szCs w:val="21"/>
                <w:u w:val="none"/>
                <w:lang w:val="en-US" w:eastAsia="zh-CN" w:bidi="ar"/>
              </w:rPr>
              <w:t>。具备要素②③，分别得到指标分值的</w:t>
            </w:r>
            <w:r>
              <w:rPr>
                <w:rFonts w:hint="default" w:ascii="Times New Roman" w:hAnsi="Times New Roman" w:eastAsia="仿宋_GB2312" w:cs="Times New Roman"/>
                <w:i w:val="0"/>
                <w:iCs w:val="0"/>
                <w:color w:val="auto"/>
                <w:kern w:val="0"/>
                <w:sz w:val="21"/>
                <w:szCs w:val="21"/>
                <w:u w:val="none"/>
                <w:lang w:val="en-US" w:eastAsia="zh-CN" w:bidi="ar"/>
              </w:rPr>
              <w:t>25%</w:t>
            </w:r>
            <w:r>
              <w:rPr>
                <w:rFonts w:hint="eastAsia" w:ascii="仿宋_GB2312" w:hAnsi="宋体" w:eastAsia="仿宋_GB2312" w:cs="仿宋_GB2312"/>
                <w:i w:val="0"/>
                <w:iCs w:val="0"/>
                <w:color w:val="auto"/>
                <w:kern w:val="0"/>
                <w:sz w:val="21"/>
                <w:szCs w:val="21"/>
                <w:u w:val="none"/>
                <w:lang w:val="en-US" w:eastAsia="zh-CN" w:bidi="ar"/>
              </w:rPr>
              <w:t>。每发现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个项目不符合，扣除相应权重分的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依据所抽取项目提供的绩效目标申报表：①各项目均设立有绩效目标；②项目绩效目标与实际工作内容具有相关性；③项目预期产出和效果符合正常的业绩水平。综上，该指标得满分权重分。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A22</w:t>
            </w:r>
            <w:r>
              <w:rPr>
                <w:rFonts w:hint="eastAsia" w:ascii="仿宋_GB2312" w:hAnsi="Times New Roman" w:eastAsia="仿宋_GB2312" w:cs="仿宋_GB2312"/>
                <w:i w:val="0"/>
                <w:iCs w:val="0"/>
                <w:color w:val="auto"/>
                <w:kern w:val="0"/>
                <w:sz w:val="21"/>
                <w:szCs w:val="21"/>
                <w:u w:val="none"/>
                <w:lang w:val="en-US" w:eastAsia="zh-CN" w:bidi="ar"/>
              </w:rPr>
              <w:t>绩效目标明确性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依据绩效目标设定的绩效指标是否清晰、细化、可衡量等，用以反映和考核项目绩效目标的明细化情况。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明确</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①将项目绩效目标细化分解为具体的绩效指标；②通过清晰、可衡量的指标值予以体现；③与项目目标任务数或计划数相对应。其中①占</w:t>
            </w:r>
            <w:r>
              <w:rPr>
                <w:rFonts w:hint="default" w:ascii="Times New Roman" w:hAnsi="Times New Roman" w:eastAsia="仿宋_GB2312" w:cs="Times New Roman"/>
                <w:i w:val="0"/>
                <w:iCs w:val="0"/>
                <w:color w:val="auto"/>
                <w:kern w:val="0"/>
                <w:sz w:val="21"/>
                <w:szCs w:val="21"/>
                <w:u w:val="none"/>
                <w:lang w:val="en-US" w:eastAsia="zh-CN" w:bidi="ar"/>
              </w:rPr>
              <w:t>40%</w:t>
            </w:r>
            <w:r>
              <w:rPr>
                <w:rFonts w:hint="eastAsia" w:ascii="仿宋_GB2312" w:hAnsi="宋体" w:eastAsia="仿宋_GB2312" w:cs="仿宋_GB2312"/>
                <w:i w:val="0"/>
                <w:iCs w:val="0"/>
                <w:color w:val="auto"/>
                <w:kern w:val="0"/>
                <w:sz w:val="21"/>
                <w:szCs w:val="21"/>
                <w:u w:val="none"/>
                <w:lang w:val="en-US" w:eastAsia="zh-CN" w:bidi="ar"/>
              </w:rPr>
              <w:t>权重分，②③各占</w:t>
            </w:r>
            <w:r>
              <w:rPr>
                <w:rFonts w:hint="default" w:ascii="Times New Roman" w:hAnsi="Times New Roman" w:eastAsia="仿宋_GB2312" w:cs="Times New Roman"/>
                <w:i w:val="0"/>
                <w:iCs w:val="0"/>
                <w:color w:val="auto"/>
                <w:kern w:val="0"/>
                <w:sz w:val="21"/>
                <w:szCs w:val="21"/>
                <w:u w:val="none"/>
                <w:lang w:val="en-US" w:eastAsia="zh-CN" w:bidi="ar"/>
              </w:rPr>
              <w:t>30%</w:t>
            </w:r>
            <w:r>
              <w:rPr>
                <w:rFonts w:hint="eastAsia" w:ascii="仿宋_GB2312" w:hAnsi="宋体" w:eastAsia="仿宋_GB2312" w:cs="仿宋_GB2312"/>
                <w:i w:val="0"/>
                <w:iCs w:val="0"/>
                <w:color w:val="auto"/>
                <w:kern w:val="0"/>
                <w:sz w:val="21"/>
                <w:szCs w:val="21"/>
                <w:u w:val="none"/>
                <w:lang w:val="en-US" w:eastAsia="zh-CN" w:bidi="ar"/>
              </w:rPr>
              <w:t>权重分。每发现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个项目不符合，扣除相应权重分的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依据所抽取项目提供的绩效目标申报表：①各项目能够将项目绩效目标细化分解为具体的绩效指标；②通过清晰、可衡量的指标值予以体现；③与项目目标任务数或计划数相对应。综上，该指标得满分权重分。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A23</w:t>
            </w:r>
            <w:r>
              <w:rPr>
                <w:rFonts w:hint="eastAsia" w:ascii="仿宋_GB2312" w:hAnsi="Times New Roman" w:eastAsia="仿宋_GB2312" w:cs="仿宋_GB2312"/>
                <w:i w:val="0"/>
                <w:iCs w:val="0"/>
                <w:color w:val="auto"/>
                <w:kern w:val="0"/>
                <w:sz w:val="21"/>
                <w:szCs w:val="21"/>
                <w:u w:val="none"/>
                <w:lang w:val="en-US" w:eastAsia="zh-CN" w:bidi="ar"/>
              </w:rPr>
              <w:t>绩效监控及自评</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项目在执行过程中是否开展绩效运行监控。执行结束后，是否开展绩效自评并形成绩效目标自评表与绩效自评总结报告。</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健全</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①项目在执行过程中开展绩效运行监控，并形成绩效运行监控表与监控报告等相关材料；②项目在执行结束后开展绩效自评，并形成绩效目标自评表与自评总结报告。以上要素各占</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权重分，符合得分。每发现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个项目不符合，扣除相应权重分的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所抽取项目提供的绩效运行监控和自评材料：①各项目能够在在执行过程中开展绩效运行监控，并形成绩效运行监控表与监控报告；②在执行结束后开展绩效自评，并形成绩效目标自评表与自评报告。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A3</w:t>
            </w:r>
            <w:r>
              <w:rPr>
                <w:rFonts w:hint="eastAsia" w:ascii="仿宋_GB2312" w:hAnsi="Times New Roman" w:eastAsia="仿宋_GB2312" w:cs="仿宋_GB2312"/>
                <w:i w:val="0"/>
                <w:iCs w:val="0"/>
                <w:color w:val="auto"/>
                <w:kern w:val="0"/>
                <w:sz w:val="21"/>
                <w:szCs w:val="21"/>
                <w:u w:val="none"/>
                <w:lang w:val="en-US" w:eastAsia="zh-CN" w:bidi="ar"/>
              </w:rPr>
              <w:t>资金安排（</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A31</w:t>
            </w:r>
            <w:r>
              <w:rPr>
                <w:rFonts w:hint="eastAsia" w:ascii="仿宋_GB2312" w:hAnsi="Times New Roman" w:eastAsia="仿宋_GB2312" w:cs="仿宋_GB2312"/>
                <w:i w:val="0"/>
                <w:iCs w:val="0"/>
                <w:color w:val="auto"/>
                <w:kern w:val="0"/>
                <w:sz w:val="21"/>
                <w:szCs w:val="21"/>
                <w:u w:val="none"/>
                <w:lang w:val="en-US" w:eastAsia="zh-CN" w:bidi="ar"/>
              </w:rPr>
              <w:t>预算编制合理性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项目预算编制是否经过科学论证、有明确标准，资金额度与年度目标是否相适应</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合理</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①项目预算内容与项目实际内容匹配；②预算额度测算依据充分。以上要素各占</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权重分，符合得分。每发现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个项目不符合，扣除相应权重分的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依据各项目实施方案，①项目预算内容与项目实际内容匹配；②预算额度测算依据充分。综上，该指标得满分权重分。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jc w:val="center"/>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w:t>
            </w:r>
            <w:r>
              <w:rPr>
                <w:rFonts w:hint="eastAsia" w:ascii="仿宋_GB2312" w:hAnsi="Times New Roman" w:eastAsia="仿宋_GB2312" w:cs="仿宋_GB2312"/>
                <w:i w:val="0"/>
                <w:iCs w:val="0"/>
                <w:color w:val="auto"/>
                <w:kern w:val="0"/>
                <w:sz w:val="21"/>
                <w:szCs w:val="21"/>
                <w:u w:val="none"/>
                <w:lang w:val="en-US" w:eastAsia="zh-CN" w:bidi="ar"/>
              </w:rPr>
              <w:t>项目过程（</w:t>
            </w:r>
            <w:r>
              <w:rPr>
                <w:rFonts w:hint="default" w:ascii="Times New Roman" w:hAnsi="Times New Roman" w:eastAsia="宋体" w:cs="Times New Roman"/>
                <w:i w:val="0"/>
                <w:iCs w:val="0"/>
                <w:color w:val="auto"/>
                <w:kern w:val="0"/>
                <w:sz w:val="21"/>
                <w:szCs w:val="21"/>
                <w:u w:val="none"/>
                <w:lang w:val="en-US" w:eastAsia="zh-CN" w:bidi="ar"/>
              </w:rPr>
              <w:t>28</w:t>
            </w:r>
            <w:r>
              <w:rPr>
                <w:rFonts w:hint="eastAsia" w:ascii="仿宋_GB2312" w:hAnsi="Times New Roman" w:eastAsia="仿宋_GB2312" w:cs="仿宋_GB2312"/>
                <w:i w:val="0"/>
                <w:iCs w:val="0"/>
                <w:color w:val="auto"/>
                <w:kern w:val="0"/>
                <w:sz w:val="21"/>
                <w:szCs w:val="21"/>
                <w:u w:val="none"/>
                <w:lang w:val="en-US" w:eastAsia="zh-CN" w:bidi="ar"/>
              </w:rPr>
              <w:t>）</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w:t>
            </w:r>
            <w:r>
              <w:rPr>
                <w:rFonts w:hint="eastAsia" w:ascii="仿宋_GB2312" w:hAnsi="Times New Roman" w:eastAsia="仿宋_GB2312" w:cs="仿宋_GB2312"/>
                <w:i w:val="0"/>
                <w:iCs w:val="0"/>
                <w:color w:val="auto"/>
                <w:kern w:val="0"/>
                <w:sz w:val="21"/>
                <w:szCs w:val="21"/>
                <w:u w:val="none"/>
                <w:lang w:val="en-US" w:eastAsia="zh-CN" w:bidi="ar"/>
              </w:rPr>
              <w:t>组织实施（</w:t>
            </w:r>
            <w:r>
              <w:rPr>
                <w:rFonts w:hint="default" w:ascii="Times New Roman" w:hAnsi="Times New Roman" w:eastAsia="宋体" w:cs="Times New Roman"/>
                <w:i w:val="0"/>
                <w:iCs w:val="0"/>
                <w:color w:val="auto"/>
                <w:kern w:val="0"/>
                <w:sz w:val="21"/>
                <w:szCs w:val="21"/>
                <w:u w:val="none"/>
                <w:lang w:val="en-US" w:eastAsia="zh-CN" w:bidi="ar"/>
              </w:rPr>
              <w:t>13</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B11</w:t>
            </w:r>
            <w:r>
              <w:rPr>
                <w:rFonts w:hint="eastAsia" w:ascii="仿宋_GB2312" w:hAnsi="Times New Roman" w:eastAsia="仿宋_GB2312" w:cs="仿宋_GB2312"/>
                <w:i w:val="0"/>
                <w:iCs w:val="0"/>
                <w:color w:val="auto"/>
                <w:kern w:val="0"/>
                <w:sz w:val="21"/>
                <w:szCs w:val="21"/>
                <w:u w:val="none"/>
                <w:lang w:val="en-US" w:eastAsia="zh-CN" w:bidi="ar"/>
              </w:rPr>
              <w:t>项目管理制度健全性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项目项目实施单位的业务管理制度是否健全，用以反映和考核业务管理制度对项目顺利实施的保障情况。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健全</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①主管部门已制定或具有相应的业务管理制度；②业务管理制度合法、合规、完整，包括项目采购、项目施工、项目监理、项目验收、项目报账制度、监督检查和审计制度等。以上要素各占</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权重分，符合得分；每发现一处制度不健全，扣除</w:t>
            </w:r>
            <w:r>
              <w:rPr>
                <w:rFonts w:hint="default" w:ascii="Times New Roman" w:hAnsi="Times New Roman" w:eastAsia="仿宋_GB2312" w:cs="Times New Roman"/>
                <w:i w:val="0"/>
                <w:iCs w:val="0"/>
                <w:color w:val="auto"/>
                <w:kern w:val="0"/>
                <w:sz w:val="21"/>
                <w:szCs w:val="21"/>
                <w:u w:val="none"/>
                <w:lang w:val="en-US" w:eastAsia="zh-CN" w:bidi="ar"/>
              </w:rPr>
              <w:t>10%</w:t>
            </w:r>
            <w:r>
              <w:rPr>
                <w:rFonts w:hint="eastAsia" w:ascii="仿宋_GB2312" w:hAnsi="宋体" w:eastAsia="仿宋_GB2312" w:cs="仿宋_GB2312"/>
                <w:i w:val="0"/>
                <w:iCs w:val="0"/>
                <w:color w:val="auto"/>
                <w:kern w:val="0"/>
                <w:sz w:val="21"/>
                <w:szCs w:val="21"/>
                <w:u w:val="none"/>
                <w:lang w:val="en-US" w:eastAsia="zh-CN" w:bidi="ar"/>
              </w:rPr>
              <w:t>的权重分，扣完为止。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①滑县乡村振兴局印发有《滑县巩固拓展脱贫攻坚成果和乡村振兴项目库建设的实施意见》（滑乡振〔</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4</w:t>
            </w:r>
            <w:r>
              <w:rPr>
                <w:rFonts w:hint="eastAsia" w:ascii="仿宋_GB2312" w:hAnsi="宋体" w:eastAsia="仿宋_GB2312" w:cs="仿宋_GB2312"/>
                <w:i w:val="0"/>
                <w:iCs w:val="0"/>
                <w:color w:val="auto"/>
                <w:kern w:val="0"/>
                <w:sz w:val="21"/>
                <w:szCs w:val="21"/>
                <w:u w:val="none"/>
                <w:lang w:val="en-US" w:eastAsia="zh-CN" w:bidi="ar"/>
              </w:rPr>
              <w:t>号），具备相应的业务管理制度，得</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权重分；②项目管理制度健全，包括项目采购、施工、验收等相关内容，得</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B12</w:t>
            </w:r>
            <w:r>
              <w:rPr>
                <w:rFonts w:hint="eastAsia" w:ascii="仿宋_GB2312" w:hAnsi="Times New Roman" w:eastAsia="仿宋_GB2312" w:cs="仿宋_GB2312"/>
                <w:i w:val="0"/>
                <w:iCs w:val="0"/>
                <w:color w:val="auto"/>
                <w:kern w:val="0"/>
                <w:sz w:val="21"/>
                <w:szCs w:val="21"/>
                <w:u w:val="none"/>
                <w:lang w:val="en-US" w:eastAsia="zh-CN" w:bidi="ar"/>
              </w:rPr>
              <w:t>项目管理制度执行有效性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项目实施是否符合相关业务管理规定，用以反映和考核业务管理制度的有效执行情况。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有效</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项目实施遵守相关法律法规和项目管理规定（重点核查项目采购、项目验收、项目报账等关键环节）；②项目调整及变更手续齐全；③项目合同书、施工日志、监理报告、验收报告、报账材料等资料齐全并及时归档；④项目实施的人员条件、场地设备、信息支撑等落实到位。以上要素各占</w:t>
            </w:r>
            <w:r>
              <w:rPr>
                <w:rFonts w:hint="default" w:ascii="Times New Roman" w:hAnsi="Times New Roman" w:eastAsia="仿宋_GB2312" w:cs="Times New Roman"/>
                <w:i w:val="0"/>
                <w:iCs w:val="0"/>
                <w:color w:val="auto"/>
                <w:kern w:val="0"/>
                <w:sz w:val="21"/>
                <w:szCs w:val="21"/>
                <w:u w:val="none"/>
                <w:lang w:val="en-US" w:eastAsia="zh-CN" w:bidi="ar"/>
              </w:rPr>
              <w:t>1/4</w:t>
            </w:r>
            <w:r>
              <w:rPr>
                <w:rFonts w:hint="eastAsia" w:ascii="仿宋_GB2312" w:hAnsi="宋体" w:eastAsia="仿宋_GB2312" w:cs="仿宋_GB2312"/>
                <w:i w:val="0"/>
                <w:iCs w:val="0"/>
                <w:color w:val="auto"/>
                <w:kern w:val="0"/>
                <w:sz w:val="21"/>
                <w:szCs w:val="21"/>
                <w:u w:val="none"/>
                <w:lang w:val="en-US" w:eastAsia="zh-CN" w:bidi="ar"/>
              </w:rPr>
              <w:t>权重分，符合得分。每发现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个项目不符合，扣除相应权重分的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项目单位提供的相关材料：①项目实施遵守相关法律法规和项目管理规定；②项目调整及变更手续齐全；③项目合同书、施工日志、监理报告、验收报告、报账材料等资料齐全并及时归档；④项目实施的人员条件、场地设备、信息支撑等落实到位。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B13</w:t>
            </w:r>
            <w:r>
              <w:rPr>
                <w:rFonts w:hint="eastAsia" w:ascii="仿宋_GB2312" w:hAnsi="Times New Roman" w:eastAsia="仿宋_GB2312" w:cs="仿宋_GB2312"/>
                <w:i w:val="0"/>
                <w:iCs w:val="0"/>
                <w:color w:val="auto"/>
                <w:kern w:val="0"/>
                <w:sz w:val="21"/>
                <w:szCs w:val="21"/>
                <w:u w:val="none"/>
                <w:lang w:val="en-US" w:eastAsia="zh-CN" w:bidi="ar"/>
              </w:rPr>
              <w:t>项目库建设及管理规范性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考察项目库建设是否按有关规定进行，项目库建设是否完整、规范。</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规范</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①建立项目库；②项目入库程序规范。经过</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四议</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（即村党支部会提议、村</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两委</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会商议、党员大会审议、村民代表会议或村民会议决议）和</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两公开</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即决议公开、实施结果公开）。入库项目经过充分论证、择优遴选、突出支持重点；③入库项目前期条件成熟，具备实施条件；④入库项目内容完整。应包括项目名称、项目类型、建设性质、实施地点、时间进度、责任单位、建设任务、资金规模和筹资方式、受益对象、绩效目标、群众参与和联农带农机制等；⑤入库项目范围合理，不存在负面清单项目。以上要素各占</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权重分，符合得分；实施项目中发现一例非入库项目，扣除</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权重分，扣完为止。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①滑县</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年建立有项目库，得</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权重分；②抽查项目入库程序规范。但部分产业类项目行业主管部门论证不够充分、规范。滑县</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年村集体经济发展滑丰智能化种子加工产业项目论证报告，为最大程度规避风险，论证会按照既能保障资金安全，又能最大程度提高资金收益的原则，拟定了项目资金的使用模式，即对</w:t>
            </w:r>
            <w:r>
              <w:rPr>
                <w:rFonts w:hint="default" w:ascii="Times New Roman" w:hAnsi="Times New Roman" w:eastAsia="仿宋_GB2312" w:cs="Times New Roman"/>
                <w:i w:val="0"/>
                <w:iCs w:val="0"/>
                <w:color w:val="auto"/>
                <w:kern w:val="0"/>
                <w:sz w:val="21"/>
                <w:szCs w:val="21"/>
                <w:u w:val="none"/>
                <w:lang w:val="en-US" w:eastAsia="zh-CN" w:bidi="ar"/>
              </w:rPr>
              <w:t>31</w:t>
            </w:r>
            <w:r>
              <w:rPr>
                <w:rFonts w:hint="eastAsia" w:ascii="仿宋_GB2312" w:hAnsi="宋体" w:eastAsia="仿宋_GB2312" w:cs="仿宋_GB2312"/>
                <w:i w:val="0"/>
                <w:iCs w:val="0"/>
                <w:color w:val="auto"/>
                <w:kern w:val="0"/>
                <w:sz w:val="21"/>
                <w:szCs w:val="21"/>
                <w:u w:val="none"/>
                <w:lang w:val="en-US" w:eastAsia="zh-CN" w:bidi="ar"/>
              </w:rPr>
              <w:t>个拟扶持村每村注入资金</w:t>
            </w:r>
            <w:r>
              <w:rPr>
                <w:rFonts w:hint="default" w:ascii="Times New Roman" w:hAnsi="Times New Roman" w:eastAsia="仿宋_GB2312" w:cs="Times New Roman"/>
                <w:i w:val="0"/>
                <w:iCs w:val="0"/>
                <w:color w:val="auto"/>
                <w:kern w:val="0"/>
                <w:sz w:val="21"/>
                <w:szCs w:val="21"/>
                <w:u w:val="none"/>
                <w:lang w:val="en-US" w:eastAsia="zh-CN" w:bidi="ar"/>
              </w:rPr>
              <w:t>40</w:t>
            </w:r>
            <w:r>
              <w:rPr>
                <w:rFonts w:hint="eastAsia" w:ascii="仿宋_GB2312" w:hAnsi="宋体" w:eastAsia="仿宋_GB2312" w:cs="仿宋_GB2312"/>
                <w:i w:val="0"/>
                <w:iCs w:val="0"/>
                <w:color w:val="auto"/>
                <w:kern w:val="0"/>
                <w:sz w:val="21"/>
                <w:szCs w:val="21"/>
                <w:u w:val="none"/>
                <w:lang w:val="en-US" w:eastAsia="zh-CN" w:bidi="ar"/>
              </w:rPr>
              <w:t>万元，入股河南滑丰种业科技有限公司，用于建设标准化种子仓库设施。缺少对河南滑丰种业科技有限公司经营情况、预期盈利情况等内容描述，产业设施配套项目论证报告缺少论证过程，扣除相应</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权重分，得</w:t>
            </w:r>
            <w:r>
              <w:rPr>
                <w:rFonts w:hint="default" w:ascii="Times New Roman" w:hAnsi="Times New Roman" w:eastAsia="仿宋_GB2312" w:cs="Times New Roman"/>
                <w:i w:val="0"/>
                <w:iCs w:val="0"/>
                <w:color w:val="auto"/>
                <w:kern w:val="0"/>
                <w:sz w:val="21"/>
                <w:szCs w:val="21"/>
                <w:u w:val="none"/>
                <w:lang w:val="en-US" w:eastAsia="zh-CN" w:bidi="ar"/>
              </w:rPr>
              <w:t>10%</w:t>
            </w:r>
            <w:r>
              <w:rPr>
                <w:rFonts w:hint="eastAsia" w:ascii="仿宋_GB2312" w:hAnsi="宋体" w:eastAsia="仿宋_GB2312" w:cs="仿宋_GB2312"/>
                <w:i w:val="0"/>
                <w:iCs w:val="0"/>
                <w:color w:val="auto"/>
                <w:kern w:val="0"/>
                <w:sz w:val="21"/>
                <w:szCs w:val="21"/>
                <w:u w:val="none"/>
                <w:lang w:val="en-US" w:eastAsia="zh-CN" w:bidi="ar"/>
              </w:rPr>
              <w:t>权重分；③入库项目前期条件成熟，具备实施条件，得</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权重分；④④入库项目内容完整。应包括项目名称、项目类型、建设性质、实施地点、时间进度、责任单位、建设任务、资金规模和筹资方式、受益对象、绩效目标、群众参与和联农带农机制等；⑤入库项目范围合理，不存在负面清单项目。综上，该指标得</w:t>
            </w:r>
            <w:r>
              <w:rPr>
                <w:rFonts w:hint="default" w:ascii="Times New Roman" w:hAnsi="Times New Roman" w:eastAsia="仿宋_GB2312" w:cs="Times New Roman"/>
                <w:i w:val="0"/>
                <w:iCs w:val="0"/>
                <w:color w:val="auto"/>
                <w:kern w:val="0"/>
                <w:sz w:val="21"/>
                <w:szCs w:val="21"/>
                <w:u w:val="none"/>
                <w:lang w:val="en-US" w:eastAsia="zh-CN" w:bidi="ar"/>
              </w:rPr>
              <w:t>90%</w:t>
            </w:r>
            <w:r>
              <w:rPr>
                <w:rFonts w:hint="eastAsia" w:ascii="仿宋_GB2312" w:hAnsi="宋体" w:eastAsia="仿宋_GB2312" w:cs="仿宋_GB2312"/>
                <w:i w:val="0"/>
                <w:iCs w:val="0"/>
                <w:color w:val="auto"/>
                <w:kern w:val="0"/>
                <w:sz w:val="21"/>
                <w:szCs w:val="21"/>
                <w:u w:val="none"/>
                <w:lang w:val="en-US" w:eastAsia="zh-CN" w:bidi="ar"/>
              </w:rPr>
              <w:t>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B14</w:t>
            </w:r>
            <w:r>
              <w:rPr>
                <w:rFonts w:hint="eastAsia" w:ascii="仿宋_GB2312" w:hAnsi="Times New Roman" w:eastAsia="仿宋_GB2312" w:cs="仿宋_GB2312"/>
                <w:i w:val="0"/>
                <w:iCs w:val="0"/>
                <w:color w:val="auto"/>
                <w:kern w:val="0"/>
                <w:sz w:val="21"/>
                <w:szCs w:val="21"/>
                <w:u w:val="none"/>
                <w:lang w:val="en-US" w:eastAsia="zh-CN" w:bidi="ar"/>
              </w:rPr>
              <w:t>政府采购规范性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考察项目采购流程是否合规，合同签订内容、签订流程等相关内容是否规范、合理。</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规范</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采购活动按照政府采购相关限额标准采用合适采购方式；②合同内容全面，对实施期限、实施内容、双方职责等内容进行了明确规定；③合同签订过程中审批程序、签订形式规范，及时完成合同的签订，严格依据合同条例执行合同管理。以上要素各占</w:t>
            </w:r>
            <w:r>
              <w:rPr>
                <w:rFonts w:hint="default" w:ascii="Times New Roman" w:hAnsi="Times New Roman" w:eastAsia="仿宋_GB2312" w:cs="Times New Roman"/>
                <w:i w:val="0"/>
                <w:iCs w:val="0"/>
                <w:color w:val="auto"/>
                <w:kern w:val="0"/>
                <w:sz w:val="21"/>
                <w:szCs w:val="21"/>
                <w:u w:val="none"/>
                <w:lang w:val="en-US" w:eastAsia="zh-CN" w:bidi="ar"/>
              </w:rPr>
              <w:t>1/3</w:t>
            </w:r>
            <w:r>
              <w:rPr>
                <w:rFonts w:hint="eastAsia" w:ascii="仿宋_GB2312" w:hAnsi="宋体" w:eastAsia="仿宋_GB2312" w:cs="仿宋_GB2312"/>
                <w:i w:val="0"/>
                <w:iCs w:val="0"/>
                <w:color w:val="auto"/>
                <w:kern w:val="0"/>
                <w:sz w:val="21"/>
                <w:szCs w:val="21"/>
                <w:u w:val="none"/>
                <w:lang w:val="en-US" w:eastAsia="zh-CN" w:bidi="ar"/>
              </w:rPr>
              <w:t>权重分，符合得分。每发现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个项目不符合，扣除相应权重分的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项目单位提供的相关材料：①采购活动按照政府采购相关限额标准采用合适采购方式；②合同内容全面，对实施期限、实施内容、双方职责等内容进行了明确规定；③合同签订过程中审批程序、签订形式规范，及时完成合同的签订，严格依据合同条例执行合同管理。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B15</w:t>
            </w:r>
            <w:r>
              <w:rPr>
                <w:rFonts w:hint="eastAsia" w:ascii="仿宋_GB2312" w:hAnsi="Times New Roman" w:eastAsia="仿宋_GB2312" w:cs="仿宋_GB2312"/>
                <w:i w:val="0"/>
                <w:iCs w:val="0"/>
                <w:color w:val="auto"/>
                <w:kern w:val="0"/>
                <w:sz w:val="21"/>
                <w:szCs w:val="21"/>
                <w:u w:val="none"/>
                <w:lang w:val="en-US" w:eastAsia="zh-CN" w:bidi="ar"/>
              </w:rPr>
              <w:t>信息公开和公告公示制度执行有效性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考察县、村两级信息公开和公告公示制度建设与执行情况。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有效</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①县级信息公开和公告公示制度建设和执行；其中出台了公告公示相关制度占</w:t>
            </w:r>
            <w:r>
              <w:rPr>
                <w:rFonts w:hint="default" w:ascii="Times New Roman" w:hAnsi="Times New Roman" w:eastAsia="仿宋_GB2312" w:cs="Times New Roman"/>
                <w:i w:val="0"/>
                <w:iCs w:val="0"/>
                <w:color w:val="auto"/>
                <w:kern w:val="0"/>
                <w:sz w:val="21"/>
                <w:szCs w:val="21"/>
                <w:u w:val="none"/>
                <w:lang w:val="en-US" w:eastAsia="zh-CN" w:bidi="ar"/>
              </w:rPr>
              <w:t>25%</w:t>
            </w:r>
            <w:r>
              <w:rPr>
                <w:rFonts w:hint="eastAsia" w:ascii="仿宋_GB2312" w:hAnsi="宋体" w:eastAsia="仿宋_GB2312" w:cs="仿宋_GB2312"/>
                <w:i w:val="0"/>
                <w:iCs w:val="0"/>
                <w:color w:val="auto"/>
                <w:kern w:val="0"/>
                <w:sz w:val="21"/>
                <w:szCs w:val="21"/>
                <w:u w:val="none"/>
                <w:lang w:val="en-US" w:eastAsia="zh-CN" w:bidi="ar"/>
              </w:rPr>
              <w:t>权重分，公告公示内容完整（</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中央、省、市、县级衔接推进乡村振兴补助资金分配结果、项目库、年度资金项目计划安排情况）占</w:t>
            </w:r>
            <w:r>
              <w:rPr>
                <w:rFonts w:hint="default" w:ascii="Times New Roman" w:hAnsi="Times New Roman" w:eastAsia="仿宋_GB2312" w:cs="Times New Roman"/>
                <w:i w:val="0"/>
                <w:iCs w:val="0"/>
                <w:color w:val="auto"/>
                <w:kern w:val="0"/>
                <w:sz w:val="21"/>
                <w:szCs w:val="21"/>
                <w:u w:val="none"/>
                <w:lang w:val="en-US" w:eastAsia="zh-CN" w:bidi="ar"/>
              </w:rPr>
              <w:t>25%</w:t>
            </w:r>
            <w:r>
              <w:rPr>
                <w:rFonts w:hint="eastAsia" w:ascii="仿宋_GB2312" w:hAnsi="宋体" w:eastAsia="仿宋_GB2312" w:cs="仿宋_GB2312"/>
                <w:i w:val="0"/>
                <w:iCs w:val="0"/>
                <w:color w:val="auto"/>
                <w:kern w:val="0"/>
                <w:sz w:val="21"/>
                <w:szCs w:val="21"/>
                <w:u w:val="none"/>
                <w:lang w:val="en-US" w:eastAsia="zh-CN" w:bidi="ar"/>
              </w:rPr>
              <w:t>权重分，每缺少一项扣除</w:t>
            </w:r>
            <w:r>
              <w:rPr>
                <w:rFonts w:hint="default" w:ascii="Times New Roman" w:hAnsi="Times New Roman" w:eastAsia="仿宋_GB2312" w:cs="Times New Roman"/>
                <w:i w:val="0"/>
                <w:iCs w:val="0"/>
                <w:color w:val="auto"/>
                <w:kern w:val="0"/>
                <w:sz w:val="21"/>
                <w:szCs w:val="21"/>
                <w:u w:val="none"/>
                <w:lang w:val="en-US" w:eastAsia="zh-CN" w:bidi="ar"/>
              </w:rPr>
              <w:t>10%</w:t>
            </w:r>
            <w:r>
              <w:rPr>
                <w:rFonts w:hint="eastAsia" w:ascii="仿宋_GB2312" w:hAnsi="宋体" w:eastAsia="仿宋_GB2312" w:cs="仿宋_GB2312"/>
                <w:i w:val="0"/>
                <w:iCs w:val="0"/>
                <w:color w:val="auto"/>
                <w:kern w:val="0"/>
                <w:sz w:val="21"/>
                <w:szCs w:val="21"/>
                <w:u w:val="none"/>
                <w:lang w:val="en-US" w:eastAsia="zh-CN" w:bidi="ar"/>
              </w:rPr>
              <w:t>权重分；②乡村信息公开和公告公示制度建设规范：用固定公告公示专栏（公告公示牌）进行公告公示且无明显新粘贴情况的占</w:t>
            </w:r>
            <w:r>
              <w:rPr>
                <w:rFonts w:hint="default" w:ascii="Times New Roman" w:hAnsi="Times New Roman" w:eastAsia="仿宋_GB2312" w:cs="Times New Roman"/>
                <w:i w:val="0"/>
                <w:iCs w:val="0"/>
                <w:color w:val="auto"/>
                <w:kern w:val="0"/>
                <w:sz w:val="21"/>
                <w:szCs w:val="21"/>
                <w:u w:val="none"/>
                <w:lang w:val="en-US" w:eastAsia="zh-CN" w:bidi="ar"/>
              </w:rPr>
              <w:t>25%</w:t>
            </w:r>
            <w:r>
              <w:rPr>
                <w:rFonts w:hint="eastAsia" w:ascii="仿宋_GB2312" w:hAnsi="宋体" w:eastAsia="仿宋_GB2312" w:cs="仿宋_GB2312"/>
                <w:i w:val="0"/>
                <w:iCs w:val="0"/>
                <w:color w:val="auto"/>
                <w:kern w:val="0"/>
                <w:sz w:val="21"/>
                <w:szCs w:val="21"/>
                <w:u w:val="none"/>
                <w:lang w:val="en-US" w:eastAsia="zh-CN" w:bidi="ar"/>
              </w:rPr>
              <w:t>权重分；公示公告内容完整占</w:t>
            </w:r>
            <w:r>
              <w:rPr>
                <w:rFonts w:hint="default" w:ascii="Times New Roman" w:hAnsi="Times New Roman" w:eastAsia="仿宋_GB2312" w:cs="Times New Roman"/>
                <w:i w:val="0"/>
                <w:iCs w:val="0"/>
                <w:color w:val="auto"/>
                <w:kern w:val="0"/>
                <w:sz w:val="21"/>
                <w:szCs w:val="21"/>
                <w:u w:val="none"/>
                <w:lang w:val="en-US" w:eastAsia="zh-CN" w:bidi="ar"/>
              </w:rPr>
              <w:t>25%</w:t>
            </w:r>
            <w:r>
              <w:rPr>
                <w:rFonts w:hint="eastAsia" w:ascii="仿宋_GB2312" w:hAnsi="宋体" w:eastAsia="仿宋_GB2312" w:cs="仿宋_GB2312"/>
                <w:i w:val="0"/>
                <w:iCs w:val="0"/>
                <w:color w:val="auto"/>
                <w:kern w:val="0"/>
                <w:sz w:val="21"/>
                <w:szCs w:val="21"/>
                <w:u w:val="none"/>
                <w:lang w:val="en-US" w:eastAsia="zh-CN" w:bidi="ar"/>
              </w:rPr>
              <w:t>权重分（要有县里衔接推进乡村振兴补助资金项目公告公示制度（或实施细则）、</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年资金项目安排计划、</w:t>
            </w:r>
            <w:r>
              <w:rPr>
                <w:rFonts w:hint="default" w:ascii="Times New Roman" w:hAnsi="Times New Roman" w:eastAsia="仿宋_GB2312" w:cs="Times New Roman"/>
                <w:i w:val="0"/>
                <w:iCs w:val="0"/>
                <w:color w:val="auto"/>
                <w:kern w:val="0"/>
                <w:sz w:val="21"/>
                <w:szCs w:val="21"/>
                <w:u w:val="none"/>
                <w:lang w:val="en-US" w:eastAsia="zh-CN" w:bidi="ar"/>
              </w:rPr>
              <w:t>2020</w:t>
            </w:r>
            <w:r>
              <w:rPr>
                <w:rFonts w:hint="eastAsia" w:ascii="仿宋_GB2312" w:hAnsi="宋体" w:eastAsia="仿宋_GB2312" w:cs="仿宋_GB2312"/>
                <w:i w:val="0"/>
                <w:iCs w:val="0"/>
                <w:color w:val="auto"/>
                <w:kern w:val="0"/>
                <w:sz w:val="21"/>
                <w:szCs w:val="21"/>
                <w:u w:val="none"/>
                <w:lang w:val="en-US" w:eastAsia="zh-CN" w:bidi="ar"/>
              </w:rPr>
              <w:t>年衔接推进乡村振兴补助资金项目计划完成情况、项目库</w:t>
            </w:r>
            <w:r>
              <w:rPr>
                <w:rFonts w:hint="default" w:ascii="Times New Roman" w:hAnsi="Times New Roman" w:eastAsia="仿宋_GB2312" w:cs="Times New Roman"/>
                <w:i w:val="0"/>
                <w:iCs w:val="0"/>
                <w:color w:val="auto"/>
                <w:kern w:val="0"/>
                <w:sz w:val="21"/>
                <w:szCs w:val="21"/>
                <w:u w:val="none"/>
                <w:lang w:val="en-US" w:eastAsia="zh-CN" w:bidi="ar"/>
              </w:rPr>
              <w:t>4</w:t>
            </w:r>
            <w:r>
              <w:rPr>
                <w:rFonts w:hint="eastAsia" w:ascii="仿宋_GB2312" w:hAnsi="宋体" w:eastAsia="仿宋_GB2312" w:cs="仿宋_GB2312"/>
                <w:i w:val="0"/>
                <w:iCs w:val="0"/>
                <w:color w:val="auto"/>
                <w:kern w:val="0"/>
                <w:sz w:val="21"/>
                <w:szCs w:val="21"/>
                <w:u w:val="none"/>
                <w:lang w:val="en-US" w:eastAsia="zh-CN" w:bidi="ar"/>
              </w:rPr>
              <w:t>项），每缺少一项扣除</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权重分。以上各要素符合得分，不符合相应扣分。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①滑县制定有《滑县扶贫开发办公室</w:t>
            </w:r>
            <w:r>
              <w:rPr>
                <w:rFonts w:hint="default" w:ascii="Times New Roman" w:hAnsi="Times New Roman" w:eastAsia="仿宋_GB2312" w:cs="Times New Roman"/>
                <w:i w:val="0"/>
                <w:iCs w:val="0"/>
                <w:color w:val="auto"/>
                <w:kern w:val="0"/>
                <w:sz w:val="21"/>
                <w:szCs w:val="21"/>
                <w:u w:val="none"/>
                <w:lang w:val="en-US" w:eastAsia="zh-CN" w:bidi="ar"/>
              </w:rPr>
              <w:t xml:space="preserve"> </w:t>
            </w:r>
            <w:r>
              <w:rPr>
                <w:rFonts w:hint="eastAsia" w:ascii="仿宋_GB2312" w:hAnsi="宋体" w:eastAsia="仿宋_GB2312" w:cs="仿宋_GB2312"/>
                <w:i w:val="0"/>
                <w:iCs w:val="0"/>
                <w:color w:val="auto"/>
                <w:kern w:val="0"/>
                <w:sz w:val="21"/>
                <w:szCs w:val="21"/>
                <w:u w:val="none"/>
                <w:lang w:val="en-US" w:eastAsia="zh-CN" w:bidi="ar"/>
              </w:rPr>
              <w:t>滑县财政局关于印发滑县扶贫吸进项目公告公示制度实施细则的通知》（滑扶贫办〔</w:t>
            </w:r>
            <w:r>
              <w:rPr>
                <w:rFonts w:hint="default" w:ascii="Times New Roman" w:hAnsi="Times New Roman" w:eastAsia="仿宋_GB2312" w:cs="Times New Roman"/>
                <w:i w:val="0"/>
                <w:iCs w:val="0"/>
                <w:color w:val="auto"/>
                <w:kern w:val="0"/>
                <w:sz w:val="21"/>
                <w:szCs w:val="21"/>
                <w:u w:val="none"/>
                <w:lang w:val="en-US" w:eastAsia="zh-CN" w:bidi="ar"/>
              </w:rPr>
              <w:t>2019</w:t>
            </w:r>
            <w:r>
              <w:rPr>
                <w:rFonts w:hint="eastAsia" w:ascii="仿宋_GB2312" w:hAnsi="宋体" w:eastAsia="仿宋_GB2312" w:cs="仿宋_GB2312"/>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号</w:t>
            </w:r>
            <w:r>
              <w:rPr>
                <w:rFonts w:hint="default" w:ascii="Times New Roman" w:hAnsi="Times New Roman" w:eastAsia="仿宋_GB2312" w:cs="Times New Roman"/>
                <w:i w:val="0"/>
                <w:iCs w:val="0"/>
                <w:color w:val="auto"/>
                <w:kern w:val="0"/>
                <w:sz w:val="21"/>
                <w:szCs w:val="21"/>
                <w:u w:val="none"/>
                <w:lang w:val="en-US" w:eastAsia="zh-CN" w:bidi="ar"/>
              </w:rPr>
              <w:t xml:space="preserve"> </w:t>
            </w:r>
            <w:r>
              <w:rPr>
                <w:rFonts w:hint="eastAsia" w:ascii="仿宋_GB2312" w:hAnsi="宋体" w:eastAsia="仿宋_GB2312" w:cs="仿宋_GB2312"/>
                <w:i w:val="0"/>
                <w:iCs w:val="0"/>
                <w:color w:val="auto"/>
                <w:kern w:val="0"/>
                <w:sz w:val="21"/>
                <w:szCs w:val="21"/>
                <w:u w:val="none"/>
                <w:lang w:val="en-US" w:eastAsia="zh-CN" w:bidi="ar"/>
              </w:rPr>
              <w:t>），并在县政府门户网站公示有各批次中央、省、市、县级衔接推进乡村振兴补助资金分配结果、审定项目库、</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年资金项目计划安排，得</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权重分；②乡村能够用固定公告公示栏进行公示；但部分村公告公示内容不完整，例如缺少县里衔接推进乡村振兴补助资金项目公告公示制度（或实施细则），扣除相应</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权重分，得</w:t>
            </w:r>
            <w:r>
              <w:rPr>
                <w:rFonts w:hint="default" w:ascii="Times New Roman" w:hAnsi="Times New Roman" w:eastAsia="仿宋_GB2312" w:cs="Times New Roman"/>
                <w:i w:val="0"/>
                <w:iCs w:val="0"/>
                <w:color w:val="auto"/>
                <w:kern w:val="0"/>
                <w:sz w:val="21"/>
                <w:szCs w:val="21"/>
                <w:u w:val="none"/>
                <w:lang w:val="en-US" w:eastAsia="zh-CN" w:bidi="ar"/>
              </w:rPr>
              <w:t>40%</w:t>
            </w:r>
            <w:r>
              <w:rPr>
                <w:rFonts w:hint="eastAsia" w:ascii="仿宋_GB2312" w:hAnsi="宋体" w:eastAsia="仿宋_GB2312" w:cs="仿宋_GB2312"/>
                <w:i w:val="0"/>
                <w:iCs w:val="0"/>
                <w:color w:val="auto"/>
                <w:kern w:val="0"/>
                <w:sz w:val="21"/>
                <w:szCs w:val="21"/>
                <w:u w:val="none"/>
                <w:lang w:val="en-US" w:eastAsia="zh-CN" w:bidi="ar"/>
              </w:rPr>
              <w:t>权重分。综上，该指标得</w:t>
            </w:r>
            <w:r>
              <w:rPr>
                <w:rFonts w:hint="default" w:ascii="Times New Roman" w:hAnsi="Times New Roman" w:eastAsia="仿宋_GB2312" w:cs="Times New Roman"/>
                <w:i w:val="0"/>
                <w:iCs w:val="0"/>
                <w:color w:val="auto"/>
                <w:kern w:val="0"/>
                <w:sz w:val="21"/>
                <w:szCs w:val="21"/>
                <w:u w:val="none"/>
                <w:lang w:val="en-US" w:eastAsia="zh-CN" w:bidi="ar"/>
              </w:rPr>
              <w:t>90%</w:t>
            </w:r>
            <w:r>
              <w:rPr>
                <w:rFonts w:hint="eastAsia" w:ascii="仿宋_GB2312" w:hAnsi="宋体" w:eastAsia="仿宋_GB2312" w:cs="仿宋_GB2312"/>
                <w:i w:val="0"/>
                <w:iCs w:val="0"/>
                <w:color w:val="auto"/>
                <w:kern w:val="0"/>
                <w:sz w:val="21"/>
                <w:szCs w:val="21"/>
                <w:u w:val="none"/>
                <w:lang w:val="en-US" w:eastAsia="zh-CN" w:bidi="ar"/>
              </w:rPr>
              <w:t>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w:t>
            </w:r>
            <w:r>
              <w:rPr>
                <w:rFonts w:hint="eastAsia" w:ascii="仿宋_GB2312" w:hAnsi="Times New Roman" w:eastAsia="仿宋_GB2312" w:cs="仿宋_GB2312"/>
                <w:i w:val="0"/>
                <w:iCs w:val="0"/>
                <w:color w:val="auto"/>
                <w:kern w:val="0"/>
                <w:sz w:val="21"/>
                <w:szCs w:val="21"/>
                <w:u w:val="none"/>
                <w:lang w:val="en-US" w:eastAsia="zh-CN" w:bidi="ar"/>
              </w:rPr>
              <w:t>资金管理（</w:t>
            </w:r>
            <w:r>
              <w:rPr>
                <w:rFonts w:hint="default" w:ascii="Times New Roman" w:hAnsi="Times New Roman" w:eastAsia="宋体" w:cs="Times New Roman"/>
                <w:i w:val="0"/>
                <w:iCs w:val="0"/>
                <w:color w:val="auto"/>
                <w:kern w:val="0"/>
                <w:sz w:val="21"/>
                <w:szCs w:val="21"/>
                <w:u w:val="none"/>
                <w:lang w:val="en-US" w:eastAsia="zh-CN" w:bidi="ar"/>
              </w:rPr>
              <w:t>15</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B21</w:t>
            </w:r>
            <w:r>
              <w:rPr>
                <w:rFonts w:hint="eastAsia" w:ascii="仿宋_GB2312" w:hAnsi="Times New Roman" w:eastAsia="仿宋_GB2312" w:cs="仿宋_GB2312"/>
                <w:i w:val="0"/>
                <w:iCs w:val="0"/>
                <w:color w:val="auto"/>
                <w:kern w:val="0"/>
                <w:sz w:val="21"/>
                <w:szCs w:val="21"/>
                <w:u w:val="none"/>
                <w:lang w:val="en-US" w:eastAsia="zh-CN" w:bidi="ar"/>
              </w:rPr>
              <w:t>资金到位率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考察市、县资金是否按时足额有效拨付。</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县本级预算安排的衔接资金增幅</w:t>
            </w:r>
            <w:r>
              <w:rPr>
                <w:rFonts w:hint="default" w:ascii="Times New Roman" w:hAnsi="Times New Roman" w:eastAsia="仿宋_GB2312" w:cs="Times New Roman"/>
                <w:i w:val="0"/>
                <w:iCs w:val="0"/>
                <w:color w:val="auto"/>
                <w:kern w:val="0"/>
                <w:sz w:val="21"/>
                <w:szCs w:val="21"/>
                <w:u w:val="none"/>
                <w:lang w:val="en-US" w:eastAsia="zh-CN" w:bidi="ar"/>
              </w:rPr>
              <w:t>≥0</w:t>
            </w:r>
            <w:r>
              <w:rPr>
                <w:rFonts w:hint="eastAsia" w:ascii="仿宋_GB2312" w:hAnsi="宋体" w:eastAsia="仿宋_GB2312" w:cs="仿宋_GB2312"/>
                <w:i w:val="0"/>
                <w:iCs w:val="0"/>
                <w:color w:val="auto"/>
                <w:kern w:val="0"/>
                <w:sz w:val="21"/>
                <w:szCs w:val="21"/>
                <w:u w:val="none"/>
                <w:lang w:val="en-US" w:eastAsia="zh-CN" w:bidi="ar"/>
              </w:rPr>
              <w:t>得满分，否则按比例得分。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2021</w:t>
            </w:r>
            <w:r>
              <w:rPr>
                <w:rFonts w:hint="eastAsia" w:ascii="仿宋_GB2312" w:hAnsi="Times New Roman" w:eastAsia="仿宋_GB2312" w:cs="仿宋_GB2312"/>
                <w:i w:val="0"/>
                <w:iCs w:val="0"/>
                <w:color w:val="auto"/>
                <w:kern w:val="0"/>
                <w:sz w:val="21"/>
                <w:szCs w:val="21"/>
                <w:u w:val="none"/>
                <w:lang w:val="en-US" w:eastAsia="zh-CN" w:bidi="ar"/>
              </w:rPr>
              <w:t>年度滑县县本级预算安排衔接财政资金规模</w:t>
            </w:r>
            <w:r>
              <w:rPr>
                <w:rFonts w:hint="default" w:ascii="Times New Roman" w:hAnsi="Times New Roman" w:eastAsia="宋体" w:cs="Times New Roman"/>
                <w:i w:val="0"/>
                <w:iCs w:val="0"/>
                <w:color w:val="auto"/>
                <w:kern w:val="0"/>
                <w:sz w:val="21"/>
                <w:szCs w:val="21"/>
                <w:u w:val="none"/>
                <w:lang w:val="en-US" w:eastAsia="zh-CN" w:bidi="ar"/>
              </w:rPr>
              <w:t>5346.21</w:t>
            </w:r>
            <w:r>
              <w:rPr>
                <w:rFonts w:hint="eastAsia" w:ascii="仿宋_GB2312" w:hAnsi="Times New Roman" w:eastAsia="仿宋_GB2312" w:cs="仿宋_GB2312"/>
                <w:i w:val="0"/>
                <w:iCs w:val="0"/>
                <w:color w:val="auto"/>
                <w:kern w:val="0"/>
                <w:sz w:val="21"/>
                <w:szCs w:val="21"/>
                <w:u w:val="none"/>
                <w:lang w:val="en-US" w:eastAsia="zh-CN" w:bidi="ar"/>
              </w:rPr>
              <w:t>万元，</w:t>
            </w:r>
            <w:r>
              <w:rPr>
                <w:rFonts w:hint="default" w:ascii="Times New Roman" w:hAnsi="Times New Roman" w:eastAsia="宋体" w:cs="Times New Roman"/>
                <w:i w:val="0"/>
                <w:iCs w:val="0"/>
                <w:color w:val="auto"/>
                <w:kern w:val="0"/>
                <w:sz w:val="21"/>
                <w:szCs w:val="21"/>
                <w:u w:val="none"/>
                <w:lang w:val="en-US" w:eastAsia="zh-CN" w:bidi="ar"/>
              </w:rPr>
              <w:t>2020</w:t>
            </w:r>
            <w:r>
              <w:rPr>
                <w:rFonts w:hint="eastAsia" w:ascii="仿宋_GB2312" w:hAnsi="Times New Roman" w:eastAsia="仿宋_GB2312" w:cs="仿宋_GB2312"/>
                <w:i w:val="0"/>
                <w:iCs w:val="0"/>
                <w:color w:val="auto"/>
                <w:kern w:val="0"/>
                <w:sz w:val="21"/>
                <w:szCs w:val="21"/>
                <w:u w:val="none"/>
                <w:lang w:val="en-US" w:eastAsia="zh-CN" w:bidi="ar"/>
              </w:rPr>
              <w:t>年为</w:t>
            </w:r>
            <w:r>
              <w:rPr>
                <w:rFonts w:hint="default" w:ascii="Times New Roman" w:hAnsi="Times New Roman" w:eastAsia="宋体" w:cs="Times New Roman"/>
                <w:i w:val="0"/>
                <w:iCs w:val="0"/>
                <w:color w:val="auto"/>
                <w:kern w:val="0"/>
                <w:sz w:val="21"/>
                <w:szCs w:val="21"/>
                <w:u w:val="none"/>
                <w:lang w:val="en-US" w:eastAsia="zh-CN" w:bidi="ar"/>
              </w:rPr>
              <w:t>5318.02</w:t>
            </w:r>
            <w:r>
              <w:rPr>
                <w:rFonts w:hint="eastAsia" w:ascii="仿宋_GB2312" w:hAnsi="Times New Roman" w:eastAsia="仿宋_GB2312" w:cs="仿宋_GB2312"/>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2021</w:t>
            </w:r>
            <w:r>
              <w:rPr>
                <w:rFonts w:hint="eastAsia" w:ascii="仿宋_GB2312" w:hAnsi="Times New Roman" w:eastAsia="仿宋_GB2312" w:cs="仿宋_GB2312"/>
                <w:i w:val="0"/>
                <w:iCs w:val="0"/>
                <w:color w:val="auto"/>
                <w:kern w:val="0"/>
                <w:sz w:val="21"/>
                <w:szCs w:val="21"/>
                <w:u w:val="none"/>
                <w:lang w:val="en-US" w:eastAsia="zh-CN" w:bidi="ar"/>
              </w:rPr>
              <w:t>年本级预算安排资金增幅为</w:t>
            </w:r>
            <w:r>
              <w:rPr>
                <w:rFonts w:hint="default" w:ascii="Times New Roman" w:hAnsi="Times New Roman" w:eastAsia="宋体" w:cs="Times New Roman"/>
                <w:i w:val="0"/>
                <w:iCs w:val="0"/>
                <w:color w:val="auto"/>
                <w:kern w:val="0"/>
                <w:sz w:val="21"/>
                <w:szCs w:val="21"/>
                <w:u w:val="none"/>
                <w:lang w:val="en-US" w:eastAsia="zh-CN" w:bidi="ar"/>
              </w:rPr>
              <w:t>0.53%</w:t>
            </w:r>
            <w:r>
              <w:rPr>
                <w:rFonts w:hint="eastAsia" w:ascii="仿宋_GB2312" w:hAnsi="Times New Roman" w:eastAsia="仿宋_GB2312" w:cs="仿宋_GB2312"/>
                <w:i w:val="0"/>
                <w:iCs w:val="0"/>
                <w:color w:val="auto"/>
                <w:kern w:val="0"/>
                <w:sz w:val="21"/>
                <w:szCs w:val="21"/>
                <w:u w:val="none"/>
                <w:lang w:val="en-US" w:eastAsia="zh-CN" w:bidi="ar"/>
              </w:rPr>
              <w:t>，得满分。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B22</w:t>
            </w:r>
            <w:r>
              <w:rPr>
                <w:rFonts w:hint="eastAsia" w:ascii="仿宋_GB2312" w:hAnsi="Times New Roman" w:eastAsia="仿宋_GB2312" w:cs="仿宋_GB2312"/>
                <w:i w:val="0"/>
                <w:iCs w:val="0"/>
                <w:color w:val="auto"/>
                <w:kern w:val="0"/>
                <w:sz w:val="21"/>
                <w:szCs w:val="21"/>
                <w:u w:val="none"/>
                <w:lang w:val="en-US" w:eastAsia="zh-CN" w:bidi="ar"/>
              </w:rPr>
              <w:t>资金用于产业比例</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考察中央、省、市、县四级财政衔接资金用于产业发展资金情况。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中央、省、市、县四级财政衔接资金合计用于产业的比例</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且高于上年，或用于产业的比例</w:t>
            </w:r>
            <w:r>
              <w:rPr>
                <w:rFonts w:hint="default" w:ascii="Times New Roman" w:hAnsi="Times New Roman" w:eastAsia="仿宋_GB2312" w:cs="Times New Roman"/>
                <w:i w:val="0"/>
                <w:iCs w:val="0"/>
                <w:color w:val="auto"/>
                <w:kern w:val="0"/>
                <w:sz w:val="21"/>
                <w:szCs w:val="21"/>
                <w:u w:val="none"/>
                <w:lang w:val="en-US" w:eastAsia="zh-CN" w:bidi="ar"/>
              </w:rPr>
              <w:t>≥70%</w:t>
            </w:r>
            <w:r>
              <w:rPr>
                <w:rFonts w:hint="eastAsia" w:ascii="仿宋_GB2312" w:hAnsi="宋体" w:eastAsia="仿宋_GB2312" w:cs="仿宋_GB2312"/>
                <w:i w:val="0"/>
                <w:iCs w:val="0"/>
                <w:color w:val="auto"/>
                <w:kern w:val="0"/>
                <w:sz w:val="21"/>
                <w:szCs w:val="21"/>
                <w:u w:val="none"/>
                <w:lang w:val="en-US" w:eastAsia="zh-CN" w:bidi="ar"/>
              </w:rPr>
              <w:t>得满分，否则，按每低于上年比例</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个百分比扣除</w:t>
            </w:r>
            <w:r>
              <w:rPr>
                <w:rFonts w:hint="default" w:ascii="Times New Roman" w:hAnsi="Times New Roman" w:eastAsia="仿宋_GB2312" w:cs="Times New Roman"/>
                <w:i w:val="0"/>
                <w:iCs w:val="0"/>
                <w:color w:val="auto"/>
                <w:kern w:val="0"/>
                <w:sz w:val="21"/>
                <w:szCs w:val="21"/>
                <w:u w:val="none"/>
                <w:lang w:val="en-US" w:eastAsia="zh-CN" w:bidi="ar"/>
              </w:rPr>
              <w:t>25%</w:t>
            </w:r>
            <w:r>
              <w:rPr>
                <w:rFonts w:hint="eastAsia" w:ascii="仿宋_GB2312" w:hAnsi="宋体" w:eastAsia="仿宋_GB2312" w:cs="仿宋_GB2312"/>
                <w:i w:val="0"/>
                <w:iCs w:val="0"/>
                <w:color w:val="auto"/>
                <w:kern w:val="0"/>
                <w:sz w:val="21"/>
                <w:szCs w:val="21"/>
                <w:u w:val="none"/>
                <w:lang w:val="en-US" w:eastAsia="zh-CN" w:bidi="ar"/>
              </w:rPr>
              <w:t>权重分，扣完为止。以上要素分别占</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2021</w:t>
            </w:r>
            <w:r>
              <w:rPr>
                <w:rFonts w:hint="eastAsia" w:ascii="仿宋_GB2312" w:hAnsi="Times New Roman" w:eastAsia="仿宋_GB2312" w:cs="仿宋_GB2312"/>
                <w:i w:val="0"/>
                <w:iCs w:val="0"/>
                <w:color w:val="auto"/>
                <w:kern w:val="0"/>
                <w:sz w:val="21"/>
                <w:szCs w:val="21"/>
                <w:u w:val="none"/>
                <w:lang w:val="en-US" w:eastAsia="zh-CN" w:bidi="ar"/>
              </w:rPr>
              <w:t>年，滑县涉农资金项目共安排财政衔接推进乡村振兴补助资金</w:t>
            </w:r>
            <w:r>
              <w:rPr>
                <w:rFonts w:hint="default" w:ascii="Times New Roman" w:hAnsi="Times New Roman" w:eastAsia="宋体" w:cs="Times New Roman"/>
                <w:i w:val="0"/>
                <w:iCs w:val="0"/>
                <w:color w:val="auto"/>
                <w:kern w:val="0"/>
                <w:sz w:val="21"/>
                <w:szCs w:val="21"/>
                <w:u w:val="none"/>
                <w:lang w:val="en-US" w:eastAsia="zh-CN" w:bidi="ar"/>
              </w:rPr>
              <w:t>16143.21</w:t>
            </w:r>
            <w:r>
              <w:rPr>
                <w:rFonts w:hint="eastAsia" w:ascii="仿宋_GB2312" w:hAnsi="Times New Roman" w:eastAsia="仿宋_GB2312" w:cs="仿宋_GB2312"/>
                <w:i w:val="0"/>
                <w:iCs w:val="0"/>
                <w:color w:val="auto"/>
                <w:kern w:val="0"/>
                <w:sz w:val="21"/>
                <w:szCs w:val="21"/>
                <w:u w:val="none"/>
                <w:lang w:val="en-US" w:eastAsia="zh-CN" w:bidi="ar"/>
              </w:rPr>
              <w:t>万元，包括中央资金</w:t>
            </w:r>
            <w:r>
              <w:rPr>
                <w:rFonts w:hint="default" w:ascii="Times New Roman" w:hAnsi="Times New Roman" w:eastAsia="宋体" w:cs="Times New Roman"/>
                <w:i w:val="0"/>
                <w:iCs w:val="0"/>
                <w:color w:val="auto"/>
                <w:kern w:val="0"/>
                <w:sz w:val="21"/>
                <w:szCs w:val="21"/>
                <w:u w:val="none"/>
                <w:lang w:val="en-US" w:eastAsia="zh-CN" w:bidi="ar"/>
              </w:rPr>
              <w:t>8578</w:t>
            </w:r>
            <w:r>
              <w:rPr>
                <w:rFonts w:hint="eastAsia" w:ascii="仿宋_GB2312" w:hAnsi="Times New Roman" w:eastAsia="仿宋_GB2312" w:cs="仿宋_GB2312"/>
                <w:i w:val="0"/>
                <w:iCs w:val="0"/>
                <w:color w:val="auto"/>
                <w:kern w:val="0"/>
                <w:sz w:val="21"/>
                <w:szCs w:val="21"/>
                <w:u w:val="none"/>
                <w:lang w:val="en-US" w:eastAsia="zh-CN" w:bidi="ar"/>
              </w:rPr>
              <w:t>万元，省级资金</w:t>
            </w:r>
            <w:r>
              <w:rPr>
                <w:rFonts w:hint="default" w:ascii="Times New Roman" w:hAnsi="Times New Roman" w:eastAsia="宋体" w:cs="Times New Roman"/>
                <w:i w:val="0"/>
                <w:iCs w:val="0"/>
                <w:color w:val="auto"/>
                <w:kern w:val="0"/>
                <w:sz w:val="21"/>
                <w:szCs w:val="21"/>
                <w:u w:val="none"/>
                <w:lang w:val="en-US" w:eastAsia="zh-CN" w:bidi="ar"/>
              </w:rPr>
              <w:t>2219</w:t>
            </w:r>
            <w:r>
              <w:rPr>
                <w:rFonts w:hint="eastAsia" w:ascii="仿宋_GB2312" w:hAnsi="Times New Roman" w:eastAsia="仿宋_GB2312" w:cs="仿宋_GB2312"/>
                <w:i w:val="0"/>
                <w:iCs w:val="0"/>
                <w:color w:val="auto"/>
                <w:kern w:val="0"/>
                <w:sz w:val="21"/>
                <w:szCs w:val="21"/>
                <w:u w:val="none"/>
                <w:lang w:val="en-US" w:eastAsia="zh-CN" w:bidi="ar"/>
              </w:rPr>
              <w:t>万元，县级资金</w:t>
            </w:r>
            <w:r>
              <w:rPr>
                <w:rFonts w:hint="default" w:ascii="Times New Roman" w:hAnsi="Times New Roman" w:eastAsia="宋体" w:cs="Times New Roman"/>
                <w:i w:val="0"/>
                <w:iCs w:val="0"/>
                <w:color w:val="auto"/>
                <w:kern w:val="0"/>
                <w:sz w:val="21"/>
                <w:szCs w:val="21"/>
                <w:u w:val="none"/>
                <w:lang w:val="en-US" w:eastAsia="zh-CN" w:bidi="ar"/>
              </w:rPr>
              <w:t>5346.21</w:t>
            </w:r>
            <w:r>
              <w:rPr>
                <w:rFonts w:hint="eastAsia" w:ascii="仿宋_GB2312" w:hAnsi="Times New Roman" w:eastAsia="仿宋_GB2312" w:cs="仿宋_GB2312"/>
                <w:i w:val="0"/>
                <w:iCs w:val="0"/>
                <w:color w:val="auto"/>
                <w:kern w:val="0"/>
                <w:sz w:val="21"/>
                <w:szCs w:val="21"/>
                <w:u w:val="none"/>
                <w:lang w:val="en-US" w:eastAsia="zh-CN" w:bidi="ar"/>
              </w:rPr>
              <w:t>万元。其中，各级资金用于产业发展项目资金规模为</w:t>
            </w:r>
            <w:r>
              <w:rPr>
                <w:rFonts w:hint="default" w:ascii="Times New Roman" w:hAnsi="Times New Roman" w:eastAsia="宋体" w:cs="Times New Roman"/>
                <w:i w:val="0"/>
                <w:iCs w:val="0"/>
                <w:color w:val="auto"/>
                <w:kern w:val="0"/>
                <w:sz w:val="21"/>
                <w:szCs w:val="21"/>
                <w:u w:val="none"/>
                <w:lang w:val="en-US" w:eastAsia="zh-CN" w:bidi="ar"/>
              </w:rPr>
              <w:t>9127.12</w:t>
            </w:r>
            <w:r>
              <w:rPr>
                <w:rFonts w:hint="eastAsia" w:ascii="仿宋_GB2312" w:hAnsi="Times New Roman" w:eastAsia="仿宋_GB2312" w:cs="仿宋_GB2312"/>
                <w:i w:val="0"/>
                <w:iCs w:val="0"/>
                <w:color w:val="auto"/>
                <w:kern w:val="0"/>
                <w:sz w:val="21"/>
                <w:szCs w:val="21"/>
                <w:u w:val="none"/>
                <w:lang w:val="en-US" w:eastAsia="zh-CN" w:bidi="ar"/>
              </w:rPr>
              <w:t>万元，占比</w:t>
            </w:r>
            <w:r>
              <w:rPr>
                <w:rFonts w:hint="default" w:ascii="Times New Roman" w:hAnsi="Times New Roman" w:eastAsia="宋体" w:cs="Times New Roman"/>
                <w:i w:val="0"/>
                <w:iCs w:val="0"/>
                <w:color w:val="auto"/>
                <w:kern w:val="0"/>
                <w:sz w:val="21"/>
                <w:szCs w:val="21"/>
                <w:u w:val="none"/>
                <w:lang w:val="en-US" w:eastAsia="zh-CN" w:bidi="ar"/>
              </w:rPr>
              <w:t>56.54%</w:t>
            </w:r>
            <w:r>
              <w:rPr>
                <w:rFonts w:hint="eastAsia" w:ascii="仿宋_GB2312" w:hAnsi="Times New Roman" w:eastAsia="仿宋_GB2312" w:cs="仿宋_GB2312"/>
                <w:i w:val="0"/>
                <w:iCs w:val="0"/>
                <w:color w:val="auto"/>
                <w:kern w:val="0"/>
                <w:sz w:val="21"/>
                <w:szCs w:val="21"/>
                <w:u w:val="none"/>
                <w:lang w:val="en-US" w:eastAsia="zh-CN" w:bidi="ar"/>
              </w:rPr>
              <w:t>，低于</w:t>
            </w:r>
            <w:r>
              <w:rPr>
                <w:rFonts w:hint="default" w:ascii="Times New Roman" w:hAnsi="Times New Roman" w:eastAsia="宋体" w:cs="Times New Roman"/>
                <w:i w:val="0"/>
                <w:iCs w:val="0"/>
                <w:color w:val="auto"/>
                <w:kern w:val="0"/>
                <w:sz w:val="21"/>
                <w:szCs w:val="21"/>
                <w:u w:val="none"/>
                <w:lang w:val="en-US" w:eastAsia="zh-CN" w:bidi="ar"/>
              </w:rPr>
              <w:t>70%</w:t>
            </w:r>
            <w:r>
              <w:rPr>
                <w:rFonts w:hint="eastAsia" w:ascii="仿宋_GB2312" w:hAnsi="Times New Roman" w:eastAsia="仿宋_GB2312" w:cs="仿宋_GB2312"/>
                <w:i w:val="0"/>
                <w:iCs w:val="0"/>
                <w:color w:val="auto"/>
                <w:kern w:val="0"/>
                <w:sz w:val="21"/>
                <w:szCs w:val="21"/>
                <w:u w:val="none"/>
                <w:lang w:val="en-US" w:eastAsia="zh-CN" w:bidi="ar"/>
              </w:rPr>
              <w:t>，但高于</w:t>
            </w:r>
            <w:r>
              <w:rPr>
                <w:rFonts w:hint="default" w:ascii="Times New Roman" w:hAnsi="Times New Roman" w:eastAsia="宋体" w:cs="Times New Roman"/>
                <w:i w:val="0"/>
                <w:iCs w:val="0"/>
                <w:color w:val="auto"/>
                <w:kern w:val="0"/>
                <w:sz w:val="21"/>
                <w:szCs w:val="21"/>
                <w:u w:val="none"/>
                <w:lang w:val="en-US" w:eastAsia="zh-CN" w:bidi="ar"/>
              </w:rPr>
              <w:t>2020</w:t>
            </w:r>
            <w:r>
              <w:rPr>
                <w:rFonts w:hint="eastAsia" w:ascii="仿宋_GB2312" w:hAnsi="Times New Roman" w:eastAsia="仿宋_GB2312" w:cs="仿宋_GB2312"/>
                <w:i w:val="0"/>
                <w:iCs w:val="0"/>
                <w:color w:val="auto"/>
                <w:kern w:val="0"/>
                <w:sz w:val="21"/>
                <w:szCs w:val="21"/>
                <w:u w:val="none"/>
                <w:lang w:val="en-US" w:eastAsia="zh-CN" w:bidi="ar"/>
              </w:rPr>
              <w:t>年产业项目资金占比，得满分权重分。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B23</w:t>
            </w:r>
            <w:r>
              <w:rPr>
                <w:rFonts w:hint="eastAsia" w:ascii="仿宋_GB2312" w:hAnsi="Times New Roman" w:eastAsia="仿宋_GB2312" w:cs="仿宋_GB2312"/>
                <w:i w:val="0"/>
                <w:iCs w:val="0"/>
                <w:color w:val="auto"/>
                <w:kern w:val="0"/>
                <w:sz w:val="21"/>
                <w:szCs w:val="21"/>
                <w:u w:val="none"/>
                <w:lang w:val="en-US" w:eastAsia="zh-CN" w:bidi="ar"/>
              </w:rPr>
              <w:t>预算执行率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考察项目实际支出金额与实际到位金额的比率，用以反映项目预算执行情况。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预算执行率</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（实际支出资金</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实际到位资金）</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。①实际支出资金：一定时期（本年度或项目期）内项目实际拨付的资金；②实际到位资金：一定时期（本年度或项目期）内实际落实到具体项目的资金。预算执行率达</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得满分，执行率在</w:t>
            </w:r>
            <w:r>
              <w:rPr>
                <w:rFonts w:hint="default" w:ascii="Times New Roman" w:hAnsi="Times New Roman" w:eastAsia="仿宋_GB2312" w:cs="Times New Roman"/>
                <w:i w:val="0"/>
                <w:iCs w:val="0"/>
                <w:color w:val="auto"/>
                <w:kern w:val="0"/>
                <w:sz w:val="21"/>
                <w:szCs w:val="21"/>
                <w:u w:val="none"/>
                <w:lang w:val="en-US" w:eastAsia="zh-CN" w:bidi="ar"/>
              </w:rPr>
              <w:t>85%-100%</w:t>
            </w:r>
            <w:r>
              <w:rPr>
                <w:rFonts w:hint="eastAsia" w:ascii="仿宋_GB2312" w:hAnsi="宋体" w:eastAsia="仿宋_GB2312" w:cs="仿宋_GB2312"/>
                <w:i w:val="0"/>
                <w:iCs w:val="0"/>
                <w:color w:val="auto"/>
                <w:kern w:val="0"/>
                <w:sz w:val="21"/>
                <w:szCs w:val="21"/>
                <w:u w:val="none"/>
                <w:lang w:val="en-US" w:eastAsia="zh-CN" w:bidi="ar"/>
              </w:rPr>
              <w:t>之间按比例得分，低于</w:t>
            </w:r>
            <w:r>
              <w:rPr>
                <w:rFonts w:hint="default" w:ascii="Times New Roman" w:hAnsi="Times New Roman" w:eastAsia="仿宋_GB2312" w:cs="Times New Roman"/>
                <w:i w:val="0"/>
                <w:iCs w:val="0"/>
                <w:color w:val="auto"/>
                <w:kern w:val="0"/>
                <w:sz w:val="21"/>
                <w:szCs w:val="21"/>
                <w:u w:val="none"/>
                <w:lang w:val="en-US" w:eastAsia="zh-CN" w:bidi="ar"/>
              </w:rPr>
              <w:t>85%</w:t>
            </w:r>
            <w:r>
              <w:rPr>
                <w:rFonts w:hint="eastAsia" w:ascii="仿宋_GB2312" w:hAnsi="宋体" w:eastAsia="仿宋_GB2312" w:cs="仿宋_GB2312"/>
                <w:i w:val="0"/>
                <w:iCs w:val="0"/>
                <w:color w:val="auto"/>
                <w:kern w:val="0"/>
                <w:sz w:val="21"/>
                <w:szCs w:val="21"/>
                <w:u w:val="none"/>
                <w:lang w:val="en-US" w:eastAsia="zh-CN" w:bidi="ar"/>
              </w:rPr>
              <w:t>不得分。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2021</w:t>
            </w:r>
            <w:r>
              <w:rPr>
                <w:rFonts w:hint="eastAsia" w:ascii="仿宋_GB2312" w:hAnsi="Times New Roman" w:eastAsia="仿宋_GB2312" w:cs="仿宋_GB2312"/>
                <w:i w:val="0"/>
                <w:iCs w:val="0"/>
                <w:color w:val="auto"/>
                <w:kern w:val="0"/>
                <w:sz w:val="21"/>
                <w:szCs w:val="21"/>
                <w:u w:val="none"/>
                <w:lang w:val="en-US" w:eastAsia="zh-CN" w:bidi="ar"/>
              </w:rPr>
              <w:t>年，滑县涉农资金项目共安排财政衔接推进乡村振兴补助资金</w:t>
            </w:r>
            <w:r>
              <w:rPr>
                <w:rFonts w:hint="default" w:ascii="Times New Roman" w:hAnsi="Times New Roman" w:eastAsia="宋体" w:cs="Times New Roman"/>
                <w:i w:val="0"/>
                <w:iCs w:val="0"/>
                <w:color w:val="auto"/>
                <w:kern w:val="0"/>
                <w:sz w:val="21"/>
                <w:szCs w:val="21"/>
                <w:u w:val="none"/>
                <w:lang w:val="en-US" w:eastAsia="zh-CN" w:bidi="ar"/>
              </w:rPr>
              <w:t>16143.21</w:t>
            </w:r>
            <w:r>
              <w:rPr>
                <w:rFonts w:hint="eastAsia" w:ascii="仿宋_GB2312" w:hAnsi="Times New Roman" w:eastAsia="仿宋_GB2312" w:cs="仿宋_GB2312"/>
                <w:i w:val="0"/>
                <w:iCs w:val="0"/>
                <w:color w:val="auto"/>
                <w:kern w:val="0"/>
                <w:sz w:val="21"/>
                <w:szCs w:val="21"/>
                <w:u w:val="none"/>
                <w:lang w:val="en-US" w:eastAsia="zh-CN" w:bidi="ar"/>
              </w:rPr>
              <w:t>万元，包括中央资金</w:t>
            </w:r>
            <w:r>
              <w:rPr>
                <w:rFonts w:hint="default" w:ascii="Times New Roman" w:hAnsi="Times New Roman" w:eastAsia="宋体" w:cs="Times New Roman"/>
                <w:i w:val="0"/>
                <w:iCs w:val="0"/>
                <w:color w:val="auto"/>
                <w:kern w:val="0"/>
                <w:sz w:val="21"/>
                <w:szCs w:val="21"/>
                <w:u w:val="none"/>
                <w:lang w:val="en-US" w:eastAsia="zh-CN" w:bidi="ar"/>
              </w:rPr>
              <w:t>8578</w:t>
            </w:r>
            <w:r>
              <w:rPr>
                <w:rFonts w:hint="eastAsia" w:ascii="仿宋_GB2312" w:hAnsi="Times New Roman" w:eastAsia="仿宋_GB2312" w:cs="仿宋_GB2312"/>
                <w:i w:val="0"/>
                <w:iCs w:val="0"/>
                <w:color w:val="auto"/>
                <w:kern w:val="0"/>
                <w:sz w:val="21"/>
                <w:szCs w:val="21"/>
                <w:u w:val="none"/>
                <w:lang w:val="en-US" w:eastAsia="zh-CN" w:bidi="ar"/>
              </w:rPr>
              <w:t>万元，省级资金</w:t>
            </w:r>
            <w:r>
              <w:rPr>
                <w:rFonts w:hint="default" w:ascii="Times New Roman" w:hAnsi="Times New Roman" w:eastAsia="宋体" w:cs="Times New Roman"/>
                <w:i w:val="0"/>
                <w:iCs w:val="0"/>
                <w:color w:val="auto"/>
                <w:kern w:val="0"/>
                <w:sz w:val="21"/>
                <w:szCs w:val="21"/>
                <w:u w:val="none"/>
                <w:lang w:val="en-US" w:eastAsia="zh-CN" w:bidi="ar"/>
              </w:rPr>
              <w:t>2219</w:t>
            </w:r>
            <w:r>
              <w:rPr>
                <w:rFonts w:hint="eastAsia" w:ascii="仿宋_GB2312" w:hAnsi="Times New Roman" w:eastAsia="仿宋_GB2312" w:cs="仿宋_GB2312"/>
                <w:i w:val="0"/>
                <w:iCs w:val="0"/>
                <w:color w:val="auto"/>
                <w:kern w:val="0"/>
                <w:sz w:val="21"/>
                <w:szCs w:val="21"/>
                <w:u w:val="none"/>
                <w:lang w:val="en-US" w:eastAsia="zh-CN" w:bidi="ar"/>
              </w:rPr>
              <w:t>万元，县级资金</w:t>
            </w:r>
            <w:r>
              <w:rPr>
                <w:rFonts w:hint="default" w:ascii="Times New Roman" w:hAnsi="Times New Roman" w:eastAsia="宋体" w:cs="Times New Roman"/>
                <w:i w:val="0"/>
                <w:iCs w:val="0"/>
                <w:color w:val="auto"/>
                <w:kern w:val="0"/>
                <w:sz w:val="21"/>
                <w:szCs w:val="21"/>
                <w:u w:val="none"/>
                <w:lang w:val="en-US" w:eastAsia="zh-CN" w:bidi="ar"/>
              </w:rPr>
              <w:t>5346.21</w:t>
            </w:r>
            <w:r>
              <w:rPr>
                <w:rFonts w:hint="eastAsia" w:ascii="仿宋_GB2312" w:hAnsi="Times New Roman" w:eastAsia="仿宋_GB2312" w:cs="仿宋_GB2312"/>
                <w:i w:val="0"/>
                <w:iCs w:val="0"/>
                <w:color w:val="auto"/>
                <w:kern w:val="0"/>
                <w:sz w:val="21"/>
                <w:szCs w:val="21"/>
                <w:u w:val="none"/>
                <w:lang w:val="en-US" w:eastAsia="zh-CN" w:bidi="ar"/>
              </w:rPr>
              <w:t>万元。截至评价期结束，累计支出资金</w:t>
            </w:r>
            <w:r>
              <w:rPr>
                <w:rFonts w:hint="default" w:ascii="Times New Roman" w:hAnsi="Times New Roman" w:eastAsia="宋体" w:cs="Times New Roman"/>
                <w:i w:val="0"/>
                <w:iCs w:val="0"/>
                <w:color w:val="auto"/>
                <w:kern w:val="0"/>
                <w:sz w:val="21"/>
                <w:szCs w:val="21"/>
                <w:u w:val="none"/>
                <w:lang w:val="en-US" w:eastAsia="zh-CN" w:bidi="ar"/>
              </w:rPr>
              <w:t>15969.79</w:t>
            </w:r>
            <w:r>
              <w:rPr>
                <w:rFonts w:hint="eastAsia" w:ascii="仿宋_GB2312" w:hAnsi="Times New Roman" w:eastAsia="仿宋_GB2312" w:cs="仿宋_GB2312"/>
                <w:i w:val="0"/>
                <w:iCs w:val="0"/>
                <w:color w:val="auto"/>
                <w:kern w:val="0"/>
                <w:sz w:val="21"/>
                <w:szCs w:val="21"/>
                <w:u w:val="none"/>
                <w:lang w:val="en-US" w:eastAsia="zh-CN" w:bidi="ar"/>
              </w:rPr>
              <w:t>万元，预算执行率为</w:t>
            </w:r>
            <w:r>
              <w:rPr>
                <w:rFonts w:hint="default" w:ascii="Times New Roman" w:hAnsi="Times New Roman" w:eastAsia="宋体" w:cs="Times New Roman"/>
                <w:i w:val="0"/>
                <w:iCs w:val="0"/>
                <w:color w:val="auto"/>
                <w:kern w:val="0"/>
                <w:sz w:val="21"/>
                <w:szCs w:val="21"/>
                <w:u w:val="none"/>
                <w:lang w:val="en-US" w:eastAsia="zh-CN" w:bidi="ar"/>
              </w:rPr>
              <w:t>98.93%</w:t>
            </w:r>
            <w:r>
              <w:rPr>
                <w:rFonts w:hint="eastAsia" w:ascii="仿宋_GB2312" w:hAnsi="Times New Roman" w:eastAsia="仿宋_GB2312" w:cs="仿宋_GB2312"/>
                <w:i w:val="0"/>
                <w:iCs w:val="0"/>
                <w:color w:val="auto"/>
                <w:kern w:val="0"/>
                <w:sz w:val="21"/>
                <w:szCs w:val="21"/>
                <w:u w:val="none"/>
                <w:lang w:val="en-US" w:eastAsia="zh-CN" w:bidi="ar"/>
              </w:rPr>
              <w:t>。综上，该指标得</w:t>
            </w:r>
            <w:r>
              <w:rPr>
                <w:rFonts w:hint="default" w:ascii="Times New Roman" w:hAnsi="Times New Roman" w:eastAsia="宋体" w:cs="Times New Roman"/>
                <w:i w:val="0"/>
                <w:iCs w:val="0"/>
                <w:color w:val="auto"/>
                <w:kern w:val="0"/>
                <w:sz w:val="21"/>
                <w:szCs w:val="21"/>
                <w:u w:val="none"/>
                <w:lang w:val="en-US" w:eastAsia="zh-CN" w:bidi="ar"/>
              </w:rPr>
              <w:t>98.93%</w:t>
            </w:r>
            <w:r>
              <w:rPr>
                <w:rFonts w:hint="eastAsia" w:ascii="仿宋_GB2312" w:hAnsi="Times New Roman" w:eastAsia="仿宋_GB2312" w:cs="仿宋_GB2312"/>
                <w:i w:val="0"/>
                <w:iCs w:val="0"/>
                <w:color w:val="auto"/>
                <w:kern w:val="0"/>
                <w:sz w:val="21"/>
                <w:szCs w:val="21"/>
                <w:u w:val="none"/>
                <w:lang w:val="en-US" w:eastAsia="zh-CN" w:bidi="ar"/>
              </w:rPr>
              <w:t>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B24</w:t>
            </w:r>
            <w:r>
              <w:rPr>
                <w:rFonts w:hint="eastAsia" w:ascii="仿宋_GB2312" w:hAnsi="Times New Roman" w:eastAsia="仿宋_GB2312" w:cs="仿宋_GB2312"/>
                <w:i w:val="0"/>
                <w:iCs w:val="0"/>
                <w:color w:val="auto"/>
                <w:kern w:val="0"/>
                <w:sz w:val="21"/>
                <w:szCs w:val="21"/>
                <w:u w:val="none"/>
                <w:lang w:val="en-US" w:eastAsia="zh-CN" w:bidi="ar"/>
              </w:rPr>
              <w:t>财务管理制度健全性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项目实施单位的财务制度是否健全，用以反映和考核财务管理制度对资金规范、安全运行的保障情况。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健全</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①主管部门已制定或具有相应的项目资金管理办法；②项目资金管理办法符合相关财务会计制度的规定。以上要素各占</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权重分，符合得分，不符合相应扣分。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①滑县财政局、乡村振兴局已制定相应的衔接推进乡村振兴补助资金管理办法；②项目资金管理办法符合相关财务会计制度的规定。依据评分标准，该指标得满分。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B25</w:t>
            </w:r>
            <w:r>
              <w:rPr>
                <w:rFonts w:hint="eastAsia" w:ascii="仿宋_GB2312" w:hAnsi="Times New Roman" w:eastAsia="仿宋_GB2312" w:cs="仿宋_GB2312"/>
                <w:i w:val="0"/>
                <w:iCs w:val="0"/>
                <w:color w:val="auto"/>
                <w:kern w:val="0"/>
                <w:sz w:val="21"/>
                <w:szCs w:val="21"/>
                <w:u w:val="none"/>
                <w:lang w:val="en-US" w:eastAsia="zh-CN" w:bidi="ar"/>
              </w:rPr>
              <w:t>资金使用合规性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项目资金使用是否符合相关的财务管理制度规定，用以反映和考核项目资金的规范运行情况。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合规</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符合国家财经法规和财务管理制度以及有关专项资金管理办法的规定；②资金的拨付有完整的审批程序和手续；③项目开支符合政府采购管理要求；④符合项目预算批复或合同规定的用途，以及按照项目合同规定的支付方式进行支付；⑤不存在截留、挤占、挪用、虚列支出等情况。具备一个得分要素，得到指标分值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。但如缺少要素④或⑤指标得分为</w:t>
            </w:r>
            <w:r>
              <w:rPr>
                <w:rFonts w:hint="default" w:ascii="Times New Roman" w:hAnsi="Times New Roman" w:eastAsia="仿宋_GB2312" w:cs="Times New Roman"/>
                <w:i w:val="0"/>
                <w:iCs w:val="0"/>
                <w:color w:val="auto"/>
                <w:kern w:val="0"/>
                <w:sz w:val="21"/>
                <w:szCs w:val="21"/>
                <w:u w:val="none"/>
                <w:lang w:val="en-US" w:eastAsia="zh-CN" w:bidi="ar"/>
              </w:rPr>
              <w:t>0</w:t>
            </w:r>
            <w:r>
              <w:rPr>
                <w:rFonts w:hint="eastAsia" w:ascii="仿宋_GB2312" w:hAnsi="宋体" w:eastAsia="仿宋_GB2312" w:cs="仿宋_GB2312"/>
                <w:i w:val="0"/>
                <w:iCs w:val="0"/>
                <w:color w:val="auto"/>
                <w:kern w:val="0"/>
                <w:sz w:val="21"/>
                <w:szCs w:val="21"/>
                <w:u w:val="none"/>
                <w:lang w:val="en-US" w:eastAsia="zh-CN" w:bidi="ar"/>
              </w:rPr>
              <w:t>。每发现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个项目不符合，扣除相应权重分的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各项目提供的报账材料：①项目支出国家财经法规和财务管理制度以及有关专项资金管理办法的规定；②资金的拨付有完整的审批程序和手续；③项目开支符合政府采购管理要求；④符合项目预算批复或合同规定的用途，以及按照项目合同规定的支付方式进行支付；⑤不存在截留、挤占、挪用、虚列支出等情况。综上，该指标得满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B26</w:t>
            </w:r>
            <w:r>
              <w:rPr>
                <w:rFonts w:hint="eastAsia" w:ascii="仿宋_GB2312" w:hAnsi="Times New Roman" w:eastAsia="仿宋_GB2312" w:cs="仿宋_GB2312"/>
                <w:i w:val="0"/>
                <w:iCs w:val="0"/>
                <w:color w:val="auto"/>
                <w:kern w:val="0"/>
                <w:sz w:val="21"/>
                <w:szCs w:val="21"/>
                <w:u w:val="none"/>
                <w:lang w:val="en-US" w:eastAsia="zh-CN" w:bidi="ar"/>
              </w:rPr>
              <w:t>监督管理有效性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项目实施单位是否为保障资金的安全、规范运行而采取了必要的监控措施，用以反映和考核项目实施单位对资金运行的控制情况。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有效</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①县级定期开展项目实施和资金支出进度等跟踪督促情况，按要求落实到位；②对省、市跟踪督促及各类检查发现问题进行整改落实；③对全国</w:t>
            </w:r>
            <w:r>
              <w:rPr>
                <w:rFonts w:hint="default" w:ascii="Times New Roman" w:hAnsi="Times New Roman" w:eastAsia="仿宋_GB2312" w:cs="Times New Roman"/>
                <w:i w:val="0"/>
                <w:iCs w:val="0"/>
                <w:color w:val="auto"/>
                <w:kern w:val="0"/>
                <w:sz w:val="21"/>
                <w:szCs w:val="21"/>
                <w:u w:val="none"/>
                <w:lang w:val="en-US" w:eastAsia="zh-CN" w:bidi="ar"/>
              </w:rPr>
              <w:t>12317</w:t>
            </w:r>
            <w:r>
              <w:rPr>
                <w:rFonts w:hint="eastAsia" w:ascii="仿宋_GB2312" w:hAnsi="宋体" w:eastAsia="仿宋_GB2312" w:cs="仿宋_GB2312"/>
                <w:i w:val="0"/>
                <w:iCs w:val="0"/>
                <w:color w:val="auto"/>
                <w:kern w:val="0"/>
                <w:sz w:val="21"/>
                <w:szCs w:val="21"/>
                <w:u w:val="none"/>
                <w:lang w:val="en-US" w:eastAsia="zh-CN" w:bidi="ar"/>
              </w:rPr>
              <w:t>防止返贫监测和乡村振兴咨询服务平台反馈问题及时处理、整改到位。以上要素各占</w:t>
            </w:r>
            <w:r>
              <w:rPr>
                <w:rFonts w:hint="default" w:ascii="Times New Roman" w:hAnsi="Times New Roman" w:eastAsia="仿宋_GB2312" w:cs="Times New Roman"/>
                <w:i w:val="0"/>
                <w:iCs w:val="0"/>
                <w:color w:val="auto"/>
                <w:kern w:val="0"/>
                <w:sz w:val="21"/>
                <w:szCs w:val="21"/>
                <w:u w:val="none"/>
                <w:lang w:val="en-US" w:eastAsia="zh-CN" w:bidi="ar"/>
              </w:rPr>
              <w:t>1/3</w:t>
            </w:r>
            <w:r>
              <w:rPr>
                <w:rFonts w:hint="eastAsia" w:ascii="仿宋_GB2312" w:hAnsi="宋体" w:eastAsia="仿宋_GB2312" w:cs="仿宋_GB2312"/>
                <w:i w:val="0"/>
                <w:iCs w:val="0"/>
                <w:color w:val="auto"/>
                <w:kern w:val="0"/>
                <w:sz w:val="21"/>
                <w:szCs w:val="21"/>
                <w:u w:val="none"/>
                <w:lang w:val="en-US" w:eastAsia="zh-CN" w:bidi="ar"/>
              </w:rPr>
              <w:t>权重分，符合得分，不符合相应扣分。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年度，滑县财政局、乡村振兴局能够定期对项目实施进度和资金支出进度进行跟踪督促情况，开展绩效运行监控，及时督促项目进度；②</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年度未涉及省、市跟踪督促发现的各类检查问题；③未涉及全国</w:t>
            </w:r>
            <w:r>
              <w:rPr>
                <w:rFonts w:hint="default" w:ascii="Times New Roman" w:hAnsi="Times New Roman" w:eastAsia="仿宋_GB2312" w:cs="Times New Roman"/>
                <w:i w:val="0"/>
                <w:iCs w:val="0"/>
                <w:color w:val="auto"/>
                <w:kern w:val="0"/>
                <w:sz w:val="21"/>
                <w:szCs w:val="21"/>
                <w:u w:val="none"/>
                <w:lang w:val="en-US" w:eastAsia="zh-CN" w:bidi="ar"/>
              </w:rPr>
              <w:t>12317</w:t>
            </w:r>
            <w:r>
              <w:rPr>
                <w:rFonts w:hint="eastAsia" w:ascii="仿宋_GB2312" w:hAnsi="宋体" w:eastAsia="仿宋_GB2312" w:cs="仿宋_GB2312"/>
                <w:i w:val="0"/>
                <w:iCs w:val="0"/>
                <w:color w:val="auto"/>
                <w:kern w:val="0"/>
                <w:sz w:val="21"/>
                <w:szCs w:val="21"/>
                <w:u w:val="none"/>
                <w:lang w:val="en-US" w:eastAsia="zh-CN" w:bidi="ar"/>
              </w:rPr>
              <w:t>平台反馈问题。综上，该指标得满分权重分。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jc w:val="center"/>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w:t>
            </w:r>
            <w:r>
              <w:rPr>
                <w:rFonts w:hint="eastAsia" w:ascii="仿宋_GB2312" w:hAnsi="Times New Roman" w:eastAsia="仿宋_GB2312" w:cs="仿宋_GB2312"/>
                <w:i w:val="0"/>
                <w:iCs w:val="0"/>
                <w:color w:val="auto"/>
                <w:kern w:val="0"/>
                <w:sz w:val="21"/>
                <w:szCs w:val="21"/>
                <w:u w:val="none"/>
                <w:lang w:val="en-US" w:eastAsia="zh-CN" w:bidi="ar"/>
              </w:rPr>
              <w:t>项目产出（</w:t>
            </w:r>
            <w:r>
              <w:rPr>
                <w:rFonts w:hint="default" w:ascii="Times New Roman" w:hAnsi="Times New Roman" w:eastAsia="宋体" w:cs="Times New Roman"/>
                <w:i w:val="0"/>
                <w:iCs w:val="0"/>
                <w:color w:val="auto"/>
                <w:kern w:val="0"/>
                <w:sz w:val="21"/>
                <w:szCs w:val="21"/>
                <w:u w:val="none"/>
                <w:lang w:val="en-US" w:eastAsia="zh-CN" w:bidi="ar"/>
              </w:rPr>
              <w:t>23</w:t>
            </w:r>
            <w:r>
              <w:rPr>
                <w:rFonts w:hint="eastAsia" w:ascii="仿宋_GB2312" w:hAnsi="Times New Roman" w:eastAsia="仿宋_GB2312" w:cs="仿宋_GB2312"/>
                <w:i w:val="0"/>
                <w:iCs w:val="0"/>
                <w:color w:val="auto"/>
                <w:kern w:val="0"/>
                <w:sz w:val="21"/>
                <w:szCs w:val="21"/>
                <w:u w:val="none"/>
                <w:lang w:val="en-US" w:eastAsia="zh-CN" w:bidi="ar"/>
              </w:rPr>
              <w:t>）</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C1</w:t>
            </w:r>
            <w:r>
              <w:rPr>
                <w:rFonts w:hint="eastAsia" w:ascii="仿宋_GB2312" w:hAnsi="Times New Roman" w:eastAsia="仿宋_GB2312" w:cs="仿宋_GB2312"/>
                <w:i w:val="0"/>
                <w:iCs w:val="0"/>
                <w:color w:val="auto"/>
                <w:kern w:val="0"/>
                <w:sz w:val="21"/>
                <w:szCs w:val="21"/>
                <w:u w:val="none"/>
                <w:lang w:val="en-US" w:eastAsia="zh-CN" w:bidi="ar"/>
              </w:rPr>
              <w:t>产出数量（</w:t>
            </w:r>
            <w:r>
              <w:rPr>
                <w:rFonts w:hint="default" w:ascii="Times New Roman" w:hAnsi="Times New Roman" w:eastAsia="宋体" w:cs="Times New Roman"/>
                <w:i w:val="0"/>
                <w:iCs w:val="0"/>
                <w:color w:val="auto"/>
                <w:kern w:val="0"/>
                <w:sz w:val="21"/>
                <w:szCs w:val="21"/>
                <w:u w:val="none"/>
                <w:lang w:val="en-US" w:eastAsia="zh-CN" w:bidi="ar"/>
              </w:rPr>
              <w:t>11</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C11</w:t>
            </w:r>
            <w:r>
              <w:rPr>
                <w:rFonts w:hint="eastAsia" w:ascii="仿宋_GB2312" w:hAnsi="Times New Roman" w:eastAsia="仿宋_GB2312" w:cs="仿宋_GB2312"/>
                <w:i w:val="0"/>
                <w:iCs w:val="0"/>
                <w:color w:val="auto"/>
                <w:kern w:val="0"/>
                <w:sz w:val="21"/>
                <w:szCs w:val="21"/>
                <w:u w:val="none"/>
                <w:lang w:val="en-US" w:eastAsia="zh-CN" w:bidi="ar"/>
              </w:rPr>
              <w:t>项目建设实施完成率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考察本地区</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年财政衔接推进乡村振兴补助资金项目建设完成情况。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财政衔接推进乡村振兴补助资金项目建设实施完成率达到</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，得满分权重分。否则按完成比例得分。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2021</w:t>
            </w:r>
            <w:r>
              <w:rPr>
                <w:rFonts w:hint="eastAsia" w:ascii="仿宋_GB2312" w:hAnsi="Times New Roman" w:eastAsia="仿宋_GB2312" w:cs="仿宋_GB2312"/>
                <w:i w:val="0"/>
                <w:iCs w:val="0"/>
                <w:color w:val="auto"/>
                <w:kern w:val="0"/>
                <w:sz w:val="21"/>
                <w:szCs w:val="21"/>
                <w:u w:val="none"/>
                <w:lang w:val="en-US" w:eastAsia="zh-CN" w:bidi="ar"/>
              </w:rPr>
              <w:t>年，滑县财政衔接推进乡村振兴补助资金实施范围涉及全县各类项目</w:t>
            </w:r>
            <w:r>
              <w:rPr>
                <w:rFonts w:hint="default" w:ascii="Times New Roman" w:hAnsi="Times New Roman" w:eastAsia="宋体" w:cs="Times New Roman"/>
                <w:i w:val="0"/>
                <w:iCs w:val="0"/>
                <w:color w:val="auto"/>
                <w:kern w:val="0"/>
                <w:sz w:val="21"/>
                <w:szCs w:val="21"/>
                <w:u w:val="none"/>
                <w:lang w:val="en-US" w:eastAsia="zh-CN" w:bidi="ar"/>
              </w:rPr>
              <w:t>38</w:t>
            </w:r>
            <w:r>
              <w:rPr>
                <w:rFonts w:hint="eastAsia" w:ascii="Times New Roman" w:hAnsi="Times New Roman" w:cs="Times New Roman"/>
                <w:i w:val="0"/>
                <w:iCs w:val="0"/>
                <w:color w:val="auto"/>
                <w:kern w:val="0"/>
                <w:sz w:val="21"/>
                <w:szCs w:val="21"/>
                <w:u w:val="none"/>
                <w:lang w:val="en-US" w:eastAsia="zh-CN" w:bidi="ar"/>
              </w:rPr>
              <w:t>8</w:t>
            </w:r>
            <w:r>
              <w:rPr>
                <w:rFonts w:hint="eastAsia" w:ascii="仿宋_GB2312" w:hAnsi="Times New Roman" w:eastAsia="仿宋_GB2312" w:cs="仿宋_GB2312"/>
                <w:i w:val="0"/>
                <w:iCs w:val="0"/>
                <w:color w:val="auto"/>
                <w:kern w:val="0"/>
                <w:sz w:val="21"/>
                <w:szCs w:val="21"/>
                <w:u w:val="none"/>
                <w:lang w:val="en-US" w:eastAsia="zh-CN" w:bidi="ar"/>
              </w:rPr>
              <w:t>个，包括农村基础设施类项目（背街小巷硬化奖补、道路硬化、农村生活废水排水、危房改造、以工代赈）</w:t>
            </w:r>
            <w:r>
              <w:rPr>
                <w:rFonts w:hint="default" w:ascii="Times New Roman" w:hAnsi="Times New Roman" w:eastAsia="宋体" w:cs="Times New Roman"/>
                <w:i w:val="0"/>
                <w:iCs w:val="0"/>
                <w:color w:val="auto"/>
                <w:kern w:val="0"/>
                <w:sz w:val="21"/>
                <w:szCs w:val="21"/>
                <w:u w:val="none"/>
                <w:lang w:val="en-US" w:eastAsia="zh-CN" w:bidi="ar"/>
              </w:rPr>
              <w:t>277</w:t>
            </w:r>
            <w:r>
              <w:rPr>
                <w:rFonts w:hint="eastAsia" w:ascii="仿宋_GB2312" w:hAnsi="Times New Roman" w:eastAsia="仿宋_GB2312" w:cs="仿宋_GB2312"/>
                <w:i w:val="0"/>
                <w:iCs w:val="0"/>
                <w:color w:val="auto"/>
                <w:kern w:val="0"/>
                <w:sz w:val="21"/>
                <w:szCs w:val="21"/>
                <w:u w:val="none"/>
                <w:lang w:val="en-US" w:eastAsia="zh-CN" w:bidi="ar"/>
              </w:rPr>
              <w:t>个、产业发展类项目（产业设施配套、村集体经济发展滑丰智能化种子加工产业、冷库建设扶持、设施农业产业扶持、农产品加工扶持）</w:t>
            </w:r>
            <w:r>
              <w:rPr>
                <w:rFonts w:hint="default" w:ascii="Times New Roman" w:hAnsi="Times New Roman" w:eastAsia="宋体" w:cs="Times New Roman"/>
                <w:i w:val="0"/>
                <w:iCs w:val="0"/>
                <w:color w:val="auto"/>
                <w:kern w:val="0"/>
                <w:sz w:val="21"/>
                <w:szCs w:val="21"/>
                <w:u w:val="none"/>
                <w:lang w:val="en-US" w:eastAsia="zh-CN" w:bidi="ar"/>
              </w:rPr>
              <w:t>107</w:t>
            </w:r>
            <w:r>
              <w:rPr>
                <w:rFonts w:hint="eastAsia" w:ascii="仿宋_GB2312" w:hAnsi="Times New Roman" w:eastAsia="仿宋_GB2312" w:cs="仿宋_GB2312"/>
                <w:i w:val="0"/>
                <w:iCs w:val="0"/>
                <w:color w:val="auto"/>
                <w:kern w:val="0"/>
                <w:sz w:val="21"/>
                <w:szCs w:val="21"/>
                <w:u w:val="none"/>
                <w:lang w:val="en-US" w:eastAsia="zh-CN" w:bidi="ar"/>
              </w:rPr>
              <w:t>个、雨露计划、小额贷款贴息等其他类项目</w:t>
            </w:r>
            <w:r>
              <w:rPr>
                <w:rFonts w:hint="eastAsia" w:ascii="Times New Roman" w:hAnsi="Times New Roman" w:cs="Times New Roman"/>
                <w:i w:val="0"/>
                <w:iCs w:val="0"/>
                <w:color w:val="auto"/>
                <w:kern w:val="0"/>
                <w:sz w:val="21"/>
                <w:szCs w:val="21"/>
                <w:u w:val="none"/>
                <w:lang w:val="en-US" w:eastAsia="zh-CN" w:bidi="ar"/>
              </w:rPr>
              <w:t>4</w:t>
            </w:r>
            <w:r>
              <w:rPr>
                <w:rFonts w:hint="eastAsia" w:ascii="仿宋_GB2312" w:hAnsi="Times New Roman" w:eastAsia="仿宋_GB2312" w:cs="仿宋_GB2312"/>
                <w:i w:val="0"/>
                <w:iCs w:val="0"/>
                <w:color w:val="auto"/>
                <w:kern w:val="0"/>
                <w:sz w:val="21"/>
                <w:szCs w:val="21"/>
                <w:u w:val="none"/>
                <w:lang w:val="en-US" w:eastAsia="zh-CN" w:bidi="ar"/>
              </w:rPr>
              <w:t>个。截至评价期结束，</w:t>
            </w:r>
            <w:r>
              <w:rPr>
                <w:rFonts w:hint="default" w:ascii="Times New Roman" w:hAnsi="Times New Roman" w:eastAsia="宋体" w:cs="Times New Roman"/>
                <w:i w:val="0"/>
                <w:iCs w:val="0"/>
                <w:color w:val="auto"/>
                <w:kern w:val="0"/>
                <w:sz w:val="21"/>
                <w:szCs w:val="21"/>
                <w:u w:val="none"/>
                <w:lang w:val="en-US" w:eastAsia="zh-CN" w:bidi="ar"/>
              </w:rPr>
              <w:t>38</w:t>
            </w:r>
            <w:r>
              <w:rPr>
                <w:rFonts w:hint="eastAsia" w:ascii="Times New Roman" w:hAnsi="Times New Roman"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个项目已完成建设任务，项目完工率为</w:t>
            </w:r>
            <w:r>
              <w:rPr>
                <w:rFonts w:hint="default" w:ascii="Times New Roman" w:hAnsi="Times New Roman" w:eastAsia="宋体" w:cs="Times New Roman"/>
                <w:i w:val="0"/>
                <w:iCs w:val="0"/>
                <w:color w:val="auto"/>
                <w:kern w:val="0"/>
                <w:sz w:val="21"/>
                <w:szCs w:val="21"/>
                <w:u w:val="none"/>
                <w:lang w:val="en-US" w:eastAsia="zh-CN" w:bidi="ar"/>
              </w:rPr>
              <w:t>99.22%</w:t>
            </w:r>
            <w:r>
              <w:rPr>
                <w:rFonts w:hint="eastAsia" w:ascii="仿宋_GB2312" w:hAnsi="Times New Roman" w:eastAsia="仿宋_GB2312" w:cs="仿宋_GB2312"/>
                <w:i w:val="0"/>
                <w:iCs w:val="0"/>
                <w:color w:val="auto"/>
                <w:kern w:val="0"/>
                <w:sz w:val="21"/>
                <w:szCs w:val="21"/>
                <w:u w:val="none"/>
                <w:lang w:val="en-US" w:eastAsia="zh-CN" w:bidi="ar"/>
              </w:rPr>
              <w:t>。综上，该指标得</w:t>
            </w:r>
            <w:r>
              <w:rPr>
                <w:rFonts w:hint="default" w:ascii="Times New Roman" w:hAnsi="Times New Roman" w:eastAsia="宋体" w:cs="Times New Roman"/>
                <w:i w:val="0"/>
                <w:iCs w:val="0"/>
                <w:color w:val="auto"/>
                <w:kern w:val="0"/>
                <w:sz w:val="21"/>
                <w:szCs w:val="21"/>
                <w:u w:val="none"/>
                <w:lang w:val="en-US" w:eastAsia="zh-CN" w:bidi="ar"/>
              </w:rPr>
              <w:t>99.22%</w:t>
            </w:r>
            <w:r>
              <w:rPr>
                <w:rFonts w:hint="eastAsia" w:ascii="仿宋_GB2312" w:hAnsi="Times New Roman" w:eastAsia="仿宋_GB2312" w:cs="仿宋_GB2312"/>
                <w:i w:val="0"/>
                <w:iCs w:val="0"/>
                <w:color w:val="auto"/>
                <w:kern w:val="0"/>
                <w:sz w:val="21"/>
                <w:szCs w:val="21"/>
                <w:u w:val="none"/>
                <w:lang w:val="en-US" w:eastAsia="zh-CN" w:bidi="ar"/>
              </w:rPr>
              <w:t>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C12</w:t>
            </w:r>
            <w:r>
              <w:rPr>
                <w:rFonts w:hint="eastAsia" w:ascii="仿宋_GB2312" w:hAnsi="Times New Roman" w:eastAsia="仿宋_GB2312" w:cs="仿宋_GB2312"/>
                <w:i w:val="0"/>
                <w:iCs w:val="0"/>
                <w:color w:val="auto"/>
                <w:kern w:val="0"/>
                <w:sz w:val="21"/>
                <w:szCs w:val="21"/>
                <w:u w:val="none"/>
                <w:lang w:val="en-US" w:eastAsia="zh-CN" w:bidi="ar"/>
              </w:rPr>
              <w:t>资金落实到项目比例</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考察本地区</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年扶贫专项资金落实到具体项目建设情况。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衔接推进乡村振兴补助资金落实到项目比例为</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，得满分权重分。否则按落实比例得分。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2021</w:t>
            </w:r>
            <w:r>
              <w:rPr>
                <w:rFonts w:hint="eastAsia" w:ascii="仿宋_GB2312" w:hAnsi="Times New Roman" w:eastAsia="仿宋_GB2312" w:cs="仿宋_GB2312"/>
                <w:i w:val="0"/>
                <w:iCs w:val="0"/>
                <w:color w:val="auto"/>
                <w:kern w:val="0"/>
                <w:sz w:val="21"/>
                <w:szCs w:val="21"/>
                <w:u w:val="none"/>
                <w:lang w:val="en-US" w:eastAsia="zh-CN" w:bidi="ar"/>
              </w:rPr>
              <w:t>年滑县共安排财政衔接推进乡村振兴补助资金</w:t>
            </w:r>
            <w:r>
              <w:rPr>
                <w:rFonts w:hint="default" w:ascii="Times New Roman" w:hAnsi="Times New Roman" w:eastAsia="宋体" w:cs="Times New Roman"/>
                <w:i w:val="0"/>
                <w:iCs w:val="0"/>
                <w:color w:val="auto"/>
                <w:kern w:val="0"/>
                <w:sz w:val="21"/>
                <w:szCs w:val="21"/>
                <w:u w:val="none"/>
                <w:lang w:val="en-US" w:eastAsia="zh-CN" w:bidi="ar"/>
              </w:rPr>
              <w:t>16143.21</w:t>
            </w:r>
            <w:r>
              <w:rPr>
                <w:rFonts w:hint="eastAsia" w:ascii="仿宋_GB2312" w:hAnsi="Times New Roman" w:eastAsia="仿宋_GB2312" w:cs="仿宋_GB2312"/>
                <w:i w:val="0"/>
                <w:iCs w:val="0"/>
                <w:color w:val="auto"/>
                <w:kern w:val="0"/>
                <w:sz w:val="21"/>
                <w:szCs w:val="21"/>
                <w:u w:val="none"/>
                <w:lang w:val="en-US" w:eastAsia="zh-CN" w:bidi="ar"/>
              </w:rPr>
              <w:t>万元，补助资金落实到项目金额为</w:t>
            </w:r>
            <w:r>
              <w:rPr>
                <w:rFonts w:hint="default" w:ascii="Times New Roman" w:hAnsi="Times New Roman" w:eastAsia="宋体" w:cs="Times New Roman"/>
                <w:i w:val="0"/>
                <w:iCs w:val="0"/>
                <w:color w:val="auto"/>
                <w:kern w:val="0"/>
                <w:sz w:val="21"/>
                <w:szCs w:val="21"/>
                <w:u w:val="none"/>
                <w:lang w:val="en-US" w:eastAsia="zh-CN" w:bidi="ar"/>
              </w:rPr>
              <w:t>15836.15</w:t>
            </w:r>
            <w:r>
              <w:rPr>
                <w:rFonts w:hint="eastAsia" w:ascii="仿宋_GB2312" w:hAnsi="Times New Roman" w:eastAsia="仿宋_GB2312" w:cs="仿宋_GB2312"/>
                <w:i w:val="0"/>
                <w:iCs w:val="0"/>
                <w:color w:val="auto"/>
                <w:kern w:val="0"/>
                <w:sz w:val="21"/>
                <w:szCs w:val="21"/>
                <w:u w:val="none"/>
                <w:lang w:val="en-US" w:eastAsia="zh-CN" w:bidi="ar"/>
              </w:rPr>
              <w:t>万元，资金落实到项目比例为</w:t>
            </w:r>
            <w:r>
              <w:rPr>
                <w:rFonts w:hint="default" w:ascii="Times New Roman" w:hAnsi="Times New Roman" w:eastAsia="宋体" w:cs="Times New Roman"/>
                <w:i w:val="0"/>
                <w:iCs w:val="0"/>
                <w:color w:val="auto"/>
                <w:kern w:val="0"/>
                <w:sz w:val="21"/>
                <w:szCs w:val="21"/>
                <w:u w:val="none"/>
                <w:lang w:val="en-US" w:eastAsia="zh-CN" w:bidi="ar"/>
              </w:rPr>
              <w:t>98.10%</w:t>
            </w:r>
            <w:r>
              <w:rPr>
                <w:rFonts w:hint="eastAsia" w:ascii="仿宋_GB2312" w:hAnsi="Times New Roman" w:eastAsia="仿宋_GB2312" w:cs="仿宋_GB2312"/>
                <w:i w:val="0"/>
                <w:iCs w:val="0"/>
                <w:color w:val="auto"/>
                <w:kern w:val="0"/>
                <w:sz w:val="21"/>
                <w:szCs w:val="21"/>
                <w:u w:val="none"/>
                <w:lang w:val="en-US" w:eastAsia="zh-CN" w:bidi="ar"/>
              </w:rPr>
              <w:t>。综上，该指标得</w:t>
            </w:r>
            <w:r>
              <w:rPr>
                <w:rFonts w:hint="default" w:ascii="Times New Roman" w:hAnsi="Times New Roman" w:eastAsia="宋体" w:cs="Times New Roman"/>
                <w:i w:val="0"/>
                <w:iCs w:val="0"/>
                <w:color w:val="auto"/>
                <w:kern w:val="0"/>
                <w:sz w:val="21"/>
                <w:szCs w:val="21"/>
                <w:u w:val="none"/>
                <w:lang w:val="en-US" w:eastAsia="zh-CN" w:bidi="ar"/>
              </w:rPr>
              <w:t>98.10%</w:t>
            </w:r>
            <w:r>
              <w:rPr>
                <w:rFonts w:hint="eastAsia" w:ascii="仿宋_GB2312" w:hAnsi="Times New Roman" w:eastAsia="仿宋_GB2312" w:cs="仿宋_GB2312"/>
                <w:i w:val="0"/>
                <w:iCs w:val="0"/>
                <w:color w:val="auto"/>
                <w:kern w:val="0"/>
                <w:sz w:val="21"/>
                <w:szCs w:val="21"/>
                <w:u w:val="none"/>
                <w:lang w:val="en-US" w:eastAsia="zh-CN" w:bidi="ar"/>
              </w:rPr>
              <w:t>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C2</w:t>
            </w:r>
            <w:r>
              <w:rPr>
                <w:rFonts w:hint="eastAsia" w:ascii="仿宋_GB2312" w:hAnsi="Times New Roman" w:eastAsia="仿宋_GB2312" w:cs="仿宋_GB2312"/>
                <w:i w:val="0"/>
                <w:iCs w:val="0"/>
                <w:color w:val="auto"/>
                <w:kern w:val="0"/>
                <w:sz w:val="21"/>
                <w:szCs w:val="21"/>
                <w:u w:val="none"/>
                <w:lang w:val="en-US" w:eastAsia="zh-CN" w:bidi="ar"/>
              </w:rPr>
              <w:t>产出质量（</w:t>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C21</w:t>
            </w:r>
            <w:r>
              <w:rPr>
                <w:rFonts w:hint="eastAsia" w:ascii="仿宋_GB2312" w:hAnsi="Times New Roman" w:eastAsia="仿宋_GB2312" w:cs="仿宋_GB2312"/>
                <w:i w:val="0"/>
                <w:iCs w:val="0"/>
                <w:color w:val="auto"/>
                <w:kern w:val="0"/>
                <w:sz w:val="21"/>
                <w:szCs w:val="21"/>
                <w:u w:val="none"/>
                <w:lang w:val="en-US" w:eastAsia="zh-CN" w:bidi="ar"/>
              </w:rPr>
              <w:t>项目验收合格率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考察本地区</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年财政衔接推进乡村振兴补助资金项目已完成项目验收合格情况。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项目验收合格率</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验收合格项目数量</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已完成项目总量</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。项目验收合格率达到</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，得满分权重分。每低于目标值</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，扣除</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权重分，扣完为止。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2021</w:t>
            </w:r>
            <w:r>
              <w:rPr>
                <w:rFonts w:hint="eastAsia" w:ascii="仿宋_GB2312" w:hAnsi="Times New Roman" w:eastAsia="仿宋_GB2312" w:cs="仿宋_GB2312"/>
                <w:i w:val="0"/>
                <w:iCs w:val="0"/>
                <w:color w:val="auto"/>
                <w:kern w:val="0"/>
                <w:sz w:val="21"/>
                <w:szCs w:val="21"/>
                <w:u w:val="none"/>
                <w:lang w:val="en-US" w:eastAsia="zh-CN" w:bidi="ar"/>
              </w:rPr>
              <w:t>年度，已完工的</w:t>
            </w:r>
            <w:r>
              <w:rPr>
                <w:rFonts w:hint="default" w:ascii="Times New Roman" w:hAnsi="Times New Roman" w:eastAsia="宋体" w:cs="Times New Roman"/>
                <w:i w:val="0"/>
                <w:iCs w:val="0"/>
                <w:color w:val="auto"/>
                <w:kern w:val="0"/>
                <w:sz w:val="21"/>
                <w:szCs w:val="21"/>
                <w:u w:val="none"/>
                <w:lang w:val="en-US" w:eastAsia="zh-CN" w:bidi="ar"/>
              </w:rPr>
              <w:t>38</w:t>
            </w:r>
            <w:r>
              <w:rPr>
                <w:rFonts w:hint="eastAsia" w:ascii="Times New Roman" w:hAnsi="Times New Roman"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个项目均验收合格，验收合格率为</w:t>
            </w:r>
            <w:r>
              <w:rPr>
                <w:rFonts w:hint="default" w:ascii="Times New Roman" w:hAnsi="Times New Roman" w:eastAsia="宋体" w:cs="Times New Roman"/>
                <w:i w:val="0"/>
                <w:iCs w:val="0"/>
                <w:color w:val="auto"/>
                <w:kern w:val="0"/>
                <w:sz w:val="21"/>
                <w:szCs w:val="21"/>
                <w:u w:val="none"/>
                <w:lang w:val="en-US" w:eastAsia="zh-CN" w:bidi="ar"/>
              </w:rPr>
              <w:t>100%</w:t>
            </w:r>
            <w:r>
              <w:rPr>
                <w:rFonts w:hint="eastAsia" w:ascii="仿宋_GB2312" w:hAnsi="Times New Roman" w:eastAsia="仿宋_GB2312" w:cs="仿宋_GB2312"/>
                <w:i w:val="0"/>
                <w:iCs w:val="0"/>
                <w:color w:val="auto"/>
                <w:kern w:val="0"/>
                <w:sz w:val="21"/>
                <w:szCs w:val="21"/>
                <w:u w:val="none"/>
                <w:lang w:val="en-US" w:eastAsia="zh-CN" w:bidi="ar"/>
              </w:rPr>
              <w:t>。综上，该指标得满分权重分。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C22</w:t>
            </w:r>
            <w:r>
              <w:rPr>
                <w:rFonts w:hint="eastAsia" w:ascii="仿宋_GB2312" w:hAnsi="Times New Roman" w:eastAsia="仿宋_GB2312" w:cs="仿宋_GB2312"/>
                <w:i w:val="0"/>
                <w:iCs w:val="0"/>
                <w:color w:val="auto"/>
                <w:kern w:val="0"/>
                <w:sz w:val="21"/>
                <w:szCs w:val="21"/>
                <w:u w:val="none"/>
                <w:lang w:val="en-US" w:eastAsia="zh-CN" w:bidi="ar"/>
              </w:rPr>
              <w:t>工程质量达标率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考察各项基础设施工程质量合格情况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各项工程质量达标率为</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，得满分权重分。每发现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处工程质量不达标，扣除相应权重分的</w:t>
            </w:r>
            <w:r>
              <w:rPr>
                <w:rFonts w:hint="default" w:ascii="Times New Roman" w:hAnsi="Times New Roman" w:eastAsia="仿宋_GB2312" w:cs="Times New Roman"/>
                <w:i w:val="0"/>
                <w:iCs w:val="0"/>
                <w:color w:val="auto"/>
                <w:kern w:val="0"/>
                <w:sz w:val="21"/>
                <w:szCs w:val="21"/>
                <w:u w:val="none"/>
                <w:lang w:val="en-US" w:eastAsia="zh-CN" w:bidi="ar"/>
              </w:rPr>
              <w:t>20%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依据项目单位自评情况，此次评价的</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类项目工程质量达标率均为</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C3</w:t>
            </w:r>
            <w:r>
              <w:rPr>
                <w:rFonts w:hint="eastAsia" w:ascii="仿宋_GB2312" w:hAnsi="Times New Roman" w:eastAsia="仿宋_GB2312" w:cs="仿宋_GB2312"/>
                <w:i w:val="0"/>
                <w:iCs w:val="0"/>
                <w:color w:val="auto"/>
                <w:kern w:val="0"/>
                <w:sz w:val="21"/>
                <w:szCs w:val="21"/>
                <w:u w:val="none"/>
                <w:lang w:val="en-US" w:eastAsia="zh-CN" w:bidi="ar"/>
              </w:rPr>
              <w:t>产出时效（</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C31</w:t>
            </w:r>
            <w:r>
              <w:rPr>
                <w:rFonts w:hint="eastAsia" w:ascii="仿宋_GB2312" w:hAnsi="Times New Roman" w:eastAsia="仿宋_GB2312" w:cs="仿宋_GB2312"/>
                <w:i w:val="0"/>
                <w:iCs w:val="0"/>
                <w:color w:val="auto"/>
                <w:kern w:val="0"/>
                <w:sz w:val="21"/>
                <w:szCs w:val="21"/>
                <w:u w:val="none"/>
                <w:lang w:val="en-US" w:eastAsia="zh-CN" w:bidi="ar"/>
              </w:rPr>
              <w:t>项目完成及时率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考察本地区</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年财政衔接推进乡村振兴补助资金项目是否按照计划有效推进。</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根据实地核查结果和各级主管部门检查督导结果进行评分，项目完成及时率</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及时完成的项目数量</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实施项目总数</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个项目存在推进实施滞后扣</w:t>
            </w:r>
            <w:r>
              <w:rPr>
                <w:rFonts w:hint="default" w:ascii="Times New Roman" w:hAnsi="Times New Roman" w:eastAsia="仿宋_GB2312" w:cs="Times New Roman"/>
                <w:i w:val="0"/>
                <w:iCs w:val="0"/>
                <w:color w:val="auto"/>
                <w:kern w:val="0"/>
                <w:sz w:val="21"/>
                <w:szCs w:val="21"/>
                <w:u w:val="none"/>
                <w:lang w:val="en-US" w:eastAsia="zh-CN" w:bidi="ar"/>
              </w:rPr>
              <w:t>10%</w:t>
            </w:r>
            <w:r>
              <w:rPr>
                <w:rFonts w:hint="eastAsia" w:ascii="仿宋_GB2312" w:hAnsi="宋体" w:eastAsia="仿宋_GB2312" w:cs="仿宋_GB2312"/>
                <w:i w:val="0"/>
                <w:iCs w:val="0"/>
                <w:color w:val="auto"/>
                <w:kern w:val="0"/>
                <w:sz w:val="21"/>
                <w:szCs w:val="21"/>
                <w:u w:val="none"/>
                <w:lang w:val="en-US" w:eastAsia="zh-CN" w:bidi="ar"/>
              </w:rPr>
              <w:t>权重分，扣完为止。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依据项目单位自评情况，此次评价的</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类项目均能够及时完成，项目完成及时率为</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3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w:t>
            </w:r>
            <w:r>
              <w:rPr>
                <w:rFonts w:hint="eastAsia" w:ascii="仿宋_GB2312" w:hAnsi="Times New Roman" w:eastAsia="仿宋_GB2312" w:cs="仿宋_GB2312"/>
                <w:i w:val="0"/>
                <w:iCs w:val="0"/>
                <w:color w:val="auto"/>
                <w:kern w:val="0"/>
                <w:sz w:val="21"/>
                <w:szCs w:val="21"/>
                <w:u w:val="none"/>
                <w:lang w:val="en-US" w:eastAsia="zh-CN" w:bidi="ar"/>
              </w:rPr>
              <w:t>项目成本（</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w:t>
            </w:r>
          </w:p>
        </w:tc>
        <w:tc>
          <w:tcPr>
            <w:tcW w:w="3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D1</w:t>
            </w:r>
            <w:r>
              <w:rPr>
                <w:rFonts w:hint="eastAsia" w:ascii="仿宋_GB2312" w:hAnsi="Times New Roman" w:eastAsia="仿宋_GB2312" w:cs="仿宋_GB2312"/>
                <w:i w:val="0"/>
                <w:iCs w:val="0"/>
                <w:color w:val="auto"/>
                <w:kern w:val="0"/>
                <w:sz w:val="21"/>
                <w:szCs w:val="21"/>
                <w:u w:val="none"/>
                <w:lang w:val="en-US" w:eastAsia="zh-CN" w:bidi="ar"/>
              </w:rPr>
              <w:t>经济成本（</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D1</w:t>
            </w:r>
            <w:r>
              <w:rPr>
                <w:rFonts w:hint="eastAsia" w:ascii="仿宋_GB2312" w:hAnsi="Times New Roman" w:eastAsia="仿宋_GB2312" w:cs="仿宋_GB2312"/>
                <w:i w:val="0"/>
                <w:iCs w:val="0"/>
                <w:color w:val="auto"/>
                <w:kern w:val="0"/>
                <w:sz w:val="21"/>
                <w:szCs w:val="21"/>
                <w:u w:val="none"/>
                <w:lang w:val="en-US" w:eastAsia="zh-CN" w:bidi="ar"/>
              </w:rPr>
              <w:t>项目成本节约率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考察扶持项目建设成本及支出情况。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项目实际建设成本不超预算成本得满分，否则每偏离</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，扣除</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权重分，扣完为止。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依据滑县财政局提供的项目资金支付进度表，抽取的</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类项目预算安排资金</w:t>
            </w:r>
            <w:r>
              <w:rPr>
                <w:rFonts w:hint="default" w:ascii="Times New Roman" w:hAnsi="Times New Roman" w:eastAsia="仿宋_GB2312" w:cs="Times New Roman"/>
                <w:i w:val="0"/>
                <w:iCs w:val="0"/>
                <w:color w:val="auto"/>
                <w:kern w:val="0"/>
                <w:sz w:val="21"/>
                <w:szCs w:val="21"/>
                <w:u w:val="none"/>
                <w:lang w:val="en-US" w:eastAsia="zh-CN" w:bidi="ar"/>
              </w:rPr>
              <w:t>7165.67</w:t>
            </w:r>
            <w:r>
              <w:rPr>
                <w:rFonts w:hint="eastAsia" w:ascii="仿宋_GB2312" w:hAnsi="宋体" w:eastAsia="仿宋_GB2312" w:cs="仿宋_GB2312"/>
                <w:i w:val="0"/>
                <w:iCs w:val="0"/>
                <w:color w:val="auto"/>
                <w:kern w:val="0"/>
                <w:sz w:val="21"/>
                <w:szCs w:val="21"/>
                <w:u w:val="none"/>
                <w:lang w:val="en-US" w:eastAsia="zh-CN" w:bidi="ar"/>
              </w:rPr>
              <w:t>万元，实际支付金额</w:t>
            </w:r>
            <w:r>
              <w:rPr>
                <w:rFonts w:hint="default" w:ascii="Times New Roman" w:hAnsi="Times New Roman" w:eastAsia="仿宋_GB2312" w:cs="Times New Roman"/>
                <w:i w:val="0"/>
                <w:iCs w:val="0"/>
                <w:color w:val="auto"/>
                <w:kern w:val="0"/>
                <w:sz w:val="21"/>
                <w:szCs w:val="21"/>
                <w:u w:val="none"/>
                <w:lang w:val="en-US" w:eastAsia="zh-CN" w:bidi="ar"/>
              </w:rPr>
              <w:t>7154.53</w:t>
            </w:r>
            <w:r>
              <w:rPr>
                <w:rFonts w:hint="eastAsia" w:ascii="仿宋_GB2312" w:hAnsi="宋体" w:eastAsia="仿宋_GB2312" w:cs="仿宋_GB2312"/>
                <w:i w:val="0"/>
                <w:iCs w:val="0"/>
                <w:color w:val="auto"/>
                <w:kern w:val="0"/>
                <w:sz w:val="21"/>
                <w:szCs w:val="21"/>
                <w:u w:val="none"/>
                <w:lang w:val="en-US" w:eastAsia="zh-CN" w:bidi="ar"/>
              </w:rPr>
              <w:t>万元，项目成本控制在预算范围内，得满分。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w:t>
            </w:r>
            <w:r>
              <w:rPr>
                <w:rFonts w:hint="eastAsia" w:ascii="仿宋_GB2312" w:hAnsi="Times New Roman" w:eastAsia="仿宋_GB2312" w:cs="仿宋_GB2312"/>
                <w:i w:val="0"/>
                <w:iCs w:val="0"/>
                <w:color w:val="auto"/>
                <w:kern w:val="0"/>
                <w:sz w:val="21"/>
                <w:szCs w:val="21"/>
                <w:u w:val="none"/>
                <w:lang w:val="en-US" w:eastAsia="zh-CN" w:bidi="ar"/>
              </w:rPr>
              <w:t>项目效益（</w:t>
            </w:r>
            <w:r>
              <w:rPr>
                <w:rFonts w:hint="default" w:ascii="Times New Roman" w:hAnsi="Times New Roman" w:eastAsia="宋体" w:cs="Times New Roman"/>
                <w:i w:val="0"/>
                <w:iCs w:val="0"/>
                <w:color w:val="auto"/>
                <w:kern w:val="0"/>
                <w:sz w:val="21"/>
                <w:szCs w:val="21"/>
                <w:u w:val="none"/>
                <w:lang w:val="en-US" w:eastAsia="zh-CN" w:bidi="ar"/>
              </w:rPr>
              <w:t>32</w:t>
            </w:r>
            <w:r>
              <w:rPr>
                <w:rFonts w:hint="eastAsia" w:ascii="仿宋_GB2312" w:hAnsi="Times New Roman" w:eastAsia="仿宋_GB2312" w:cs="仿宋_GB2312"/>
                <w:i w:val="0"/>
                <w:iCs w:val="0"/>
                <w:color w:val="auto"/>
                <w:kern w:val="0"/>
                <w:sz w:val="21"/>
                <w:szCs w:val="21"/>
                <w:u w:val="none"/>
                <w:lang w:val="en-US" w:eastAsia="zh-CN" w:bidi="ar"/>
              </w:rPr>
              <w:t>）</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E1</w:t>
            </w:r>
            <w:r>
              <w:rPr>
                <w:rFonts w:hint="eastAsia" w:ascii="仿宋_GB2312" w:hAnsi="Times New Roman" w:eastAsia="仿宋_GB2312" w:cs="仿宋_GB2312"/>
                <w:i w:val="0"/>
                <w:iCs w:val="0"/>
                <w:color w:val="auto"/>
                <w:kern w:val="0"/>
                <w:sz w:val="21"/>
                <w:szCs w:val="21"/>
                <w:u w:val="none"/>
                <w:lang w:val="en-US" w:eastAsia="zh-CN" w:bidi="ar"/>
              </w:rPr>
              <w:t>经济效益（</w:t>
            </w:r>
            <w:r>
              <w:rPr>
                <w:rFonts w:hint="default" w:ascii="Times New Roman" w:hAnsi="Times New Roman" w:eastAsia="宋体" w:cs="Times New Roman"/>
                <w:i w:val="0"/>
                <w:iCs w:val="0"/>
                <w:color w:val="auto"/>
                <w:kern w:val="0"/>
                <w:sz w:val="21"/>
                <w:szCs w:val="21"/>
                <w:u w:val="none"/>
                <w:lang w:val="en-US" w:eastAsia="zh-CN" w:bidi="ar"/>
              </w:rPr>
              <w:t>11</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E11</w:t>
            </w:r>
            <w:r>
              <w:rPr>
                <w:rFonts w:hint="eastAsia" w:ascii="仿宋_GB2312" w:hAnsi="Times New Roman" w:eastAsia="仿宋_GB2312" w:cs="仿宋_GB2312"/>
                <w:i w:val="0"/>
                <w:iCs w:val="0"/>
                <w:color w:val="auto"/>
                <w:kern w:val="0"/>
                <w:sz w:val="21"/>
                <w:szCs w:val="21"/>
                <w:u w:val="none"/>
                <w:lang w:val="en-US" w:eastAsia="zh-CN" w:bidi="ar"/>
              </w:rPr>
              <w:t>农村居民人均可支配收入增长率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考察通过</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年财政衔接推进乡村振兴补助资金项目实施，农村居民人均可支配收入增加情况。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大于</w:t>
            </w:r>
            <w:r>
              <w:rPr>
                <w:rFonts w:hint="default" w:ascii="Times New Roman" w:hAnsi="Times New Roman" w:eastAsia="仿宋_GB2312" w:cs="Times New Roman"/>
                <w:i w:val="0"/>
                <w:iCs w:val="0"/>
                <w:color w:val="auto"/>
                <w:kern w:val="0"/>
                <w:sz w:val="21"/>
                <w:szCs w:val="21"/>
                <w:u w:val="none"/>
                <w:lang w:val="en-US" w:eastAsia="zh-CN" w:bidi="ar"/>
              </w:rPr>
              <w:t>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计算方式</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年农村居民人均可支配收入</w:t>
            </w:r>
            <w:r>
              <w:rPr>
                <w:rFonts w:hint="default" w:ascii="Times New Roman" w:hAnsi="Times New Roman" w:eastAsia="仿宋_GB2312" w:cs="Times New Roman"/>
                <w:i w:val="0"/>
                <w:iCs w:val="0"/>
                <w:color w:val="auto"/>
                <w:kern w:val="0"/>
                <w:sz w:val="21"/>
                <w:szCs w:val="21"/>
                <w:u w:val="none"/>
                <w:lang w:val="en-US" w:eastAsia="zh-CN" w:bidi="ar"/>
              </w:rPr>
              <w:t>-2020</w:t>
            </w:r>
            <w:r>
              <w:rPr>
                <w:rFonts w:hint="eastAsia" w:ascii="仿宋_GB2312" w:hAnsi="宋体" w:eastAsia="仿宋_GB2312" w:cs="仿宋_GB2312"/>
                <w:i w:val="0"/>
                <w:iCs w:val="0"/>
                <w:color w:val="auto"/>
                <w:kern w:val="0"/>
                <w:sz w:val="21"/>
                <w:szCs w:val="21"/>
                <w:u w:val="none"/>
                <w:lang w:val="en-US" w:eastAsia="zh-CN" w:bidi="ar"/>
              </w:rPr>
              <w:t>年农村居民人均可支配收入）</w:t>
            </w:r>
            <w:r>
              <w:rPr>
                <w:rFonts w:hint="default" w:ascii="Times New Roman" w:hAnsi="Times New Roman" w:eastAsia="仿宋_GB2312" w:cs="Times New Roman"/>
                <w:i w:val="0"/>
                <w:iCs w:val="0"/>
                <w:color w:val="auto"/>
                <w:kern w:val="0"/>
                <w:sz w:val="21"/>
                <w:szCs w:val="21"/>
                <w:u w:val="none"/>
                <w:lang w:val="en-US" w:eastAsia="zh-CN" w:bidi="ar"/>
              </w:rPr>
              <w:t>/2020</w:t>
            </w:r>
            <w:r>
              <w:rPr>
                <w:rFonts w:hint="eastAsia" w:ascii="仿宋_GB2312" w:hAnsi="宋体" w:eastAsia="仿宋_GB2312" w:cs="仿宋_GB2312"/>
                <w:i w:val="0"/>
                <w:iCs w:val="0"/>
                <w:color w:val="auto"/>
                <w:kern w:val="0"/>
                <w:sz w:val="21"/>
                <w:szCs w:val="21"/>
                <w:u w:val="none"/>
                <w:lang w:val="en-US" w:eastAsia="zh-CN" w:bidi="ar"/>
              </w:rPr>
              <w:t>年农村居民人均可支配收入</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。达到目标值，得</w:t>
            </w:r>
            <w:r>
              <w:rPr>
                <w:rFonts w:hint="default" w:ascii="Times New Roman" w:hAnsi="Times New Roman" w:eastAsia="仿宋_GB2312" w:cs="Times New Roman"/>
                <w:i w:val="0"/>
                <w:iCs w:val="0"/>
                <w:color w:val="auto"/>
                <w:kern w:val="0"/>
                <w:sz w:val="21"/>
                <w:szCs w:val="21"/>
                <w:u w:val="none"/>
                <w:lang w:val="en-US" w:eastAsia="zh-CN" w:bidi="ar"/>
              </w:rPr>
              <w:t>70%</w:t>
            </w:r>
            <w:r>
              <w:rPr>
                <w:rFonts w:hint="eastAsia" w:ascii="仿宋_GB2312" w:hAnsi="宋体" w:eastAsia="仿宋_GB2312" w:cs="仿宋_GB2312"/>
                <w:i w:val="0"/>
                <w:iCs w:val="0"/>
                <w:color w:val="auto"/>
                <w:kern w:val="0"/>
                <w:sz w:val="21"/>
                <w:szCs w:val="21"/>
                <w:u w:val="none"/>
                <w:lang w:val="en-US" w:eastAsia="zh-CN" w:bidi="ar"/>
              </w:rPr>
              <w:t>权重分；每低于目标值</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扣除</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权重分，扣完为止；每高于目标值</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增加</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权重分，满分为止。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依据项目单位填报的基础数据表，</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年农村居民人均可支配收入高于</w:t>
            </w:r>
            <w:r>
              <w:rPr>
                <w:rFonts w:hint="default" w:ascii="Times New Roman" w:hAnsi="Times New Roman" w:eastAsia="仿宋_GB2312" w:cs="Times New Roman"/>
                <w:i w:val="0"/>
                <w:iCs w:val="0"/>
                <w:color w:val="auto"/>
                <w:kern w:val="0"/>
                <w:sz w:val="21"/>
                <w:szCs w:val="21"/>
                <w:u w:val="none"/>
                <w:lang w:val="en-US" w:eastAsia="zh-CN" w:bidi="ar"/>
              </w:rPr>
              <w:t>2020</w:t>
            </w:r>
            <w:r>
              <w:rPr>
                <w:rFonts w:hint="eastAsia" w:ascii="仿宋_GB2312" w:hAnsi="宋体" w:eastAsia="仿宋_GB2312" w:cs="仿宋_GB2312"/>
                <w:i w:val="0"/>
                <w:iCs w:val="0"/>
                <w:color w:val="auto"/>
                <w:kern w:val="0"/>
                <w:sz w:val="21"/>
                <w:szCs w:val="21"/>
                <w:u w:val="none"/>
                <w:lang w:val="en-US" w:eastAsia="zh-CN" w:bidi="ar"/>
              </w:rPr>
              <w:t>年，得满分权重分。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E12</w:t>
            </w:r>
            <w:r>
              <w:rPr>
                <w:rFonts w:hint="eastAsia" w:ascii="仿宋_GB2312" w:hAnsi="Times New Roman" w:eastAsia="仿宋_GB2312" w:cs="仿宋_GB2312"/>
                <w:i w:val="0"/>
                <w:iCs w:val="0"/>
                <w:color w:val="auto"/>
                <w:kern w:val="0"/>
                <w:sz w:val="21"/>
                <w:szCs w:val="21"/>
                <w:u w:val="none"/>
                <w:lang w:val="en-US" w:eastAsia="zh-CN" w:bidi="ar"/>
              </w:rPr>
              <w:t>带动增加村集体经济年收入</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考察通过</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年财政衔接推进乡村振兴补助资金项目实施，对村集体经济发展带动情况。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大于</w:t>
            </w:r>
            <w:r>
              <w:rPr>
                <w:rFonts w:hint="default" w:ascii="Times New Roman" w:hAnsi="Times New Roman" w:eastAsia="仿宋_GB2312" w:cs="Times New Roman"/>
                <w:i w:val="0"/>
                <w:iCs w:val="0"/>
                <w:color w:val="auto"/>
                <w:kern w:val="0"/>
                <w:sz w:val="21"/>
                <w:szCs w:val="21"/>
                <w:u w:val="none"/>
                <w:lang w:val="en-US" w:eastAsia="zh-CN" w:bidi="ar"/>
              </w:rPr>
              <w:t>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计算方式</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年村集体经济收入</w:t>
            </w:r>
            <w:r>
              <w:rPr>
                <w:rFonts w:hint="default" w:ascii="Times New Roman" w:hAnsi="Times New Roman" w:eastAsia="仿宋_GB2312" w:cs="Times New Roman"/>
                <w:i w:val="0"/>
                <w:iCs w:val="0"/>
                <w:color w:val="auto"/>
                <w:kern w:val="0"/>
                <w:sz w:val="21"/>
                <w:szCs w:val="21"/>
                <w:u w:val="none"/>
                <w:lang w:val="en-US" w:eastAsia="zh-CN" w:bidi="ar"/>
              </w:rPr>
              <w:t>-2020</w:t>
            </w:r>
            <w:r>
              <w:rPr>
                <w:rFonts w:hint="eastAsia" w:ascii="仿宋_GB2312" w:hAnsi="宋体" w:eastAsia="仿宋_GB2312" w:cs="仿宋_GB2312"/>
                <w:i w:val="0"/>
                <w:iCs w:val="0"/>
                <w:color w:val="auto"/>
                <w:kern w:val="0"/>
                <w:sz w:val="21"/>
                <w:szCs w:val="21"/>
                <w:u w:val="none"/>
                <w:lang w:val="en-US" w:eastAsia="zh-CN" w:bidi="ar"/>
              </w:rPr>
              <w:t>年村集体经济收入）</w:t>
            </w:r>
            <w:r>
              <w:rPr>
                <w:rFonts w:hint="default" w:ascii="Times New Roman" w:hAnsi="Times New Roman" w:eastAsia="仿宋_GB2312" w:cs="Times New Roman"/>
                <w:i w:val="0"/>
                <w:iCs w:val="0"/>
                <w:color w:val="auto"/>
                <w:kern w:val="0"/>
                <w:sz w:val="21"/>
                <w:szCs w:val="21"/>
                <w:u w:val="none"/>
                <w:lang w:val="en-US" w:eastAsia="zh-CN" w:bidi="ar"/>
              </w:rPr>
              <w:t>/2020</w:t>
            </w:r>
            <w:r>
              <w:rPr>
                <w:rFonts w:hint="eastAsia" w:ascii="仿宋_GB2312" w:hAnsi="宋体" w:eastAsia="仿宋_GB2312" w:cs="仿宋_GB2312"/>
                <w:i w:val="0"/>
                <w:iCs w:val="0"/>
                <w:color w:val="auto"/>
                <w:kern w:val="0"/>
                <w:sz w:val="21"/>
                <w:szCs w:val="21"/>
                <w:u w:val="none"/>
                <w:lang w:val="en-US" w:eastAsia="zh-CN" w:bidi="ar"/>
              </w:rPr>
              <w:t>年村集体经济收入</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。达到目标值，得</w:t>
            </w:r>
            <w:r>
              <w:rPr>
                <w:rFonts w:hint="default" w:ascii="Times New Roman" w:hAnsi="Times New Roman" w:eastAsia="仿宋_GB2312" w:cs="Times New Roman"/>
                <w:i w:val="0"/>
                <w:iCs w:val="0"/>
                <w:color w:val="auto"/>
                <w:kern w:val="0"/>
                <w:sz w:val="21"/>
                <w:szCs w:val="21"/>
                <w:u w:val="none"/>
                <w:lang w:val="en-US" w:eastAsia="zh-CN" w:bidi="ar"/>
              </w:rPr>
              <w:t>70%</w:t>
            </w:r>
            <w:r>
              <w:rPr>
                <w:rFonts w:hint="eastAsia" w:ascii="仿宋_GB2312" w:hAnsi="宋体" w:eastAsia="仿宋_GB2312" w:cs="仿宋_GB2312"/>
                <w:i w:val="0"/>
                <w:iCs w:val="0"/>
                <w:color w:val="auto"/>
                <w:kern w:val="0"/>
                <w:sz w:val="21"/>
                <w:szCs w:val="21"/>
                <w:u w:val="none"/>
                <w:lang w:val="en-US" w:eastAsia="zh-CN" w:bidi="ar"/>
              </w:rPr>
              <w:t>权重分；每低于目标值</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扣除</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权重分，扣完为止；每高于目标值</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增加</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权重分，满分为止。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依据项目单位填报的基础数据表，</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年带动村集体经济增加收入高于</w:t>
            </w:r>
            <w:r>
              <w:rPr>
                <w:rFonts w:hint="default" w:ascii="Times New Roman" w:hAnsi="Times New Roman" w:eastAsia="仿宋_GB2312" w:cs="Times New Roman"/>
                <w:i w:val="0"/>
                <w:iCs w:val="0"/>
                <w:color w:val="auto"/>
                <w:kern w:val="0"/>
                <w:sz w:val="21"/>
                <w:szCs w:val="21"/>
                <w:u w:val="none"/>
                <w:lang w:val="en-US" w:eastAsia="zh-CN" w:bidi="ar"/>
              </w:rPr>
              <w:t>2020</w:t>
            </w:r>
            <w:r>
              <w:rPr>
                <w:rFonts w:hint="eastAsia" w:ascii="仿宋_GB2312" w:hAnsi="宋体" w:eastAsia="仿宋_GB2312" w:cs="仿宋_GB2312"/>
                <w:i w:val="0"/>
                <w:iCs w:val="0"/>
                <w:color w:val="auto"/>
                <w:kern w:val="0"/>
                <w:sz w:val="21"/>
                <w:szCs w:val="21"/>
                <w:u w:val="none"/>
                <w:lang w:val="en-US" w:eastAsia="zh-CN" w:bidi="ar"/>
              </w:rPr>
              <w:t>年，得满分权重分。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E2</w:t>
            </w:r>
            <w:r>
              <w:rPr>
                <w:rFonts w:hint="eastAsia" w:ascii="仿宋_GB2312" w:hAnsi="Times New Roman" w:eastAsia="仿宋_GB2312" w:cs="仿宋_GB2312"/>
                <w:i w:val="0"/>
                <w:iCs w:val="0"/>
                <w:color w:val="auto"/>
                <w:kern w:val="0"/>
                <w:sz w:val="21"/>
                <w:szCs w:val="21"/>
                <w:u w:val="none"/>
                <w:lang w:val="en-US" w:eastAsia="zh-CN" w:bidi="ar"/>
              </w:rPr>
              <w:t>社会效益（</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E21</w:t>
            </w:r>
            <w:r>
              <w:rPr>
                <w:rFonts w:hint="eastAsia" w:ascii="仿宋_GB2312" w:hAnsi="Times New Roman" w:eastAsia="仿宋_GB2312" w:cs="仿宋_GB2312"/>
                <w:i w:val="0"/>
                <w:iCs w:val="0"/>
                <w:color w:val="auto"/>
                <w:kern w:val="0"/>
                <w:sz w:val="21"/>
                <w:szCs w:val="21"/>
                <w:u w:val="none"/>
                <w:lang w:val="en-US" w:eastAsia="zh-CN" w:bidi="ar"/>
              </w:rPr>
              <w:t>惠及群众数量</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考察通过</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年财政衔接推进乡村振兴补助资金项目实施，覆盖困难群众数量。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惠及困难群众数量达到实施方案预期目标得满分，否则根据实际完成情况按比例得分。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依据项目单位自评情况：①产业设施配套项目预期惠及困难群众数</w:t>
            </w:r>
            <w:r>
              <w:rPr>
                <w:rFonts w:hint="default" w:ascii="Times New Roman" w:hAnsi="Times New Roman" w:eastAsia="仿宋_GB2312" w:cs="Times New Roman"/>
                <w:i w:val="0"/>
                <w:iCs w:val="0"/>
                <w:color w:val="auto"/>
                <w:kern w:val="0"/>
                <w:sz w:val="21"/>
                <w:szCs w:val="21"/>
                <w:u w:val="none"/>
                <w:lang w:val="en-US" w:eastAsia="zh-CN" w:bidi="ar"/>
              </w:rPr>
              <w:t>982</w:t>
            </w:r>
            <w:r>
              <w:rPr>
                <w:rFonts w:hint="eastAsia" w:ascii="仿宋_GB2312" w:hAnsi="宋体" w:eastAsia="仿宋_GB2312" w:cs="仿宋_GB2312"/>
                <w:i w:val="0"/>
                <w:iCs w:val="0"/>
                <w:color w:val="auto"/>
                <w:kern w:val="0"/>
                <w:sz w:val="21"/>
                <w:szCs w:val="21"/>
                <w:u w:val="none"/>
                <w:lang w:val="en-US" w:eastAsia="zh-CN" w:bidi="ar"/>
              </w:rPr>
              <w:t>户，实际完成</w:t>
            </w:r>
            <w:r>
              <w:rPr>
                <w:rFonts w:hint="default" w:ascii="Times New Roman" w:hAnsi="Times New Roman" w:eastAsia="仿宋_GB2312" w:cs="Times New Roman"/>
                <w:i w:val="0"/>
                <w:iCs w:val="0"/>
                <w:color w:val="auto"/>
                <w:kern w:val="0"/>
                <w:sz w:val="21"/>
                <w:szCs w:val="21"/>
                <w:u w:val="none"/>
                <w:lang w:val="en-US" w:eastAsia="zh-CN" w:bidi="ar"/>
              </w:rPr>
              <w:t>982</w:t>
            </w:r>
            <w:r>
              <w:rPr>
                <w:rFonts w:hint="eastAsia" w:ascii="仿宋_GB2312" w:hAnsi="宋体" w:eastAsia="仿宋_GB2312" w:cs="仿宋_GB2312"/>
                <w:i w:val="0"/>
                <w:iCs w:val="0"/>
                <w:color w:val="auto"/>
                <w:kern w:val="0"/>
                <w:sz w:val="21"/>
                <w:szCs w:val="21"/>
                <w:u w:val="none"/>
                <w:lang w:val="en-US" w:eastAsia="zh-CN" w:bidi="ar"/>
              </w:rPr>
              <w:t>户；②背街小巷硬化奖补项目惠及困难群众户数</w:t>
            </w:r>
            <w:r>
              <w:rPr>
                <w:rFonts w:hint="default" w:ascii="Times New Roman" w:hAnsi="Times New Roman" w:eastAsia="仿宋_GB2312" w:cs="Times New Roman"/>
                <w:i w:val="0"/>
                <w:iCs w:val="0"/>
                <w:color w:val="auto"/>
                <w:kern w:val="0"/>
                <w:sz w:val="21"/>
                <w:szCs w:val="21"/>
                <w:u w:val="none"/>
                <w:lang w:val="en-US" w:eastAsia="zh-CN" w:bidi="ar"/>
              </w:rPr>
              <w:t>5068</w:t>
            </w:r>
            <w:r>
              <w:rPr>
                <w:rFonts w:hint="eastAsia" w:ascii="仿宋_GB2312" w:hAnsi="宋体" w:eastAsia="仿宋_GB2312" w:cs="仿宋_GB2312"/>
                <w:i w:val="0"/>
                <w:iCs w:val="0"/>
                <w:color w:val="auto"/>
                <w:kern w:val="0"/>
                <w:sz w:val="21"/>
                <w:szCs w:val="21"/>
                <w:u w:val="none"/>
                <w:lang w:val="en-US" w:eastAsia="zh-CN" w:bidi="ar"/>
              </w:rPr>
              <w:t>户，达到目标值</w:t>
            </w:r>
            <w:r>
              <w:rPr>
                <w:rFonts w:hint="default" w:ascii="Times New Roman" w:hAnsi="Times New Roman" w:eastAsia="仿宋_GB2312" w:cs="Times New Roman"/>
                <w:i w:val="0"/>
                <w:iCs w:val="0"/>
                <w:color w:val="auto"/>
                <w:kern w:val="0"/>
                <w:sz w:val="21"/>
                <w:szCs w:val="21"/>
                <w:u w:val="none"/>
                <w:lang w:val="en-US" w:eastAsia="zh-CN" w:bidi="ar"/>
              </w:rPr>
              <w:t>5068</w:t>
            </w:r>
            <w:r>
              <w:rPr>
                <w:rFonts w:hint="eastAsia" w:ascii="仿宋_GB2312" w:hAnsi="宋体" w:eastAsia="仿宋_GB2312" w:cs="仿宋_GB2312"/>
                <w:i w:val="0"/>
                <w:iCs w:val="0"/>
                <w:color w:val="auto"/>
                <w:kern w:val="0"/>
                <w:sz w:val="21"/>
                <w:szCs w:val="21"/>
                <w:u w:val="none"/>
                <w:lang w:val="en-US" w:eastAsia="zh-CN" w:bidi="ar"/>
              </w:rPr>
              <w:t>户；③村集体经济发展滑丰智能化种子加工产业项目惠及群众数量</w:t>
            </w:r>
            <w:r>
              <w:rPr>
                <w:rFonts w:hint="default" w:ascii="Times New Roman" w:hAnsi="Times New Roman" w:eastAsia="仿宋_GB2312" w:cs="Times New Roman"/>
                <w:i w:val="0"/>
                <w:iCs w:val="0"/>
                <w:color w:val="auto"/>
                <w:kern w:val="0"/>
                <w:sz w:val="21"/>
                <w:szCs w:val="21"/>
                <w:u w:val="none"/>
                <w:lang w:val="en-US" w:eastAsia="zh-CN" w:bidi="ar"/>
              </w:rPr>
              <w:t>13772</w:t>
            </w:r>
            <w:r>
              <w:rPr>
                <w:rFonts w:hint="eastAsia" w:ascii="仿宋_GB2312" w:hAnsi="宋体" w:eastAsia="仿宋_GB2312" w:cs="仿宋_GB2312"/>
                <w:i w:val="0"/>
                <w:iCs w:val="0"/>
                <w:color w:val="auto"/>
                <w:kern w:val="0"/>
                <w:sz w:val="21"/>
                <w:szCs w:val="21"/>
                <w:u w:val="none"/>
                <w:lang w:val="en-US" w:eastAsia="zh-CN" w:bidi="ar"/>
              </w:rPr>
              <w:t>户，达到目标值</w:t>
            </w:r>
            <w:r>
              <w:rPr>
                <w:rFonts w:hint="default" w:ascii="Times New Roman" w:hAnsi="Times New Roman" w:eastAsia="仿宋_GB2312" w:cs="Times New Roman"/>
                <w:i w:val="0"/>
                <w:iCs w:val="0"/>
                <w:color w:val="auto"/>
                <w:kern w:val="0"/>
                <w:sz w:val="21"/>
                <w:szCs w:val="21"/>
                <w:u w:val="none"/>
                <w:lang w:val="en-US" w:eastAsia="zh-CN" w:bidi="ar"/>
              </w:rPr>
              <w:t>13772</w:t>
            </w:r>
            <w:r>
              <w:rPr>
                <w:rFonts w:hint="eastAsia" w:ascii="仿宋_GB2312" w:hAnsi="宋体" w:eastAsia="仿宋_GB2312" w:cs="仿宋_GB2312"/>
                <w:i w:val="0"/>
                <w:iCs w:val="0"/>
                <w:color w:val="auto"/>
                <w:kern w:val="0"/>
                <w:sz w:val="21"/>
                <w:szCs w:val="21"/>
                <w:u w:val="none"/>
                <w:lang w:val="en-US" w:eastAsia="zh-CN" w:bidi="ar"/>
              </w:rPr>
              <w:t>户；④农村生活废水排水项目预期惠及困难群众数量</w:t>
            </w:r>
            <w:r>
              <w:rPr>
                <w:rFonts w:hint="default" w:ascii="Times New Roman" w:hAnsi="Times New Roman" w:eastAsia="仿宋_GB2312" w:cs="Times New Roman"/>
                <w:i w:val="0"/>
                <w:iCs w:val="0"/>
                <w:color w:val="auto"/>
                <w:kern w:val="0"/>
                <w:sz w:val="21"/>
                <w:szCs w:val="21"/>
                <w:u w:val="none"/>
                <w:lang w:val="en-US" w:eastAsia="zh-CN" w:bidi="ar"/>
              </w:rPr>
              <w:t>8901</w:t>
            </w:r>
            <w:r>
              <w:rPr>
                <w:rFonts w:hint="eastAsia" w:ascii="仿宋_GB2312" w:hAnsi="宋体" w:eastAsia="仿宋_GB2312" w:cs="仿宋_GB2312"/>
                <w:i w:val="0"/>
                <w:iCs w:val="0"/>
                <w:color w:val="auto"/>
                <w:kern w:val="0"/>
                <w:sz w:val="21"/>
                <w:szCs w:val="21"/>
                <w:u w:val="none"/>
                <w:lang w:val="en-US" w:eastAsia="zh-CN" w:bidi="ar"/>
              </w:rPr>
              <w:t>户，实际惠及群众数量</w:t>
            </w:r>
            <w:r>
              <w:rPr>
                <w:rFonts w:hint="default" w:ascii="Times New Roman" w:hAnsi="Times New Roman" w:eastAsia="仿宋_GB2312" w:cs="Times New Roman"/>
                <w:i w:val="0"/>
                <w:iCs w:val="0"/>
                <w:color w:val="auto"/>
                <w:kern w:val="0"/>
                <w:sz w:val="21"/>
                <w:szCs w:val="21"/>
                <w:u w:val="none"/>
                <w:lang w:val="en-US" w:eastAsia="zh-CN" w:bidi="ar"/>
              </w:rPr>
              <w:t>8901</w:t>
            </w:r>
            <w:r>
              <w:rPr>
                <w:rFonts w:hint="eastAsia" w:ascii="仿宋_GB2312" w:hAnsi="宋体" w:eastAsia="仿宋_GB2312" w:cs="仿宋_GB2312"/>
                <w:i w:val="0"/>
                <w:iCs w:val="0"/>
                <w:color w:val="auto"/>
                <w:kern w:val="0"/>
                <w:sz w:val="21"/>
                <w:szCs w:val="21"/>
                <w:u w:val="none"/>
                <w:lang w:val="en-US" w:eastAsia="zh-CN" w:bidi="ar"/>
              </w:rPr>
              <w:t>户，完成率</w:t>
            </w:r>
            <w:r>
              <w:rPr>
                <w:rFonts w:hint="default" w:ascii="Times New Roman" w:hAnsi="Times New Roman" w:eastAsia="仿宋_GB2312" w:cs="Times New Roman"/>
                <w:i w:val="0"/>
                <w:iCs w:val="0"/>
                <w:color w:val="auto"/>
                <w:kern w:val="0"/>
                <w:sz w:val="21"/>
                <w:szCs w:val="21"/>
                <w:u w:val="none"/>
                <w:lang w:val="en-US" w:eastAsia="zh-CN" w:bidi="ar"/>
              </w:rPr>
              <w:t>100%</w:t>
            </w:r>
            <w:r>
              <w:rPr>
                <w:rFonts w:hint="eastAsia" w:ascii="仿宋_GB2312" w:hAnsi="宋体" w:eastAsia="仿宋_GB2312" w:cs="仿宋_GB2312"/>
                <w:i w:val="0"/>
                <w:iCs w:val="0"/>
                <w:color w:val="auto"/>
                <w:kern w:val="0"/>
                <w:sz w:val="21"/>
                <w:szCs w:val="21"/>
                <w:u w:val="none"/>
                <w:lang w:val="en-US" w:eastAsia="zh-CN" w:bidi="ar"/>
              </w:rPr>
              <w:t>。综上，该指标得满分权重分。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E3</w:t>
            </w:r>
            <w:r>
              <w:rPr>
                <w:rFonts w:hint="eastAsia" w:ascii="仿宋_GB2312" w:hAnsi="Times New Roman" w:eastAsia="仿宋_GB2312" w:cs="仿宋_GB2312"/>
                <w:i w:val="0"/>
                <w:iCs w:val="0"/>
                <w:color w:val="auto"/>
                <w:kern w:val="0"/>
                <w:sz w:val="21"/>
                <w:szCs w:val="21"/>
                <w:u w:val="none"/>
                <w:lang w:val="en-US" w:eastAsia="zh-CN" w:bidi="ar"/>
              </w:rPr>
              <w:t>可持续影响（</w:t>
            </w:r>
            <w:r>
              <w:rPr>
                <w:rFonts w:hint="default" w:ascii="Times New Roman" w:hAnsi="Times New Roman" w:eastAsia="宋体" w:cs="Times New Roman"/>
                <w:i w:val="0"/>
                <w:iCs w:val="0"/>
                <w:color w:val="auto"/>
                <w:kern w:val="0"/>
                <w:sz w:val="21"/>
                <w:szCs w:val="21"/>
                <w:u w:val="none"/>
                <w:lang w:val="en-US" w:eastAsia="zh-CN" w:bidi="ar"/>
              </w:rPr>
              <w:t>12</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E31</w:t>
            </w:r>
            <w:r>
              <w:rPr>
                <w:rFonts w:hint="eastAsia" w:ascii="仿宋_GB2312" w:hAnsi="Times New Roman" w:eastAsia="仿宋_GB2312" w:cs="仿宋_GB2312"/>
                <w:i w:val="0"/>
                <w:iCs w:val="0"/>
                <w:color w:val="auto"/>
                <w:kern w:val="0"/>
                <w:sz w:val="21"/>
                <w:szCs w:val="21"/>
                <w:u w:val="none"/>
                <w:lang w:val="en-US" w:eastAsia="zh-CN" w:bidi="ar"/>
              </w:rPr>
              <w:t>联农带农机制有效性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考察产业类项目联农带农机制是否健全有效。</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有效</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①产业类项目建立有联农带农机制；②联农带动机制科学可行。至少包括</w:t>
            </w:r>
            <w:r>
              <w:rPr>
                <w:rFonts w:hint="default" w:ascii="Times New Roman" w:hAnsi="Times New Roman" w:eastAsia="仿宋_GB2312" w:cs="Times New Roman"/>
                <w:i w:val="0"/>
                <w:iCs w:val="0"/>
                <w:color w:val="auto"/>
                <w:kern w:val="0"/>
                <w:sz w:val="21"/>
                <w:szCs w:val="21"/>
                <w:u w:val="none"/>
                <w:lang w:val="en-US" w:eastAsia="zh-CN" w:bidi="ar"/>
              </w:rPr>
              <w:t>2</w:t>
            </w:r>
            <w:r>
              <w:rPr>
                <w:rFonts w:hint="eastAsia" w:ascii="仿宋_GB2312" w:hAnsi="宋体" w:eastAsia="仿宋_GB2312" w:cs="仿宋_GB2312"/>
                <w:i w:val="0"/>
                <w:iCs w:val="0"/>
                <w:color w:val="auto"/>
                <w:kern w:val="0"/>
                <w:sz w:val="21"/>
                <w:szCs w:val="21"/>
                <w:u w:val="none"/>
                <w:lang w:val="en-US" w:eastAsia="zh-CN" w:bidi="ar"/>
              </w:rPr>
              <w:t>种及以上的带动模式。以上要素各占</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权重分，符合得分。每发现</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个项目不符合，扣除相应权重分的</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①此次评价共有</w:t>
            </w:r>
            <w:r>
              <w:rPr>
                <w:rFonts w:hint="default" w:ascii="Times New Roman" w:hAnsi="Times New Roman" w:eastAsia="仿宋_GB2312" w:cs="Times New Roman"/>
                <w:i w:val="0"/>
                <w:iCs w:val="0"/>
                <w:color w:val="auto"/>
                <w:kern w:val="0"/>
                <w:sz w:val="21"/>
                <w:szCs w:val="21"/>
                <w:u w:val="none"/>
                <w:lang w:val="en-US" w:eastAsia="zh-CN" w:bidi="ar"/>
              </w:rPr>
              <w:t>2</w:t>
            </w:r>
            <w:r>
              <w:rPr>
                <w:rFonts w:hint="eastAsia" w:ascii="仿宋_GB2312" w:hAnsi="宋体" w:eastAsia="仿宋_GB2312" w:cs="仿宋_GB2312"/>
                <w:i w:val="0"/>
                <w:iCs w:val="0"/>
                <w:color w:val="auto"/>
                <w:kern w:val="0"/>
                <w:sz w:val="21"/>
                <w:szCs w:val="21"/>
                <w:u w:val="none"/>
                <w:lang w:val="en-US" w:eastAsia="zh-CN" w:bidi="ar"/>
              </w:rPr>
              <w:t>个产业类项目，依据其项目实施方案，均建立有联农带农机制，得</w:t>
            </w:r>
            <w:r>
              <w:rPr>
                <w:rFonts w:hint="default" w:ascii="Times New Roman" w:hAnsi="Times New Roman" w:eastAsia="仿宋_GB2312" w:cs="Times New Roman"/>
                <w:i w:val="0"/>
                <w:iCs w:val="0"/>
                <w:color w:val="auto"/>
                <w:kern w:val="0"/>
                <w:sz w:val="21"/>
                <w:szCs w:val="21"/>
                <w:u w:val="none"/>
                <w:lang w:val="en-US" w:eastAsia="zh-CN" w:bidi="ar"/>
              </w:rPr>
              <w:t>50%</w:t>
            </w:r>
            <w:r>
              <w:rPr>
                <w:rFonts w:hint="eastAsia" w:ascii="仿宋_GB2312" w:hAnsi="宋体" w:eastAsia="仿宋_GB2312" w:cs="仿宋_GB2312"/>
                <w:i w:val="0"/>
                <w:iCs w:val="0"/>
                <w:color w:val="auto"/>
                <w:kern w:val="0"/>
                <w:sz w:val="21"/>
                <w:szCs w:val="21"/>
                <w:u w:val="none"/>
                <w:lang w:val="en-US" w:eastAsia="zh-CN" w:bidi="ar"/>
              </w:rPr>
              <w:t>权重分；②但联农带动机制不够全面。产业设施配套项目联农带农机制为为农村农业产业发展提供便利条件，便于</w:t>
            </w:r>
            <w:r>
              <w:rPr>
                <w:rFonts w:hint="default" w:ascii="Times New Roman" w:hAnsi="Times New Roman" w:eastAsia="仿宋_GB2312" w:cs="Times New Roman"/>
                <w:i w:val="0"/>
                <w:iCs w:val="0"/>
                <w:color w:val="auto"/>
                <w:kern w:val="0"/>
                <w:sz w:val="21"/>
                <w:szCs w:val="21"/>
                <w:u w:val="none"/>
                <w:lang w:val="en-US" w:eastAsia="zh-CN" w:bidi="ar"/>
              </w:rPr>
              <w:t>4961</w:t>
            </w:r>
            <w:r>
              <w:rPr>
                <w:rFonts w:hint="eastAsia" w:ascii="仿宋_GB2312" w:hAnsi="宋体" w:eastAsia="仿宋_GB2312" w:cs="仿宋_GB2312"/>
                <w:i w:val="0"/>
                <w:iCs w:val="0"/>
                <w:color w:val="auto"/>
                <w:kern w:val="0"/>
                <w:sz w:val="21"/>
                <w:szCs w:val="21"/>
                <w:u w:val="none"/>
                <w:lang w:val="en-US" w:eastAsia="zh-CN" w:bidi="ar"/>
              </w:rPr>
              <w:t>户群众开展农业产业生产，促进产业发展，为发展大棚蔬菜提供便利条件，提高群众满意度，缺乏明确具体措施和预期带农效果；一是部分产业类项目联动带农模式需优化完善。滑县</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年村集体经济发展滑丰智能化种子加工产业项目主要实施内容为按照项目资金额度，河南滑丰种业科技有限公司按每个村集体实际投资额的</w:t>
            </w:r>
            <w:r>
              <w:rPr>
                <w:rFonts w:hint="default" w:ascii="Times New Roman" w:hAnsi="Times New Roman" w:eastAsia="仿宋_GB2312" w:cs="Times New Roman"/>
                <w:i w:val="0"/>
                <w:iCs w:val="0"/>
                <w:color w:val="auto"/>
                <w:kern w:val="0"/>
                <w:sz w:val="21"/>
                <w:szCs w:val="21"/>
                <w:u w:val="none"/>
                <w:lang w:val="en-US" w:eastAsia="zh-CN" w:bidi="ar"/>
              </w:rPr>
              <w:t>8%</w:t>
            </w:r>
            <w:r>
              <w:rPr>
                <w:rFonts w:hint="eastAsia" w:ascii="仿宋_GB2312" w:hAnsi="宋体" w:eastAsia="仿宋_GB2312" w:cs="仿宋_GB2312"/>
                <w:i w:val="0"/>
                <w:iCs w:val="0"/>
                <w:color w:val="auto"/>
                <w:kern w:val="0"/>
                <w:sz w:val="21"/>
                <w:szCs w:val="21"/>
                <w:u w:val="none"/>
                <w:lang w:val="en-US" w:eastAsia="zh-CN" w:bidi="ar"/>
              </w:rPr>
              <w:t>向村集体缴纳租金。通过实施该项目，可为村集体经济发展积累资金，收益也可用于扶贫带贫及村内各项公益事业。联农带农模式一是滑丰种业缴纳租金，并与村内小麦种植农户签订优质小麦订单收购合同，增加签订合同户种植收入，联动带农模式需进一步优化完善，不得分。综上，该指标得50</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仿宋_GB2312" w:hAnsi="宋体" w:eastAsia="仿宋_GB2312" w:cs="仿宋_GB2312"/>
                <w:i w:val="0"/>
                <w:iCs w:val="0"/>
                <w:color w:val="auto"/>
                <w:kern w:val="0"/>
                <w:sz w:val="21"/>
                <w:szCs w:val="21"/>
                <w:u w:val="none"/>
                <w:lang w:val="en-US" w:eastAsia="zh-CN" w:bidi="ar"/>
              </w:rPr>
              <w:t>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E32</w:t>
            </w:r>
            <w:r>
              <w:rPr>
                <w:rFonts w:hint="eastAsia" w:ascii="仿宋_GB2312" w:hAnsi="Times New Roman" w:eastAsia="仿宋_GB2312" w:cs="仿宋_GB2312"/>
                <w:i w:val="0"/>
                <w:iCs w:val="0"/>
                <w:color w:val="auto"/>
                <w:kern w:val="0"/>
                <w:sz w:val="21"/>
                <w:szCs w:val="21"/>
                <w:u w:val="none"/>
                <w:lang w:val="en-US" w:eastAsia="zh-CN" w:bidi="ar"/>
              </w:rPr>
              <w:t>项目管护机制健全性</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考察基础设施类项目质量是否达到相应标准，后续关注是否健全。</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健全</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建立项目管护制度；②管护制度内容健全，包括管护内容、责任分工等；③根据管护制度严格落实管护任务，管护质量较高，未出现管护不到位情况（例如道路破损、安全饮水工程无法正常使用）等。以上要素各占</w:t>
            </w:r>
            <w:r>
              <w:rPr>
                <w:rFonts w:hint="default" w:ascii="Times New Roman" w:hAnsi="Times New Roman" w:eastAsia="仿宋_GB2312" w:cs="Times New Roman"/>
                <w:i w:val="0"/>
                <w:iCs w:val="0"/>
                <w:color w:val="auto"/>
                <w:kern w:val="0"/>
                <w:sz w:val="21"/>
                <w:szCs w:val="21"/>
                <w:u w:val="none"/>
                <w:lang w:val="en-US" w:eastAsia="zh-CN" w:bidi="ar"/>
              </w:rPr>
              <w:t>1/3</w:t>
            </w:r>
            <w:r>
              <w:rPr>
                <w:rFonts w:hint="eastAsia" w:ascii="仿宋_GB2312" w:hAnsi="宋体" w:eastAsia="仿宋_GB2312" w:cs="仿宋_GB2312"/>
                <w:i w:val="0"/>
                <w:iCs w:val="0"/>
                <w:color w:val="auto"/>
                <w:kern w:val="0"/>
                <w:sz w:val="21"/>
                <w:szCs w:val="21"/>
                <w:u w:val="none"/>
                <w:lang w:val="en-US" w:eastAsia="zh-CN" w:bidi="ar"/>
              </w:rPr>
              <w:t>权重分，符合得分，否则不得分。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①此次评价共有</w:t>
            </w:r>
            <w:r>
              <w:rPr>
                <w:rFonts w:hint="default" w:ascii="Times New Roman" w:hAnsi="Times New Roman" w:eastAsia="仿宋_GB2312" w:cs="Times New Roman"/>
                <w:i w:val="0"/>
                <w:iCs w:val="0"/>
                <w:color w:val="auto"/>
                <w:kern w:val="0"/>
                <w:sz w:val="21"/>
                <w:szCs w:val="21"/>
                <w:u w:val="none"/>
                <w:lang w:val="en-US" w:eastAsia="zh-CN" w:bidi="ar"/>
              </w:rPr>
              <w:t>2</w:t>
            </w:r>
            <w:r>
              <w:rPr>
                <w:rFonts w:hint="eastAsia" w:ascii="仿宋_GB2312" w:hAnsi="宋体" w:eastAsia="仿宋_GB2312" w:cs="仿宋_GB2312"/>
                <w:i w:val="0"/>
                <w:iCs w:val="0"/>
                <w:color w:val="auto"/>
                <w:kern w:val="0"/>
                <w:sz w:val="21"/>
                <w:szCs w:val="21"/>
                <w:u w:val="none"/>
                <w:lang w:val="en-US" w:eastAsia="zh-CN" w:bidi="ar"/>
              </w:rPr>
              <w:t>类基础建设类项目，均建立有管护制度；②管护制度内容健全，包括管护内容、责任分工等；③根据管护制度严格落实管护任务，管护质量较高，未出现管护不到位情况。综上，该指标得满分权重分。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E33</w:t>
            </w:r>
            <w:r>
              <w:rPr>
                <w:rFonts w:hint="eastAsia" w:ascii="仿宋_GB2312" w:hAnsi="Times New Roman" w:eastAsia="仿宋_GB2312" w:cs="仿宋_GB2312"/>
                <w:i w:val="0"/>
                <w:iCs w:val="0"/>
                <w:color w:val="auto"/>
                <w:kern w:val="0"/>
                <w:sz w:val="21"/>
                <w:szCs w:val="21"/>
                <w:u w:val="none"/>
                <w:lang w:val="en-US" w:eastAsia="zh-CN" w:bidi="ar"/>
              </w:rPr>
              <w:t>往年项目持续发挥作用情况</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考察以往扶持项目是否持续有效运行。</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持续</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通过实地核查，往年项目能够正常运行，持续发挥作用，且后续年度运行成效达到实施期初计划标准得满分，否则不得分。</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通过实地核查，往年项目能够正常运行，持续发挥作用，未发现闲置现象，得满分权重分。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E4</w:t>
            </w:r>
            <w:r>
              <w:rPr>
                <w:rFonts w:hint="eastAsia" w:ascii="仿宋_GB2312" w:hAnsi="Times New Roman" w:eastAsia="仿宋_GB2312" w:cs="仿宋_GB2312"/>
                <w:i w:val="0"/>
                <w:iCs w:val="0"/>
                <w:color w:val="auto"/>
                <w:kern w:val="0"/>
                <w:sz w:val="21"/>
                <w:szCs w:val="21"/>
                <w:u w:val="none"/>
                <w:lang w:val="en-US" w:eastAsia="zh-CN" w:bidi="ar"/>
              </w:rPr>
              <w:t>服务对象满意度（</w:t>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仿宋_GB2312" w:hAnsi="Times New Roman" w:eastAsia="仿宋_GB2312" w:cs="仿宋_GB2312"/>
                <w:i w:val="0"/>
                <w:iCs w:val="0"/>
                <w:color w:val="auto"/>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E41</w:t>
            </w:r>
            <w:r>
              <w:rPr>
                <w:rFonts w:hint="eastAsia" w:ascii="仿宋_GB2312" w:hAnsi="Times New Roman" w:eastAsia="仿宋_GB2312" w:cs="仿宋_GB2312"/>
                <w:i w:val="0"/>
                <w:iCs w:val="0"/>
                <w:color w:val="auto"/>
                <w:kern w:val="0"/>
                <w:sz w:val="21"/>
                <w:szCs w:val="21"/>
                <w:u w:val="none"/>
                <w:lang w:val="en-US" w:eastAsia="zh-CN" w:bidi="ar"/>
              </w:rPr>
              <w:t>脱贫户和防止返贫监测对象满意度</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考察脱贫户和防止返贫监测对象对于当地</w:t>
            </w:r>
            <w:r>
              <w:rPr>
                <w:rFonts w:hint="default" w:ascii="Times New Roman" w:hAnsi="Times New Roman" w:eastAsia="仿宋_GB2312" w:cs="Times New Roman"/>
                <w:i w:val="0"/>
                <w:iCs w:val="0"/>
                <w:color w:val="auto"/>
                <w:kern w:val="0"/>
                <w:sz w:val="21"/>
                <w:szCs w:val="21"/>
                <w:u w:val="none"/>
                <w:lang w:val="en-US" w:eastAsia="zh-CN" w:bidi="ar"/>
              </w:rPr>
              <w:t>2021</w:t>
            </w:r>
            <w:r>
              <w:rPr>
                <w:rFonts w:hint="eastAsia" w:ascii="仿宋_GB2312" w:hAnsi="宋体" w:eastAsia="仿宋_GB2312" w:cs="仿宋_GB2312"/>
                <w:i w:val="0"/>
                <w:iCs w:val="0"/>
                <w:color w:val="auto"/>
                <w:kern w:val="0"/>
                <w:sz w:val="21"/>
                <w:szCs w:val="21"/>
                <w:u w:val="none"/>
                <w:lang w:val="en-US" w:eastAsia="zh-CN" w:bidi="ar"/>
              </w:rPr>
              <w:t>年财政衔接推进乡村振兴补助资金项目的满意度。</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对脱贫户和防止返贫监测对象进行问卷调查，满意度达到目标值得</w:t>
            </w:r>
            <w:r>
              <w:rPr>
                <w:rFonts w:hint="default" w:ascii="Times New Roman" w:hAnsi="Times New Roman" w:eastAsia="仿宋_GB2312" w:cs="Times New Roman"/>
                <w:i w:val="0"/>
                <w:iCs w:val="0"/>
                <w:color w:val="auto"/>
                <w:kern w:val="0"/>
                <w:sz w:val="21"/>
                <w:szCs w:val="21"/>
                <w:u w:val="none"/>
                <w:lang w:val="en-US" w:eastAsia="zh-CN" w:bidi="ar"/>
              </w:rPr>
              <w:t>90%</w:t>
            </w:r>
            <w:r>
              <w:rPr>
                <w:rFonts w:hint="eastAsia" w:ascii="仿宋_GB2312" w:hAnsi="宋体" w:eastAsia="仿宋_GB2312" w:cs="仿宋_GB2312"/>
                <w:i w:val="0"/>
                <w:iCs w:val="0"/>
                <w:color w:val="auto"/>
                <w:kern w:val="0"/>
                <w:sz w:val="21"/>
                <w:szCs w:val="21"/>
                <w:u w:val="none"/>
                <w:lang w:val="en-US" w:eastAsia="zh-CN" w:bidi="ar"/>
              </w:rPr>
              <w:t>权重分，每低于目标值</w:t>
            </w: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ascii="仿宋_GB2312" w:hAnsi="宋体" w:eastAsia="仿宋_GB2312" w:cs="仿宋_GB2312"/>
                <w:i w:val="0"/>
                <w:iCs w:val="0"/>
                <w:color w:val="auto"/>
                <w:kern w:val="0"/>
                <w:sz w:val="21"/>
                <w:szCs w:val="21"/>
                <w:u w:val="none"/>
                <w:lang w:val="en-US" w:eastAsia="zh-CN" w:bidi="ar"/>
              </w:rPr>
              <w:t>扣除</w:t>
            </w:r>
            <w:r>
              <w:rPr>
                <w:rFonts w:hint="default" w:ascii="Times New Roman" w:hAnsi="Times New Roman" w:eastAsia="仿宋_GB2312" w:cs="Times New Roman"/>
                <w:i w:val="0"/>
                <w:iCs w:val="0"/>
                <w:color w:val="auto"/>
                <w:kern w:val="0"/>
                <w:sz w:val="21"/>
                <w:szCs w:val="21"/>
                <w:u w:val="none"/>
                <w:lang w:val="en-US" w:eastAsia="zh-CN" w:bidi="ar"/>
              </w:rPr>
              <w:t>5%</w:t>
            </w:r>
            <w:r>
              <w:rPr>
                <w:rFonts w:hint="eastAsia" w:ascii="仿宋_GB2312" w:hAnsi="宋体" w:eastAsia="仿宋_GB2312" w:cs="仿宋_GB2312"/>
                <w:i w:val="0"/>
                <w:iCs w:val="0"/>
                <w:color w:val="auto"/>
                <w:kern w:val="0"/>
                <w:sz w:val="21"/>
                <w:szCs w:val="21"/>
                <w:u w:val="none"/>
                <w:lang w:val="en-US" w:eastAsia="zh-CN" w:bidi="ar"/>
              </w:rPr>
              <w:t>权重分，扣完为止。</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通过对脱贫户和防止返贫监测对象进行问卷调查，共发放并回收满意度问卷</w:t>
            </w:r>
            <w:r>
              <w:rPr>
                <w:rFonts w:hint="default" w:ascii="Times New Roman" w:hAnsi="Times New Roman" w:eastAsia="仿宋_GB2312" w:cs="Times New Roman"/>
                <w:i w:val="0"/>
                <w:iCs w:val="0"/>
                <w:color w:val="auto"/>
                <w:kern w:val="0"/>
                <w:sz w:val="21"/>
                <w:szCs w:val="21"/>
                <w:u w:val="none"/>
                <w:lang w:val="en-US" w:eastAsia="zh-CN" w:bidi="ar"/>
              </w:rPr>
              <w:t>85</w:t>
            </w:r>
            <w:r>
              <w:rPr>
                <w:rFonts w:hint="eastAsia" w:ascii="仿宋_GB2312" w:hAnsi="宋体" w:eastAsia="仿宋_GB2312" w:cs="仿宋_GB2312"/>
                <w:i w:val="0"/>
                <w:iCs w:val="0"/>
                <w:color w:val="auto"/>
                <w:kern w:val="0"/>
                <w:sz w:val="21"/>
                <w:szCs w:val="21"/>
                <w:u w:val="none"/>
                <w:lang w:val="en-US" w:eastAsia="zh-CN" w:bidi="ar"/>
              </w:rPr>
              <w:t>份，综合满意度为</w:t>
            </w:r>
            <w:r>
              <w:rPr>
                <w:rFonts w:hint="default" w:ascii="Times New Roman" w:hAnsi="Times New Roman" w:eastAsia="仿宋_GB2312" w:cs="Times New Roman"/>
                <w:i w:val="0"/>
                <w:iCs w:val="0"/>
                <w:color w:val="auto"/>
                <w:kern w:val="0"/>
                <w:sz w:val="21"/>
                <w:szCs w:val="21"/>
                <w:u w:val="none"/>
                <w:lang w:val="en-US" w:eastAsia="zh-CN" w:bidi="ar"/>
              </w:rPr>
              <w:t>96.53%</w:t>
            </w:r>
            <w:r>
              <w:rPr>
                <w:rFonts w:hint="eastAsia" w:ascii="仿宋_GB2312" w:hAnsi="宋体" w:eastAsia="仿宋_GB2312" w:cs="仿宋_GB2312"/>
                <w:i w:val="0"/>
                <w:iCs w:val="0"/>
                <w:color w:val="auto"/>
                <w:kern w:val="0"/>
                <w:sz w:val="21"/>
                <w:szCs w:val="21"/>
                <w:u w:val="none"/>
                <w:lang w:val="en-US" w:eastAsia="zh-CN" w:bidi="ar"/>
              </w:rPr>
              <w:t>，得满分权重分。</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合计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96.23 </w:t>
            </w:r>
          </w:p>
        </w:tc>
      </w:tr>
    </w:tbl>
    <w:p>
      <w:pPr>
        <w:rPr>
          <w:rFonts w:hint="default" w:ascii="Times New Roman" w:hAnsi="Times New Roman" w:cs="Times New Roman"/>
          <w:color w:val="auto"/>
          <w:lang w:val="en-US" w:eastAsia="zh-CN"/>
        </w:rPr>
      </w:pPr>
    </w:p>
    <w:sectPr>
      <w:pgSz w:w="16838" w:h="11906" w:orient="landscape"/>
      <w:pgMar w:top="1797" w:right="1440" w:bottom="1797" w:left="144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rFonts w:ascii="Calibri" w:hAnsi="Calibri"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t>1</w:t>
                </w:r>
                <w:r>
                  <w:rPr>
                    <w:rFonts w:ascii="Times New Roman" w:hAnsi="Times New Roman"/>
                    <w:lang w:val="zh-CN"/>
                  </w:rPr>
                  <w:fldChar w:fldCharType="end"/>
                </w:r>
              </w:p>
              <w:p>
                <w:pPr>
                  <w:pStyle w:val="25"/>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rFonts w:ascii="Calibri" w:hAnsi="Calibri" w:eastAsia="宋体" w:cs="Times New Roman"/>
        <w:kern w:val="2"/>
        <w:sz w:val="18"/>
        <w:szCs w:val="18"/>
        <w:lang w:val="en-US" w:eastAsia="zh-CN" w:bidi="ar-SA"/>
      </w:rPr>
      <w:pict>
        <v:rect id="文本框 2" o:spid="_x0000_s4098" o:spt="1"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val="zh-CN"/>
                  </w:rPr>
                  <w:fldChar w:fldCharType="end"/>
                </w:r>
              </w:p>
              <w:p>
                <w:pPr>
                  <w:pStyle w:val="25"/>
                  <w:rPr>
                    <w:rFonts w:hint="default" w:ascii="Times New Roman" w:hAnsi="Times New Roman" w:cs="Times New Roman"/>
                    <w:sz w:val="28"/>
                    <w:szCs w:val="28"/>
                  </w:rPr>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ascii="Calibri" w:hAnsi="Calibri" w:eastAsia="宋体" w:cs="Times New Roman"/>
        <w:kern w:val="2"/>
        <w:sz w:val="18"/>
        <w:szCs w:val="18"/>
        <w:lang w:val="en-US" w:eastAsia="zh-CN" w:bidi="ar-SA"/>
      </w:rPr>
      <w:pict>
        <v:rect id="文本框 3" o:spid="_x0000_s4099"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lang w:val="zh-CN"/>
                  </w:rPr>
                  <w:fldChar w:fldCharType="end"/>
                </w:r>
              </w:p>
              <w:p>
                <w:pPr>
                  <w:pStyle w:val="25"/>
                </w:pPr>
              </w:p>
            </w:txbxContent>
          </v:textbox>
        </v:rect>
      </w:pic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708CC"/>
    <w:multiLevelType w:val="singleLevel"/>
    <w:tmpl w:val="CE5708CC"/>
    <w:lvl w:ilvl="0" w:tentative="0">
      <w:start w:val="3"/>
      <w:numFmt w:val="chineseCounting"/>
      <w:suff w:val="nothing"/>
      <w:lvlText w:val="（%1）"/>
      <w:lvlJc w:val="left"/>
      <w:rPr>
        <w:rFonts w:hint="eastAsia"/>
      </w:rPr>
    </w:lvl>
  </w:abstractNum>
  <w:abstractNum w:abstractNumId="1">
    <w:nsid w:val="D00A886E"/>
    <w:multiLevelType w:val="singleLevel"/>
    <w:tmpl w:val="D00A886E"/>
    <w:lvl w:ilvl="0" w:tentative="0">
      <w:start w:val="5"/>
      <w:numFmt w:val="chineseCounting"/>
      <w:suff w:val="nothing"/>
      <w:lvlText w:val="%1、"/>
      <w:lvlJc w:val="left"/>
      <w:rPr>
        <w:rFonts w:hint="eastAsia"/>
      </w:rPr>
    </w:lvl>
  </w:abstractNum>
  <w:abstractNum w:abstractNumId="2">
    <w:nsid w:val="1DA216F0"/>
    <w:multiLevelType w:val="multilevel"/>
    <w:tmpl w:val="1DA216F0"/>
    <w:lvl w:ilvl="0" w:tentative="0">
      <w:start w:val="1"/>
      <w:numFmt w:val="chineseCountingThousand"/>
      <w:pStyle w:val="9"/>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5ZTk3NGEwYjU5NTRjMGMyYTY3YmRhYjE4MGNkNDYifQ=="/>
  </w:docVars>
  <w:rsids>
    <w:rsidRoot w:val="00172A27"/>
    <w:rsid w:val="05830CF6"/>
    <w:rsid w:val="06A8659C"/>
    <w:rsid w:val="0DDC1B4D"/>
    <w:rsid w:val="15185CA7"/>
    <w:rsid w:val="16920D97"/>
    <w:rsid w:val="22E4543C"/>
    <w:rsid w:val="24653B7D"/>
    <w:rsid w:val="2DE6652B"/>
    <w:rsid w:val="318F2491"/>
    <w:rsid w:val="356E5435"/>
    <w:rsid w:val="37DE137B"/>
    <w:rsid w:val="38D2451E"/>
    <w:rsid w:val="3F73789B"/>
    <w:rsid w:val="47114E6B"/>
    <w:rsid w:val="47356CBB"/>
    <w:rsid w:val="4C0767FA"/>
    <w:rsid w:val="4CEF2838"/>
    <w:rsid w:val="56F72230"/>
    <w:rsid w:val="581A6C16"/>
    <w:rsid w:val="58670CF0"/>
    <w:rsid w:val="5954056B"/>
    <w:rsid w:val="5CDC3AE7"/>
    <w:rsid w:val="603A61DD"/>
    <w:rsid w:val="62CE7A97"/>
    <w:rsid w:val="65BF079F"/>
    <w:rsid w:val="65D514A1"/>
    <w:rsid w:val="6A386990"/>
    <w:rsid w:val="6B117256"/>
    <w:rsid w:val="700714A0"/>
    <w:rsid w:val="717672B3"/>
    <w:rsid w:val="72A56ECE"/>
    <w:rsid w:val="73D506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120" w:after="60" w:line="500" w:lineRule="exact"/>
      <w:ind w:firstLine="200" w:firstLineChars="200"/>
      <w:jc w:val="left"/>
      <w:outlineLvl w:val="0"/>
    </w:pPr>
    <w:rPr>
      <w:rFonts w:eastAsia="黑体"/>
      <w:b/>
      <w:bCs/>
      <w:kern w:val="44"/>
      <w:sz w:val="32"/>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Calibri Light" w:hAnsi="Calibri Light" w:eastAsia="宋体" w:cs="黑体"/>
      <w:b/>
      <w:bCs/>
      <w:sz w:val="32"/>
      <w:szCs w:val="32"/>
    </w:rPr>
  </w:style>
  <w:style w:type="paragraph" w:styleId="5">
    <w:name w:val="heading 3"/>
    <w:basedOn w:val="1"/>
    <w:next w:val="1"/>
    <w:link w:val="46"/>
    <w:unhideWhenUsed/>
    <w:qFormat/>
    <w:uiPriority w:val="0"/>
    <w:pPr>
      <w:keepNext/>
      <w:keepLines/>
      <w:spacing w:before="60" w:beforeAutospacing="0" w:after="120" w:afterAutospacing="0" w:line="560" w:lineRule="exact"/>
      <w:ind w:firstLine="880" w:firstLineChars="200"/>
      <w:outlineLvl w:val="2"/>
    </w:pPr>
    <w:rPr>
      <w:rFonts w:ascii="Times New Roman" w:hAnsi="Times New Roman" w:eastAsia="仿宋"/>
      <w:b/>
      <w:sz w:val="32"/>
      <w:szCs w:val="32"/>
    </w:rPr>
  </w:style>
  <w:style w:type="character" w:default="1" w:styleId="20">
    <w:name w:val="Default Paragraph Font"/>
    <w:semiHidden/>
    <w:qFormat/>
    <w:uiPriority w:val="0"/>
  </w:style>
  <w:style w:type="table" w:default="1" w:styleId="19">
    <w:name w:val="Normal Table"/>
    <w:unhideWhenUsed/>
    <w:qFormat/>
    <w:uiPriority w:val="0"/>
    <w:tblPr>
      <w:tblCellMar>
        <w:top w:w="0" w:type="dxa"/>
        <w:left w:w="108" w:type="dxa"/>
        <w:bottom w:w="0" w:type="dxa"/>
        <w:right w:w="108" w:type="dxa"/>
      </w:tblCellMar>
    </w:tblPr>
  </w:style>
  <w:style w:type="paragraph" w:customStyle="1" w:styleId="2">
    <w:name w:val="正文文本 21"/>
    <w:basedOn w:val="1"/>
    <w:qFormat/>
    <w:uiPriority w:val="0"/>
    <w:pPr>
      <w:spacing w:line="480" w:lineRule="auto"/>
    </w:pPr>
  </w:style>
  <w:style w:type="paragraph" w:styleId="6">
    <w:name w:val="Normal Indent"/>
    <w:basedOn w:val="1"/>
    <w:qFormat/>
    <w:uiPriority w:val="0"/>
    <w:pPr>
      <w:ind w:firstLine="200" w:firstLineChars="200"/>
    </w:pPr>
    <w:rPr>
      <w:szCs w:val="21"/>
    </w:rPr>
  </w:style>
  <w:style w:type="paragraph" w:styleId="7">
    <w:name w:val="annotation text"/>
    <w:basedOn w:val="1"/>
    <w:qFormat/>
    <w:uiPriority w:val="0"/>
    <w:pPr>
      <w:jc w:val="left"/>
    </w:pPr>
  </w:style>
  <w:style w:type="paragraph" w:styleId="8">
    <w:name w:val="Body Text"/>
    <w:basedOn w:val="1"/>
    <w:next w:val="9"/>
    <w:unhideWhenUsed/>
    <w:qFormat/>
    <w:uiPriority w:val="99"/>
    <w:pPr>
      <w:spacing w:after="120"/>
    </w:pPr>
  </w:style>
  <w:style w:type="paragraph" w:styleId="9">
    <w:name w:val="Body Text 2"/>
    <w:basedOn w:val="1"/>
    <w:next w:val="8"/>
    <w:unhideWhenUsed/>
    <w:qFormat/>
    <w:uiPriority w:val="99"/>
    <w:pPr>
      <w:widowControl/>
      <w:numPr>
        <w:ilvl w:val="0"/>
        <w:numId w:val="1"/>
      </w:numPr>
      <w:spacing w:beforeLines="50" w:line="336" w:lineRule="auto"/>
      <w:ind w:left="0" w:firstLine="0"/>
    </w:pPr>
    <w:rPr>
      <w:rFonts w:ascii="Times New Roman" w:hAnsi="Times New Roman" w:eastAsia="黑体"/>
      <w:szCs w:val="20"/>
    </w:rPr>
  </w:style>
  <w:style w:type="paragraph" w:styleId="10">
    <w:name w:val="Body Text Indent"/>
    <w:basedOn w:val="1"/>
    <w:unhideWhenUsed/>
    <w:qFormat/>
    <w:uiPriority w:val="99"/>
    <w:pPr>
      <w:spacing w:line="560" w:lineRule="exact"/>
      <w:ind w:firstLine="567"/>
    </w:pPr>
    <w:rPr>
      <w:rFonts w:cs="Times New Roman"/>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line="500" w:lineRule="exact"/>
    </w:pPr>
    <w:rPr>
      <w:rFonts w:ascii="Times New Roman" w:hAnsi="Times New Roman" w:eastAsia="仿宋_GB2312"/>
      <w:b/>
      <w:sz w:val="28"/>
      <w:szCs w:val="28"/>
    </w:rPr>
  </w:style>
  <w:style w:type="paragraph" w:styleId="14">
    <w:name w:val="Subtitle"/>
    <w:basedOn w:val="1"/>
    <w:next w:val="1"/>
    <w:qFormat/>
    <w:uiPriority w:val="0"/>
    <w:pPr>
      <w:widowControl/>
      <w:wordWrap w:val="0"/>
      <w:spacing w:after="60"/>
      <w:jc w:val="center"/>
    </w:pPr>
    <w:rPr>
      <w:sz w:val="24"/>
    </w:rPr>
  </w:style>
  <w:style w:type="paragraph" w:styleId="15">
    <w:name w:val="footnote text"/>
    <w:basedOn w:val="1"/>
    <w:unhideWhenUsed/>
    <w:qFormat/>
    <w:uiPriority w:val="99"/>
    <w:pPr>
      <w:snapToGrid w:val="0"/>
      <w:jc w:val="left"/>
    </w:pPr>
    <w:rPr>
      <w:sz w:val="18"/>
      <w:szCs w:val="18"/>
    </w:rPr>
  </w:style>
  <w:style w:type="paragraph" w:styleId="16">
    <w:name w:val="toc 2"/>
    <w:basedOn w:val="1"/>
    <w:next w:val="1"/>
    <w:autoRedefine/>
    <w:unhideWhenUsed/>
    <w:qFormat/>
    <w:uiPriority w:val="39"/>
    <w:pPr>
      <w:ind w:left="420" w:leftChars="200"/>
    </w:pPr>
  </w:style>
  <w:style w:type="paragraph" w:styleId="17">
    <w:name w:val="Body Text First Indent"/>
    <w:basedOn w:val="8"/>
    <w:next w:val="18"/>
    <w:autoRedefine/>
    <w:unhideWhenUsed/>
    <w:qFormat/>
    <w:uiPriority w:val="99"/>
    <w:pPr>
      <w:ind w:firstLine="976" w:firstLineChars="200"/>
    </w:pPr>
  </w:style>
  <w:style w:type="paragraph" w:styleId="18">
    <w:name w:val="Body Text First Indent 2"/>
    <w:basedOn w:val="10"/>
    <w:autoRedefine/>
    <w:unhideWhenUsed/>
    <w:qFormat/>
    <w:uiPriority w:val="99"/>
    <w:pPr>
      <w:spacing w:after="120" w:line="360" w:lineRule="auto"/>
      <w:ind w:left="420" w:leftChars="200" w:firstLine="420"/>
    </w:pPr>
    <w:rPr>
      <w:szCs w:val="22"/>
    </w:rPr>
  </w:style>
  <w:style w:type="character" w:styleId="21">
    <w:name w:val="Strong"/>
    <w:basedOn w:val="20"/>
    <w:autoRedefine/>
    <w:qFormat/>
    <w:uiPriority w:val="0"/>
    <w:rPr>
      <w:b/>
    </w:rPr>
  </w:style>
  <w:style w:type="character" w:styleId="22">
    <w:name w:val="Emphasis"/>
    <w:basedOn w:val="20"/>
    <w:autoRedefine/>
    <w:qFormat/>
    <w:uiPriority w:val="20"/>
    <w:rPr>
      <w:i/>
      <w:iCs/>
    </w:rPr>
  </w:style>
  <w:style w:type="character" w:styleId="23">
    <w:name w:val="Hyperlink"/>
    <w:basedOn w:val="20"/>
    <w:autoRedefine/>
    <w:unhideWhenUsed/>
    <w:qFormat/>
    <w:uiPriority w:val="99"/>
    <w:rPr>
      <w:color w:val="0563C1"/>
      <w:u w:val="single"/>
    </w:rPr>
  </w:style>
  <w:style w:type="character" w:styleId="24">
    <w:name w:val="footnote reference"/>
    <w:basedOn w:val="20"/>
    <w:autoRedefine/>
    <w:unhideWhenUsed/>
    <w:qFormat/>
    <w:uiPriority w:val="99"/>
    <w:rPr>
      <w:vertAlign w:val="superscript"/>
    </w:rPr>
  </w:style>
  <w:style w:type="paragraph" w:customStyle="1" w:styleId="25">
    <w:name w:val="Default"/>
    <w:next w:val="14"/>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6">
    <w:name w:val="闻政正文"/>
    <w:basedOn w:val="1"/>
    <w:link w:val="30"/>
    <w:autoRedefine/>
    <w:qFormat/>
    <w:uiPriority w:val="0"/>
    <w:pPr>
      <w:spacing w:line="560" w:lineRule="exact"/>
      <w:ind w:firstLine="560" w:firstLineChars="200"/>
    </w:pPr>
    <w:rPr>
      <w:rFonts w:ascii="Times New Roman" w:hAnsi="Times New Roman" w:eastAsia="仿宋" w:cs="黑体"/>
      <w:sz w:val="32"/>
      <w:szCs w:val="32"/>
    </w:rPr>
  </w:style>
  <w:style w:type="paragraph" w:customStyle="1" w:styleId="27">
    <w:name w:val="闻政标题4"/>
    <w:basedOn w:val="4"/>
    <w:autoRedefine/>
    <w:qFormat/>
    <w:uiPriority w:val="0"/>
    <w:pPr>
      <w:spacing w:before="120" w:after="60" w:line="560" w:lineRule="exact"/>
      <w:ind w:firstLine="200" w:firstLineChars="200"/>
      <w:jc w:val="left"/>
    </w:pPr>
    <w:rPr>
      <w:rFonts w:ascii="Times New Roman" w:hAnsi="Times New Roman" w:eastAsia="楷体" w:cs="Times New Roman"/>
      <w:kern w:val="0"/>
      <w:sz w:val="32"/>
    </w:rPr>
  </w:style>
  <w:style w:type="paragraph" w:customStyle="1" w:styleId="28">
    <w:name w:val="闻政标题5"/>
    <w:basedOn w:val="1"/>
    <w:autoRedefine/>
    <w:qFormat/>
    <w:uiPriority w:val="0"/>
    <w:pPr>
      <w:spacing w:before="120" w:after="60" w:line="560" w:lineRule="exact"/>
      <w:ind w:firstLine="200" w:firstLineChars="200"/>
    </w:pPr>
    <w:rPr>
      <w:rFonts w:ascii="Times New Roman" w:hAnsi="Times New Roman" w:eastAsia="仿宋"/>
      <w:b/>
      <w:kern w:val="0"/>
      <w:sz w:val="32"/>
      <w:szCs w:val="32"/>
    </w:rPr>
  </w:style>
  <w:style w:type="paragraph" w:customStyle="1" w:styleId="29">
    <w:name w:val="闻政表"/>
    <w:basedOn w:val="1"/>
    <w:autoRedefine/>
    <w:qFormat/>
    <w:uiPriority w:val="0"/>
    <w:pPr>
      <w:spacing w:before="60" w:after="60"/>
      <w:jc w:val="center"/>
    </w:pPr>
    <w:rPr>
      <w:rFonts w:ascii="Times New Roman" w:hAnsi="Times New Roman" w:eastAsia="仿宋_GB2312"/>
      <w:b/>
      <w:kern w:val="0"/>
      <w:sz w:val="24"/>
      <w:szCs w:val="28"/>
      <w:lang w:val="zh-CN"/>
    </w:rPr>
  </w:style>
  <w:style w:type="character" w:customStyle="1" w:styleId="30">
    <w:name w:val="闻政正文 Char Char"/>
    <w:link w:val="26"/>
    <w:qFormat/>
    <w:uiPriority w:val="0"/>
    <w:rPr>
      <w:rFonts w:ascii="Times New Roman" w:hAnsi="Times New Roman" w:eastAsia="仿宋" w:cs="黑体"/>
      <w:sz w:val="32"/>
      <w:szCs w:val="32"/>
    </w:rPr>
  </w:style>
  <w:style w:type="character" w:customStyle="1" w:styleId="31">
    <w:name w:val="font141"/>
    <w:basedOn w:val="20"/>
    <w:autoRedefine/>
    <w:qFormat/>
    <w:uiPriority w:val="0"/>
    <w:rPr>
      <w:rFonts w:hint="eastAsia" w:ascii="仿宋_GB2312" w:eastAsia="仿宋_GB2312" w:cs="仿宋_GB2312"/>
      <w:color w:val="000000"/>
      <w:sz w:val="20"/>
      <w:szCs w:val="20"/>
      <w:u w:val="none"/>
    </w:rPr>
  </w:style>
  <w:style w:type="character" w:customStyle="1" w:styleId="32">
    <w:name w:val="font101"/>
    <w:basedOn w:val="20"/>
    <w:autoRedefine/>
    <w:qFormat/>
    <w:uiPriority w:val="0"/>
    <w:rPr>
      <w:rFonts w:hint="eastAsia" w:ascii="仿宋_GB2312" w:eastAsia="仿宋_GB2312" w:cs="仿宋_GB2312"/>
      <w:color w:val="000000"/>
      <w:sz w:val="22"/>
      <w:szCs w:val="22"/>
      <w:u w:val="none"/>
    </w:rPr>
  </w:style>
  <w:style w:type="character" w:customStyle="1" w:styleId="33">
    <w:name w:val="font131"/>
    <w:basedOn w:val="20"/>
    <w:qFormat/>
    <w:uiPriority w:val="0"/>
    <w:rPr>
      <w:rFonts w:hint="eastAsia" w:ascii="仿宋_GB2312" w:eastAsia="仿宋_GB2312" w:cs="仿宋_GB2312"/>
      <w:color w:val="000000"/>
      <w:sz w:val="20"/>
      <w:szCs w:val="20"/>
      <w:u w:val="none"/>
    </w:rPr>
  </w:style>
  <w:style w:type="character" w:customStyle="1" w:styleId="34">
    <w:name w:val="font41"/>
    <w:basedOn w:val="20"/>
    <w:autoRedefine/>
    <w:qFormat/>
    <w:uiPriority w:val="0"/>
    <w:rPr>
      <w:rFonts w:hint="default" w:ascii="Times New Roman" w:hAnsi="Times New Roman" w:cs="Times New Roman"/>
      <w:color w:val="000000"/>
      <w:sz w:val="20"/>
      <w:szCs w:val="20"/>
      <w:u w:val="none"/>
    </w:rPr>
  </w:style>
  <w:style w:type="character" w:customStyle="1" w:styleId="35">
    <w:name w:val="font112"/>
    <w:basedOn w:val="20"/>
    <w:autoRedefine/>
    <w:qFormat/>
    <w:uiPriority w:val="0"/>
    <w:rPr>
      <w:rFonts w:hint="eastAsia" w:ascii="仿宋_GB2312" w:eastAsia="仿宋_GB2312" w:cs="仿宋_GB2312"/>
      <w:color w:val="000000"/>
      <w:sz w:val="22"/>
      <w:szCs w:val="22"/>
      <w:u w:val="none"/>
    </w:rPr>
  </w:style>
  <w:style w:type="character" w:customStyle="1" w:styleId="36">
    <w:name w:val="font31"/>
    <w:basedOn w:val="20"/>
    <w:qFormat/>
    <w:uiPriority w:val="0"/>
    <w:rPr>
      <w:rFonts w:hint="default" w:ascii="Times New Roman" w:hAnsi="Times New Roman" w:cs="Times New Roman"/>
      <w:color w:val="000000"/>
      <w:sz w:val="20"/>
      <w:szCs w:val="20"/>
      <w:u w:val="none"/>
    </w:rPr>
  </w:style>
  <w:style w:type="character" w:customStyle="1" w:styleId="37">
    <w:name w:val="font11"/>
    <w:basedOn w:val="20"/>
    <w:autoRedefine/>
    <w:qFormat/>
    <w:uiPriority w:val="0"/>
    <w:rPr>
      <w:rFonts w:hint="default" w:ascii="Times New Roman" w:hAnsi="Times New Roman" w:cs="Times New Roman"/>
      <w:color w:val="000000"/>
      <w:sz w:val="22"/>
      <w:szCs w:val="22"/>
      <w:u w:val="none"/>
    </w:rPr>
  </w:style>
  <w:style w:type="character" w:customStyle="1" w:styleId="38">
    <w:name w:val="font51"/>
    <w:basedOn w:val="20"/>
    <w:autoRedefine/>
    <w:qFormat/>
    <w:uiPriority w:val="0"/>
    <w:rPr>
      <w:rFonts w:hint="eastAsia" w:ascii="仿宋_GB2312" w:eastAsia="仿宋_GB2312" w:cs="仿宋_GB2312"/>
      <w:color w:val="000000"/>
      <w:sz w:val="22"/>
      <w:szCs w:val="22"/>
      <w:u w:val="none"/>
    </w:rPr>
  </w:style>
  <w:style w:type="character" w:customStyle="1" w:styleId="39">
    <w:name w:val="font61"/>
    <w:basedOn w:val="20"/>
    <w:qFormat/>
    <w:uiPriority w:val="0"/>
    <w:rPr>
      <w:rFonts w:hint="eastAsia" w:ascii="仿宋_GB2312" w:eastAsia="仿宋_GB2312" w:cs="仿宋_GB2312"/>
      <w:color w:val="000000"/>
      <w:sz w:val="22"/>
      <w:szCs w:val="22"/>
      <w:u w:val="none"/>
    </w:rPr>
  </w:style>
  <w:style w:type="character" w:customStyle="1" w:styleId="40">
    <w:name w:val="font01"/>
    <w:basedOn w:val="20"/>
    <w:autoRedefine/>
    <w:qFormat/>
    <w:uiPriority w:val="0"/>
    <w:rPr>
      <w:rFonts w:hint="default" w:ascii="Times New Roman" w:hAnsi="Times New Roman" w:cs="Times New Roman"/>
      <w:color w:val="000000"/>
      <w:sz w:val="22"/>
      <w:szCs w:val="22"/>
      <w:u w:val="none"/>
    </w:rPr>
  </w:style>
  <w:style w:type="character" w:customStyle="1" w:styleId="41">
    <w:name w:val="font81"/>
    <w:basedOn w:val="20"/>
    <w:autoRedefine/>
    <w:qFormat/>
    <w:uiPriority w:val="0"/>
    <w:rPr>
      <w:rFonts w:hint="eastAsia" w:ascii="仿宋_GB2312" w:eastAsia="仿宋_GB2312" w:cs="仿宋_GB2312"/>
      <w:color w:val="000000"/>
      <w:sz w:val="22"/>
      <w:szCs w:val="22"/>
      <w:u w:val="none"/>
    </w:rPr>
  </w:style>
  <w:style w:type="character" w:customStyle="1" w:styleId="42">
    <w:name w:val="font121"/>
    <w:basedOn w:val="20"/>
    <w:qFormat/>
    <w:uiPriority w:val="0"/>
    <w:rPr>
      <w:rFonts w:hint="default" w:ascii="Times New Roman" w:hAnsi="Times New Roman" w:cs="Times New Roman"/>
      <w:color w:val="000000"/>
      <w:sz w:val="22"/>
      <w:szCs w:val="22"/>
      <w:u w:val="none"/>
    </w:rPr>
  </w:style>
  <w:style w:type="character" w:customStyle="1" w:styleId="43">
    <w:name w:val="font71"/>
    <w:basedOn w:val="20"/>
    <w:autoRedefine/>
    <w:qFormat/>
    <w:uiPriority w:val="0"/>
    <w:rPr>
      <w:rFonts w:hint="eastAsia" w:ascii="仿宋_GB2312" w:eastAsia="仿宋_GB2312" w:cs="仿宋_GB2312"/>
      <w:color w:val="000000"/>
      <w:sz w:val="22"/>
      <w:szCs w:val="22"/>
      <w:u w:val="none"/>
    </w:rPr>
  </w:style>
  <w:style w:type="character" w:customStyle="1" w:styleId="44">
    <w:name w:val="font91"/>
    <w:basedOn w:val="20"/>
    <w:autoRedefine/>
    <w:qFormat/>
    <w:uiPriority w:val="0"/>
    <w:rPr>
      <w:rFonts w:hint="default" w:ascii="Times New Roman" w:hAnsi="Times New Roman" w:cs="Times New Roman"/>
      <w:color w:val="000000"/>
      <w:sz w:val="22"/>
      <w:szCs w:val="22"/>
      <w:u w:val="none"/>
    </w:rPr>
  </w:style>
  <w:style w:type="character" w:customStyle="1" w:styleId="45">
    <w:name w:val="font21"/>
    <w:basedOn w:val="20"/>
    <w:autoRedefine/>
    <w:qFormat/>
    <w:uiPriority w:val="0"/>
    <w:rPr>
      <w:rFonts w:hint="eastAsia" w:ascii="仿宋_GB2312" w:eastAsia="仿宋_GB2312" w:cs="仿宋_GB2312"/>
      <w:b/>
      <w:color w:val="000000"/>
      <w:sz w:val="22"/>
      <w:szCs w:val="22"/>
      <w:u w:val="none"/>
    </w:rPr>
  </w:style>
  <w:style w:type="character" w:customStyle="1" w:styleId="46">
    <w:name w:val="标题 3 Char Char"/>
    <w:link w:val="5"/>
    <w:autoRedefine/>
    <w:qFormat/>
    <w:uiPriority w:val="0"/>
    <w:rPr>
      <w:rFonts w:ascii="Times New Roman" w:hAnsi="Times New Roman" w:eastAsia="仿宋"/>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26373</Words>
  <Characters>29313</Characters>
  <Lines>0</Lines>
  <Paragraphs>0</Paragraphs>
  <TotalTime>7</TotalTime>
  <ScaleCrop>false</ScaleCrop>
  <LinksUpToDate>false</LinksUpToDate>
  <CharactersWithSpaces>29561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2020-10-30T02:56:00Z</dcterms:created>
  <dc:creator>Administrator</dc:creator>
  <cp:lastModifiedBy>悦朝胜</cp:lastModifiedBy>
  <dcterms:modified xsi:type="dcterms:W3CDTF">2024-10-09T06:45:43Z</dcterms:modified>
  <dc:title>2021年度滑县财政衔接推进乡村振兴补助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33BC64E39ADA4DEEB5144F29F9710693</vt:lpwstr>
  </property>
</Properties>
</file>