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C3612">
      <w:pPr>
        <w:jc w:val="center"/>
        <w:rPr>
          <w:rFonts w:hint="eastAsia" w:ascii="黑体" w:hAnsi="黑体" w:eastAsia="黑体" w:cs="黑体"/>
          <w:sz w:val="44"/>
          <w:szCs w:val="52"/>
          <w:lang w:val="en-US" w:eastAsia="zh-CN"/>
        </w:rPr>
      </w:pPr>
      <w:bookmarkStart w:id="0" w:name="_GoBack"/>
      <w:bookmarkEnd w:id="0"/>
    </w:p>
    <w:p w14:paraId="3B76132E">
      <w:pPr>
        <w:jc w:val="center"/>
        <w:rPr>
          <w:rFonts w:hint="eastAsia" w:ascii="黑体" w:hAnsi="黑体" w:eastAsia="黑体" w:cs="黑体"/>
          <w:sz w:val="44"/>
          <w:szCs w:val="52"/>
          <w:lang w:val="en-US" w:eastAsia="zh-CN"/>
        </w:rPr>
      </w:pPr>
      <w:r>
        <w:rPr>
          <w:rFonts w:hint="eastAsia" w:ascii="黑体" w:hAnsi="黑体" w:eastAsia="黑体" w:cs="黑体"/>
          <w:sz w:val="44"/>
          <w:szCs w:val="52"/>
          <w:u w:val="none"/>
          <w:lang w:val="en-US" w:eastAsia="zh-CN"/>
        </w:rPr>
        <w:t>滑县交通运输局</w:t>
      </w:r>
      <w:r>
        <w:rPr>
          <w:rFonts w:hint="eastAsia" w:ascii="黑体" w:hAnsi="黑体" w:eastAsia="黑体" w:cs="黑体"/>
          <w:sz w:val="44"/>
          <w:szCs w:val="52"/>
          <w:lang w:val="en-US" w:eastAsia="zh-CN"/>
        </w:rPr>
        <w:t>行政相对人违法风险点梳理情况统计表</w:t>
      </w:r>
    </w:p>
    <w:p w14:paraId="71A557C0">
      <w:pPr>
        <w:jc w:val="center"/>
        <w:rPr>
          <w:rFonts w:hint="eastAsia" w:ascii="黑体" w:hAnsi="黑体" w:eastAsia="黑体" w:cs="黑体"/>
          <w:sz w:val="44"/>
          <w:szCs w:val="5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733"/>
        <w:gridCol w:w="2024"/>
        <w:gridCol w:w="2024"/>
        <w:gridCol w:w="2025"/>
        <w:gridCol w:w="2025"/>
        <w:gridCol w:w="2025"/>
      </w:tblGrid>
      <w:tr w14:paraId="6C92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3825D331">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序号</w:t>
            </w:r>
          </w:p>
        </w:tc>
        <w:tc>
          <w:tcPr>
            <w:tcW w:w="2733" w:type="dxa"/>
          </w:tcPr>
          <w:p w14:paraId="5467942D">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违法风险点</w:t>
            </w:r>
          </w:p>
        </w:tc>
        <w:tc>
          <w:tcPr>
            <w:tcW w:w="2024" w:type="dxa"/>
          </w:tcPr>
          <w:p w14:paraId="4368BADC">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行政相对人</w:t>
            </w:r>
          </w:p>
        </w:tc>
        <w:tc>
          <w:tcPr>
            <w:tcW w:w="2024" w:type="dxa"/>
          </w:tcPr>
          <w:p w14:paraId="48B5CCAB">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责任单位</w:t>
            </w:r>
          </w:p>
        </w:tc>
        <w:tc>
          <w:tcPr>
            <w:tcW w:w="2025" w:type="dxa"/>
          </w:tcPr>
          <w:p w14:paraId="0D86F20C">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法律依据</w:t>
            </w:r>
          </w:p>
        </w:tc>
        <w:tc>
          <w:tcPr>
            <w:tcW w:w="2025" w:type="dxa"/>
          </w:tcPr>
          <w:p w14:paraId="1C7BAD26">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法律后果</w:t>
            </w:r>
          </w:p>
        </w:tc>
        <w:tc>
          <w:tcPr>
            <w:tcW w:w="2025" w:type="dxa"/>
          </w:tcPr>
          <w:p w14:paraId="61010260">
            <w:pPr>
              <w:jc w:val="center"/>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防控措施</w:t>
            </w:r>
          </w:p>
        </w:tc>
      </w:tr>
      <w:tr w14:paraId="3BC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0E51C411">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1</w:t>
            </w:r>
          </w:p>
          <w:p w14:paraId="17B915EB">
            <w:pPr>
              <w:jc w:val="center"/>
              <w:rPr>
                <w:rFonts w:hint="default" w:ascii="黑体" w:hAnsi="黑体" w:eastAsia="黑体" w:cs="黑体"/>
                <w:sz w:val="28"/>
                <w:szCs w:val="36"/>
                <w:vertAlign w:val="baseline"/>
                <w:lang w:val="en-US" w:eastAsia="zh-CN"/>
              </w:rPr>
            </w:pPr>
            <w:r>
              <w:rPr>
                <w:rFonts w:hint="eastAsia" w:ascii="黑体" w:hAnsi="黑体" w:eastAsia="黑体" w:cs="黑体"/>
                <w:b/>
                <w:bCs/>
                <w:color w:val="FF0000"/>
                <w:sz w:val="28"/>
                <w:szCs w:val="36"/>
                <w:vertAlign w:val="baseline"/>
                <w:lang w:val="en-US" w:eastAsia="zh-CN"/>
              </w:rPr>
              <w:t xml:space="preserve"> </w:t>
            </w:r>
          </w:p>
        </w:tc>
        <w:tc>
          <w:tcPr>
            <w:tcW w:w="2733" w:type="dxa"/>
          </w:tcPr>
          <w:p w14:paraId="156CFB0D">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违法超限运输行驶公路 </w:t>
            </w:r>
          </w:p>
        </w:tc>
        <w:tc>
          <w:tcPr>
            <w:tcW w:w="2024" w:type="dxa"/>
          </w:tcPr>
          <w:p w14:paraId="29452E2E">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自然人、法人、其他组织</w:t>
            </w:r>
          </w:p>
        </w:tc>
        <w:tc>
          <w:tcPr>
            <w:tcW w:w="2024" w:type="dxa"/>
          </w:tcPr>
          <w:p w14:paraId="50DA4CAC">
            <w:pPr>
              <w:jc w:val="left"/>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滑县交通运输局</w:t>
            </w:r>
          </w:p>
        </w:tc>
        <w:tc>
          <w:tcPr>
            <w:tcW w:w="2025" w:type="dxa"/>
          </w:tcPr>
          <w:p w14:paraId="21F4DAEE">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 xml:space="preserve">《中华人民共和国公路法》 第七十六条第五项 《公路安全保护条例》第六十四条 </w:t>
            </w:r>
          </w:p>
        </w:tc>
        <w:tc>
          <w:tcPr>
            <w:tcW w:w="2025" w:type="dxa"/>
          </w:tcPr>
          <w:p w14:paraId="33B28D82">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p>
        </w:tc>
        <w:tc>
          <w:tcPr>
            <w:tcW w:w="2025" w:type="dxa"/>
          </w:tcPr>
          <w:p w14:paraId="07DFCF27">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4098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21EC7D12">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2</w:t>
            </w:r>
          </w:p>
        </w:tc>
        <w:tc>
          <w:tcPr>
            <w:tcW w:w="2733" w:type="dxa"/>
            <w:vAlign w:val="center"/>
          </w:tcPr>
          <w:p w14:paraId="74D56842">
            <w:pPr>
              <w:keepNext w:val="0"/>
              <w:keepLines w:val="0"/>
              <w:widowControl/>
              <w:suppressLineNumbers w:val="0"/>
              <w:jc w:val="left"/>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未取得道路运输经营许可，擅自从事道路运输经营</w:t>
            </w:r>
          </w:p>
        </w:tc>
        <w:tc>
          <w:tcPr>
            <w:tcW w:w="2024" w:type="dxa"/>
          </w:tcPr>
          <w:p w14:paraId="28D2E387">
            <w:pPr>
              <w:jc w:val="left"/>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自然人、法人、其他组织</w:t>
            </w:r>
          </w:p>
        </w:tc>
        <w:tc>
          <w:tcPr>
            <w:tcW w:w="2024" w:type="dxa"/>
          </w:tcPr>
          <w:p w14:paraId="721B423A">
            <w:pPr>
              <w:jc w:val="left"/>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0729D119">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《中华人民共和国道路运输条例》第六十三条</w:t>
            </w:r>
          </w:p>
        </w:tc>
        <w:tc>
          <w:tcPr>
            <w:tcW w:w="2025" w:type="dxa"/>
          </w:tcPr>
          <w:p w14:paraId="13F6BDF6">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构成犯罪的，依法追究刑事责任。</w:t>
            </w:r>
          </w:p>
        </w:tc>
        <w:tc>
          <w:tcPr>
            <w:tcW w:w="2025" w:type="dxa"/>
          </w:tcPr>
          <w:p w14:paraId="40EAF34F">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4320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699E7EAE">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3</w:t>
            </w:r>
          </w:p>
        </w:tc>
        <w:tc>
          <w:tcPr>
            <w:tcW w:w="2733" w:type="dxa"/>
            <w:vAlign w:val="center"/>
          </w:tcPr>
          <w:p w14:paraId="500BCB1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未取得巡游出租汽车经营许可，擅自从事巡游出租汽车经营活动</w:t>
            </w:r>
          </w:p>
        </w:tc>
        <w:tc>
          <w:tcPr>
            <w:tcW w:w="2024" w:type="dxa"/>
          </w:tcPr>
          <w:p w14:paraId="3E1B97F1">
            <w:pPr>
              <w:jc w:val="center"/>
              <w:rPr>
                <w:rFonts w:hint="eastAsia" w:ascii="黑体" w:hAnsi="黑体" w:eastAsia="黑体" w:cs="黑体"/>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自然人、法人、其他组织</w:t>
            </w:r>
          </w:p>
        </w:tc>
        <w:tc>
          <w:tcPr>
            <w:tcW w:w="2024" w:type="dxa"/>
          </w:tcPr>
          <w:p w14:paraId="68F8A319">
            <w:pPr>
              <w:jc w:val="center"/>
              <w:rPr>
                <w:rFonts w:hint="eastAsia" w:ascii="黑体" w:hAnsi="黑体" w:eastAsia="黑体" w:cs="黑体"/>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601F29E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《巡游出租汽车经营服务管理规定》第四十五条</w:t>
            </w:r>
          </w:p>
        </w:tc>
        <w:tc>
          <w:tcPr>
            <w:tcW w:w="2025" w:type="dxa"/>
          </w:tcPr>
          <w:p w14:paraId="5B242D8B">
            <w:pPr>
              <w:jc w:val="center"/>
              <w:rPr>
                <w:rFonts w:hint="eastAsia" w:ascii="黑体" w:hAnsi="黑体" w:eastAsia="黑体" w:cs="黑体"/>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构成犯罪的，依法追究刑事责任。</w:t>
            </w:r>
          </w:p>
        </w:tc>
        <w:tc>
          <w:tcPr>
            <w:tcW w:w="2025" w:type="dxa"/>
          </w:tcPr>
          <w:p w14:paraId="0C5BA2FF">
            <w:pPr>
              <w:jc w:val="center"/>
              <w:rPr>
                <w:rFonts w:hint="eastAsia" w:ascii="黑体" w:hAnsi="黑体" w:eastAsia="黑体" w:cs="黑体"/>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4E15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315DC7A8">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4</w:t>
            </w:r>
          </w:p>
        </w:tc>
        <w:tc>
          <w:tcPr>
            <w:tcW w:w="2733" w:type="dxa"/>
            <w:vAlign w:val="center"/>
          </w:tcPr>
          <w:p w14:paraId="02B862D8">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未取得经营许可，擅自从事网约车经营活动</w:t>
            </w:r>
          </w:p>
        </w:tc>
        <w:tc>
          <w:tcPr>
            <w:tcW w:w="2024" w:type="dxa"/>
          </w:tcPr>
          <w:p w14:paraId="4D3207FB">
            <w:pPr>
              <w:jc w:val="center"/>
              <w:rPr>
                <w:rFonts w:hint="eastAsia" w:ascii="黑体" w:hAnsi="黑体" w:eastAsia="黑体" w:cs="黑体"/>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自然人、法人、其他组织</w:t>
            </w:r>
          </w:p>
        </w:tc>
        <w:tc>
          <w:tcPr>
            <w:tcW w:w="2024" w:type="dxa"/>
          </w:tcPr>
          <w:p w14:paraId="313B7B30">
            <w:pPr>
              <w:jc w:val="center"/>
              <w:rPr>
                <w:rFonts w:hint="eastAsia" w:ascii="黑体" w:hAnsi="黑体" w:eastAsia="黑体" w:cs="黑体"/>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332ED5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《网络预约出租汽车经营服务管理暂行办法》第三十四条</w:t>
            </w:r>
          </w:p>
        </w:tc>
        <w:tc>
          <w:tcPr>
            <w:tcW w:w="2025" w:type="dxa"/>
          </w:tcPr>
          <w:p w14:paraId="47322F70">
            <w:pPr>
              <w:jc w:val="center"/>
              <w:rPr>
                <w:rFonts w:hint="eastAsia" w:ascii="黑体" w:hAnsi="黑体" w:eastAsia="黑体" w:cs="黑体"/>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警告并行政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构成犯罪的，依法追究刑事责任。</w:t>
            </w:r>
          </w:p>
        </w:tc>
        <w:tc>
          <w:tcPr>
            <w:tcW w:w="2025" w:type="dxa"/>
          </w:tcPr>
          <w:p w14:paraId="25A3D4E4">
            <w:pPr>
              <w:jc w:val="center"/>
              <w:rPr>
                <w:rFonts w:hint="eastAsia" w:ascii="黑体" w:hAnsi="黑体" w:eastAsia="黑体" w:cs="黑体"/>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2D01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1CE55AD5">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5</w:t>
            </w:r>
          </w:p>
        </w:tc>
        <w:tc>
          <w:tcPr>
            <w:tcW w:w="2733" w:type="dxa"/>
          </w:tcPr>
          <w:p w14:paraId="1B84316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未持有效的包车客运标志牌进行客运包车经营</w:t>
            </w:r>
          </w:p>
        </w:tc>
        <w:tc>
          <w:tcPr>
            <w:tcW w:w="2024" w:type="dxa"/>
          </w:tcPr>
          <w:p w14:paraId="565F252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客运经营者</w:t>
            </w:r>
          </w:p>
        </w:tc>
        <w:tc>
          <w:tcPr>
            <w:tcW w:w="2024" w:type="dxa"/>
          </w:tcPr>
          <w:p w14:paraId="41D5D3BB">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36120CA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《道路旅客运输及客运站管理规定》第九十九条</w:t>
            </w:r>
          </w:p>
        </w:tc>
        <w:tc>
          <w:tcPr>
            <w:tcW w:w="2025" w:type="dxa"/>
          </w:tcPr>
          <w:p w14:paraId="3C09657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责令改正，</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sz w:val="24"/>
                <w:szCs w:val="24"/>
                <w:vertAlign w:val="baseline"/>
                <w:lang w:val="en-US" w:eastAsia="zh-CN"/>
              </w:rPr>
              <w:t>情节严重的，由原许可机关吊销《道路运输经营许可证》或者吊销相应的经营范围。</w:t>
            </w:r>
          </w:p>
        </w:tc>
        <w:tc>
          <w:tcPr>
            <w:tcW w:w="2025" w:type="dxa"/>
          </w:tcPr>
          <w:p w14:paraId="02FE0F9F">
            <w:pPr>
              <w:jc w:val="center"/>
              <w:rPr>
                <w:rFonts w:hint="eastAsia" w:ascii="黑体" w:hAnsi="黑体" w:eastAsia="黑体" w:cs="黑体"/>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1D89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6BC799F6">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6</w:t>
            </w:r>
          </w:p>
        </w:tc>
        <w:tc>
          <w:tcPr>
            <w:tcW w:w="2733" w:type="dxa"/>
          </w:tcPr>
          <w:p w14:paraId="697CB6C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不符合条件的人员驾驶道路运输经营车辆</w:t>
            </w:r>
          </w:p>
        </w:tc>
        <w:tc>
          <w:tcPr>
            <w:tcW w:w="2024" w:type="dxa"/>
          </w:tcPr>
          <w:p w14:paraId="3FD1B50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自然人</w:t>
            </w:r>
          </w:p>
        </w:tc>
        <w:tc>
          <w:tcPr>
            <w:tcW w:w="2024" w:type="dxa"/>
          </w:tcPr>
          <w:p w14:paraId="61B9CB2E">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20D2E7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《中华人民共和国道路运输条例》第六十四条</w:t>
            </w:r>
          </w:p>
        </w:tc>
        <w:tc>
          <w:tcPr>
            <w:tcW w:w="2025" w:type="dxa"/>
          </w:tcPr>
          <w:p w14:paraId="66689198">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构成犯罪的，依法追究刑事责任。</w:t>
            </w:r>
          </w:p>
        </w:tc>
        <w:tc>
          <w:tcPr>
            <w:tcW w:w="2025" w:type="dxa"/>
          </w:tcPr>
          <w:p w14:paraId="319CF80E">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6854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7DA6C490">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7</w:t>
            </w:r>
          </w:p>
        </w:tc>
        <w:tc>
          <w:tcPr>
            <w:tcW w:w="2733" w:type="dxa"/>
          </w:tcPr>
          <w:p w14:paraId="00E8100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取得道路货物运输经营许可的道路货物运输经营者使用无道路运输证的车辆参加货物运输</w:t>
            </w:r>
          </w:p>
        </w:tc>
        <w:tc>
          <w:tcPr>
            <w:tcW w:w="2024" w:type="dxa"/>
          </w:tcPr>
          <w:p w14:paraId="7EF6E24B">
            <w:pPr>
              <w:jc w:val="center"/>
              <w:rPr>
                <w:rFonts w:hint="eastAsia" w:ascii="黑体" w:hAnsi="黑体" w:eastAsia="黑体" w:cs="黑体"/>
                <w:sz w:val="28"/>
                <w:szCs w:val="36"/>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自然人、法人、其他组织</w:t>
            </w:r>
          </w:p>
        </w:tc>
        <w:tc>
          <w:tcPr>
            <w:tcW w:w="2024" w:type="dxa"/>
          </w:tcPr>
          <w:p w14:paraId="131A11A2">
            <w:pPr>
              <w:jc w:val="center"/>
              <w:rPr>
                <w:rFonts w:hint="eastAsia" w:ascii="黑体" w:hAnsi="黑体" w:eastAsia="黑体" w:cs="黑体"/>
                <w:sz w:val="28"/>
                <w:szCs w:val="36"/>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0C400835">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 xml:space="preserve"> 《道路货物运输及站场管理规定 》第六十三条 </w:t>
            </w:r>
          </w:p>
        </w:tc>
        <w:tc>
          <w:tcPr>
            <w:tcW w:w="2025" w:type="dxa"/>
          </w:tcPr>
          <w:p w14:paraId="78DA13D8">
            <w:pPr>
              <w:jc w:val="center"/>
              <w:rPr>
                <w:rFonts w:hint="eastAsia" w:ascii="黑体" w:hAnsi="黑体" w:eastAsia="仿宋"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c>
          <w:tcPr>
            <w:tcW w:w="2025" w:type="dxa"/>
          </w:tcPr>
          <w:p w14:paraId="082236DA">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2FF1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301D03B3">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8</w:t>
            </w:r>
          </w:p>
        </w:tc>
        <w:tc>
          <w:tcPr>
            <w:tcW w:w="2733" w:type="dxa"/>
            <w:vAlign w:val="center"/>
          </w:tcPr>
          <w:p w14:paraId="517C1D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货运源头单位超过规定标准装载货物或放行超限超载货运车辆</w:t>
            </w:r>
          </w:p>
        </w:tc>
        <w:tc>
          <w:tcPr>
            <w:tcW w:w="2024" w:type="dxa"/>
          </w:tcPr>
          <w:p w14:paraId="2C6F0166">
            <w:pPr>
              <w:jc w:val="center"/>
              <w:rPr>
                <w:rFonts w:hint="eastAsia" w:ascii="黑体" w:hAnsi="黑体" w:eastAsia="黑体" w:cs="黑体"/>
                <w:sz w:val="28"/>
                <w:szCs w:val="36"/>
                <w:vertAlign w:val="baseline"/>
                <w:lang w:val="en-US" w:eastAsia="zh-CN"/>
              </w:rPr>
            </w:pPr>
            <w:r>
              <w:rPr>
                <w:rFonts w:hint="eastAsia" w:ascii="宋体" w:hAnsi="宋体" w:eastAsia="宋体" w:cs="宋体"/>
                <w:i w:val="0"/>
                <w:iCs w:val="0"/>
                <w:color w:val="000000"/>
                <w:kern w:val="0"/>
                <w:sz w:val="20"/>
                <w:szCs w:val="20"/>
                <w:u w:val="none"/>
                <w:lang w:val="en-US" w:eastAsia="zh-CN" w:bidi="ar"/>
              </w:rPr>
              <w:t>货运源头单位</w:t>
            </w:r>
          </w:p>
        </w:tc>
        <w:tc>
          <w:tcPr>
            <w:tcW w:w="2024" w:type="dxa"/>
          </w:tcPr>
          <w:p w14:paraId="26AB0EB0">
            <w:pPr>
              <w:jc w:val="center"/>
              <w:rPr>
                <w:rFonts w:hint="eastAsia" w:ascii="黑体" w:hAnsi="黑体" w:eastAsia="黑体" w:cs="黑体"/>
                <w:sz w:val="28"/>
                <w:szCs w:val="36"/>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1251039A">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《河南省治理货物运输车辆超限超载条例》 第二十五条</w:t>
            </w:r>
          </w:p>
        </w:tc>
        <w:tc>
          <w:tcPr>
            <w:tcW w:w="2025" w:type="dxa"/>
          </w:tcPr>
          <w:p w14:paraId="023E5600">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c>
          <w:tcPr>
            <w:tcW w:w="2025" w:type="dxa"/>
          </w:tcPr>
          <w:p w14:paraId="27C8B417">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0E95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5BA6F526">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9</w:t>
            </w:r>
          </w:p>
        </w:tc>
        <w:tc>
          <w:tcPr>
            <w:tcW w:w="2733" w:type="dxa"/>
          </w:tcPr>
          <w:p w14:paraId="6126375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客运经营者使用未持合法有效《道路运输证》的车辆参加客运经营</w:t>
            </w:r>
          </w:p>
        </w:tc>
        <w:tc>
          <w:tcPr>
            <w:tcW w:w="2024" w:type="dxa"/>
          </w:tcPr>
          <w:p w14:paraId="18178CB4">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客运经营者</w:t>
            </w:r>
          </w:p>
        </w:tc>
        <w:tc>
          <w:tcPr>
            <w:tcW w:w="2024" w:type="dxa"/>
          </w:tcPr>
          <w:p w14:paraId="5B23671E">
            <w:pPr>
              <w:jc w:val="center"/>
              <w:rPr>
                <w:rFonts w:hint="eastAsia" w:ascii="黑体" w:hAnsi="黑体" w:eastAsia="黑体" w:cs="黑体"/>
                <w:sz w:val="28"/>
                <w:szCs w:val="36"/>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3C852B15">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《道路旅客运输及客运站管理规定》第九十七条</w:t>
            </w:r>
          </w:p>
        </w:tc>
        <w:tc>
          <w:tcPr>
            <w:tcW w:w="2025" w:type="dxa"/>
          </w:tcPr>
          <w:p w14:paraId="301D3EF5">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p>
        </w:tc>
        <w:tc>
          <w:tcPr>
            <w:tcW w:w="2025" w:type="dxa"/>
          </w:tcPr>
          <w:p w14:paraId="7D5549A1">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4CCF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55C835F5">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10</w:t>
            </w:r>
          </w:p>
        </w:tc>
        <w:tc>
          <w:tcPr>
            <w:tcW w:w="2733" w:type="dxa"/>
          </w:tcPr>
          <w:p w14:paraId="6BCBF751">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不按批准的客运站点停靠或者不按规定的线路、公布的班次行驶</w:t>
            </w:r>
          </w:p>
        </w:tc>
        <w:tc>
          <w:tcPr>
            <w:tcW w:w="2024" w:type="dxa"/>
          </w:tcPr>
          <w:p w14:paraId="0F887C9F">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客运经营者</w:t>
            </w:r>
          </w:p>
        </w:tc>
        <w:tc>
          <w:tcPr>
            <w:tcW w:w="2024" w:type="dxa"/>
          </w:tcPr>
          <w:p w14:paraId="73913A26">
            <w:pPr>
              <w:jc w:val="center"/>
              <w:rPr>
                <w:rFonts w:hint="eastAsia" w:ascii="黑体" w:hAnsi="黑体" w:eastAsia="黑体" w:cs="黑体"/>
                <w:sz w:val="28"/>
                <w:szCs w:val="36"/>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2BBBFB53">
            <w:pPr>
              <w:jc w:val="center"/>
              <w:rPr>
                <w:rFonts w:hint="eastAsia" w:ascii="黑体" w:hAnsi="黑体" w:eastAsia="黑体" w:cs="黑体"/>
                <w:sz w:val="28"/>
                <w:szCs w:val="36"/>
                <w:vertAlign w:val="baseline"/>
                <w:lang w:val="en-US" w:eastAsia="zh-CN"/>
              </w:rPr>
            </w:pPr>
            <w:r>
              <w:rPr>
                <w:rFonts w:hint="eastAsia" w:ascii="仿宋" w:hAnsi="仿宋" w:eastAsia="仿宋" w:cs="仿宋"/>
                <w:sz w:val="24"/>
                <w:szCs w:val="24"/>
                <w:vertAlign w:val="baseline"/>
                <w:lang w:val="en-US" w:eastAsia="zh-CN"/>
              </w:rPr>
              <w:t>《中华人民共和国道路运输条例》第六十八条</w:t>
            </w:r>
          </w:p>
        </w:tc>
        <w:tc>
          <w:tcPr>
            <w:tcW w:w="2025" w:type="dxa"/>
          </w:tcPr>
          <w:p w14:paraId="2CC7663F">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sz w:val="24"/>
                <w:szCs w:val="24"/>
                <w:vertAlign w:val="baseline"/>
                <w:lang w:val="en-US" w:eastAsia="zh-CN"/>
              </w:rPr>
              <w:t>情节严重的，由原许可机关吊销道路运输经营许可证</w:t>
            </w:r>
          </w:p>
        </w:tc>
        <w:tc>
          <w:tcPr>
            <w:tcW w:w="2025" w:type="dxa"/>
          </w:tcPr>
          <w:p w14:paraId="2684DD9C">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5A53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7A1E78AB">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11</w:t>
            </w:r>
          </w:p>
        </w:tc>
        <w:tc>
          <w:tcPr>
            <w:tcW w:w="2733" w:type="dxa"/>
          </w:tcPr>
          <w:p w14:paraId="317AB3A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没有采取必要措施防止货物脱落、扬撒</w:t>
            </w:r>
          </w:p>
        </w:tc>
        <w:tc>
          <w:tcPr>
            <w:tcW w:w="2024" w:type="dxa"/>
          </w:tcPr>
          <w:p w14:paraId="4C293E5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货运经营者</w:t>
            </w:r>
          </w:p>
        </w:tc>
        <w:tc>
          <w:tcPr>
            <w:tcW w:w="2024" w:type="dxa"/>
          </w:tcPr>
          <w:p w14:paraId="1E747391">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28DEE9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《中华人民共和国道路运输条例》第六十八</w:t>
            </w:r>
          </w:p>
        </w:tc>
        <w:tc>
          <w:tcPr>
            <w:tcW w:w="2025" w:type="dxa"/>
          </w:tcPr>
          <w:p w14:paraId="27C84453">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，情节严重的，由原许可机关吊销道路运输经营许可证</w:t>
            </w:r>
          </w:p>
        </w:tc>
        <w:tc>
          <w:tcPr>
            <w:tcW w:w="2025" w:type="dxa"/>
          </w:tcPr>
          <w:p w14:paraId="6CA5FD4F">
            <w:pPr>
              <w:jc w:val="center"/>
              <w:rPr>
                <w:rFonts w:hint="eastAsia" w:ascii="黑体" w:hAnsi="黑体" w:eastAsia="黑体" w:cs="黑体"/>
                <w:sz w:val="28"/>
                <w:szCs w:val="36"/>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r w14:paraId="3F14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Pr>
          <w:p w14:paraId="4915E5CE">
            <w:pPr>
              <w:jc w:val="center"/>
              <w:rPr>
                <w:rFonts w:hint="default"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12</w:t>
            </w:r>
          </w:p>
        </w:tc>
        <w:tc>
          <w:tcPr>
            <w:tcW w:w="2733" w:type="dxa"/>
          </w:tcPr>
          <w:p w14:paraId="1BE1A89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巡游出租汽车驾驶员拒载、议价、途中甩客或者故意绕道行驶的；未经乘客同意搭载其他乘客的；不按照规定使用计程计价设备、违规收费</w:t>
            </w:r>
          </w:p>
        </w:tc>
        <w:tc>
          <w:tcPr>
            <w:tcW w:w="2024" w:type="dxa"/>
          </w:tcPr>
          <w:p w14:paraId="32F944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巡游出租汽车驾驶员</w:t>
            </w:r>
          </w:p>
        </w:tc>
        <w:tc>
          <w:tcPr>
            <w:tcW w:w="2024" w:type="dxa"/>
          </w:tcPr>
          <w:p w14:paraId="7F32DBE9">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滑县交通运输局</w:t>
            </w:r>
          </w:p>
        </w:tc>
        <w:tc>
          <w:tcPr>
            <w:tcW w:w="2025" w:type="dxa"/>
          </w:tcPr>
          <w:p w14:paraId="7F64975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《巡游出租汽车经营服务管理规定》第四十八条</w:t>
            </w:r>
          </w:p>
        </w:tc>
        <w:tc>
          <w:tcPr>
            <w:tcW w:w="2025" w:type="dxa"/>
          </w:tcPr>
          <w:p w14:paraId="26C42C99">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责令改正、予以</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行政</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处罚</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c>
          <w:tcPr>
            <w:tcW w:w="2025" w:type="dxa"/>
          </w:tcPr>
          <w:p w14:paraId="3B5F41CD">
            <w:pPr>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加强法律宣传和监督检查力度</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p>
        </w:tc>
      </w:tr>
    </w:tbl>
    <w:p w14:paraId="5510C588">
      <w:pPr>
        <w:jc w:val="center"/>
        <w:rPr>
          <w:rFonts w:hint="eastAsia" w:ascii="黑体" w:hAnsi="黑体" w:eastAsia="黑体" w:cs="黑体"/>
          <w:sz w:val="44"/>
          <w:szCs w:val="52"/>
          <w:lang w:val="en-US" w:eastAsia="zh-CN"/>
        </w:rPr>
      </w:pPr>
    </w:p>
    <w:p w14:paraId="1D58F719">
      <w:pPr>
        <w:jc w:val="center"/>
        <w:rPr>
          <w:rFonts w:hint="eastAsia"/>
          <w:sz w:val="32"/>
          <w:szCs w:val="40"/>
          <w:lang w:val="en-US" w:eastAsia="zh-CN"/>
        </w:rPr>
      </w:pPr>
    </w:p>
    <w:p w14:paraId="613688C9">
      <w:pPr>
        <w:jc w:val="center"/>
        <w:rPr>
          <w:rFonts w:hint="eastAsia"/>
          <w:sz w:val="32"/>
          <w:szCs w:val="40"/>
          <w:lang w:val="en-US" w:eastAsia="zh-CN"/>
        </w:rPr>
      </w:pPr>
    </w:p>
    <w:p w14:paraId="40004E74">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zMwOTBkZGVjODZmZjc5OTE0NmViNjI1MmFjNjQifQ=="/>
  </w:docVars>
  <w:rsids>
    <w:rsidRoot w:val="41B95015"/>
    <w:rsid w:val="09E85885"/>
    <w:rsid w:val="2D1D53A6"/>
    <w:rsid w:val="372E04CB"/>
    <w:rsid w:val="404B1073"/>
    <w:rsid w:val="41B95015"/>
    <w:rsid w:val="52DD4E28"/>
    <w:rsid w:val="6170330B"/>
    <w:rsid w:val="6DBC78A8"/>
    <w:rsid w:val="726447C6"/>
    <w:rsid w:val="7558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1285</Characters>
  <Lines>0</Lines>
  <Paragraphs>0</Paragraphs>
  <TotalTime>18</TotalTime>
  <ScaleCrop>false</ScaleCrop>
  <LinksUpToDate>false</LinksUpToDate>
  <CharactersWithSpaces>1295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2024-07-19T01:58:00Z</dcterms:created>
  <dc:creator>兮兮</dc:creator>
  <cp:lastModifiedBy>收</cp:lastModifiedBy>
  <dcterms:modified xsi:type="dcterms:W3CDTF">2024-08-21T10:08:43Z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515DE9A6A4114A21908DD1C16A0841C2_13</vt:lpwstr>
  </property>
</Properties>
</file>