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423EE">
      <w:pPr>
        <w:keepNext w:val="0"/>
        <w:keepLines w:val="0"/>
        <w:pageBreakBefore w:val="0"/>
        <w:widowControl w:val="0"/>
        <w:tabs>
          <w:tab w:val="left" w:pos="5760"/>
        </w:tabs>
        <w:kinsoku/>
        <w:wordWrap/>
        <w:overflowPunct/>
        <w:topLinePunct w:val="0"/>
        <w:bidi w:val="0"/>
        <w:snapToGrid/>
        <w:spacing w:line="460" w:lineRule="exact"/>
        <w:jc w:val="both"/>
        <w:textAlignment w:val="auto"/>
        <w:rPr>
          <w:rFonts w:hint="default" w:ascii="Times New Roman" w:hAnsi="Times New Roman" w:cs="Times New Roman"/>
          <w:b/>
          <w:color w:val="000000"/>
          <w:sz w:val="32"/>
          <w:szCs w:val="32"/>
        </w:rPr>
      </w:pPr>
    </w:p>
    <w:p w14:paraId="1D5AD888">
      <w:pPr>
        <w:pStyle w:val="2"/>
        <w:keepNext w:val="0"/>
        <w:keepLines w:val="0"/>
        <w:pageBreakBefore w:val="0"/>
        <w:widowControl w:val="0"/>
        <w:kinsoku/>
        <w:wordWrap/>
        <w:overflowPunct/>
        <w:topLinePunct w:val="0"/>
        <w:bidi w:val="0"/>
        <w:snapToGrid/>
        <w:spacing w:line="460" w:lineRule="exact"/>
        <w:textAlignment w:val="auto"/>
        <w:rPr>
          <w:rFonts w:hint="default"/>
        </w:rPr>
      </w:pPr>
    </w:p>
    <w:p w14:paraId="1A651D1E">
      <w:pPr>
        <w:keepNext w:val="0"/>
        <w:keepLines w:val="0"/>
        <w:pageBreakBefore w:val="0"/>
        <w:widowControl w:val="0"/>
        <w:kinsoku/>
        <w:wordWrap/>
        <w:overflowPunct/>
        <w:topLinePunct w:val="0"/>
        <w:bidi w:val="0"/>
        <w:snapToGrid/>
        <w:spacing w:line="460" w:lineRule="exact"/>
        <w:jc w:val="center"/>
        <w:textAlignment w:val="auto"/>
        <w:rPr>
          <w:rFonts w:hint="default" w:ascii="Times New Roman" w:hAnsi="Times New Roman" w:cs="Times New Roman"/>
          <w:b/>
          <w:color w:val="000000"/>
          <w:sz w:val="32"/>
          <w:szCs w:val="32"/>
        </w:rPr>
      </w:pPr>
    </w:p>
    <w:p w14:paraId="43CCDA7E">
      <w:pPr>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宋体" w:cs="Times New Roman"/>
          <w:b/>
          <w:color w:val="000000"/>
          <w:sz w:val="32"/>
          <w:szCs w:val="32"/>
          <w:lang w:val="en-US" w:eastAsia="zh-CN"/>
        </w:rPr>
      </w:pPr>
    </w:p>
    <w:p w14:paraId="4C017584">
      <w:pPr>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cs="Times New Roman"/>
          <w:b/>
          <w:color w:val="000000"/>
          <w:sz w:val="32"/>
          <w:szCs w:val="32"/>
        </w:rPr>
      </w:pPr>
    </w:p>
    <w:p w14:paraId="5636C91B">
      <w:pPr>
        <w:keepNext w:val="0"/>
        <w:keepLines w:val="0"/>
        <w:pageBreakBefore w:val="0"/>
        <w:widowControl w:val="0"/>
        <w:kinsoku/>
        <w:wordWrap/>
        <w:overflowPunct/>
        <w:topLinePunct w:val="0"/>
        <w:bidi w:val="0"/>
        <w:snapToGrid/>
        <w:spacing w:line="460" w:lineRule="exact"/>
        <w:jc w:val="center"/>
        <w:textAlignment w:val="auto"/>
        <w:rPr>
          <w:rFonts w:hint="default" w:ascii="Times New Roman" w:hAnsi="Times New Roman" w:eastAsia="仿宋_GB2312" w:cs="Times New Roman"/>
          <w:b/>
          <w:color w:val="000000"/>
          <w:sz w:val="32"/>
          <w:szCs w:val="32"/>
        </w:rPr>
      </w:pPr>
    </w:p>
    <w:p w14:paraId="76D79DCF">
      <w:pPr>
        <w:pStyle w:val="2"/>
        <w:keepNext w:val="0"/>
        <w:keepLines w:val="0"/>
        <w:pageBreakBefore w:val="0"/>
        <w:widowControl w:val="0"/>
        <w:kinsoku/>
        <w:wordWrap/>
        <w:overflowPunct/>
        <w:topLinePunct w:val="0"/>
        <w:bidi w:val="0"/>
        <w:snapToGrid/>
        <w:spacing w:line="460" w:lineRule="exact"/>
        <w:textAlignment w:val="auto"/>
        <w:rPr>
          <w:rFonts w:hint="default" w:ascii="Times New Roman" w:hAnsi="Times New Roman" w:cs="Times New Roman"/>
        </w:rPr>
      </w:pPr>
    </w:p>
    <w:p w14:paraId="6B6AAA51">
      <w:pPr>
        <w:pStyle w:val="7"/>
        <w:keepNext w:val="0"/>
        <w:keepLines w:val="0"/>
        <w:pageBreakBefore w:val="0"/>
        <w:widowControl w:val="0"/>
        <w:kinsoku/>
        <w:wordWrap/>
        <w:overflowPunct/>
        <w:topLinePunct w:val="0"/>
        <w:bidi w:val="0"/>
        <w:snapToGrid/>
        <w:spacing w:line="460" w:lineRule="exact"/>
        <w:ind w:left="0" w:leftChars="0" w:firstLine="0" w:firstLineChars="0"/>
        <w:textAlignment w:val="auto"/>
        <w:rPr>
          <w:rFonts w:hint="default" w:ascii="Times New Roman" w:hAnsi="Times New Roman" w:cs="Times New Roman"/>
          <w:color w:val="000000"/>
          <w:sz w:val="32"/>
          <w:szCs w:val="32"/>
        </w:rPr>
      </w:pPr>
    </w:p>
    <w:p w14:paraId="23E44F30">
      <w:pPr>
        <w:keepNext w:val="0"/>
        <w:keepLines w:val="0"/>
        <w:pageBreakBefore w:val="0"/>
        <w:widowControl w:val="0"/>
        <w:kinsoku/>
        <w:wordWrap/>
        <w:overflowPunct/>
        <w:topLinePunct w:val="0"/>
        <w:bidi w:val="0"/>
        <w:snapToGrid/>
        <w:spacing w:line="460" w:lineRule="exact"/>
        <w:textAlignment w:val="auto"/>
        <w:rPr>
          <w:rFonts w:hint="default" w:ascii="Times New Roman" w:hAnsi="Times New Roman" w:cs="Times New Roman"/>
          <w:color w:val="000000"/>
          <w:sz w:val="32"/>
          <w:szCs w:val="32"/>
        </w:rPr>
      </w:pPr>
    </w:p>
    <w:p w14:paraId="4508F136">
      <w:pPr>
        <w:keepNext w:val="0"/>
        <w:keepLines w:val="0"/>
        <w:pageBreakBefore w:val="0"/>
        <w:widowControl w:val="0"/>
        <w:kinsoku/>
        <w:wordWrap/>
        <w:overflowPunct/>
        <w:topLinePunct w:val="0"/>
        <w:bidi w:val="0"/>
        <w:snapToGrid/>
        <w:spacing w:line="460" w:lineRule="exact"/>
        <w:jc w:val="center"/>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eastAsia" w:eastAsia="仿宋_GB2312" w:cs="Times New Roman"/>
          <w:color w:val="auto"/>
          <w:sz w:val="32"/>
          <w:szCs w:val="32"/>
          <w:highlight w:val="none"/>
          <w:lang w:val="en-US" w:eastAsia="zh-CN"/>
        </w:rPr>
        <w:t>15</w:t>
      </w:r>
      <w:bookmarkStart w:id="0" w:name="_GoBack"/>
      <w:bookmarkEnd w:id="0"/>
      <w:r>
        <w:rPr>
          <w:rFonts w:hint="default" w:ascii="Times New Roman" w:hAnsi="Times New Roman" w:eastAsia="仿宋_GB2312" w:cs="Times New Roman"/>
          <w:color w:val="000000"/>
          <w:sz w:val="32"/>
          <w:szCs w:val="32"/>
          <w:highlight w:val="none"/>
        </w:rPr>
        <w:t>号</w:t>
      </w:r>
    </w:p>
    <w:p w14:paraId="11238DF1">
      <w:pPr>
        <w:spacing w:line="360" w:lineRule="exact"/>
        <w:jc w:val="both"/>
        <w:rPr>
          <w:rFonts w:hint="default" w:ascii="Times New Roman" w:hAnsi="Times New Roman" w:eastAsia="方正小标宋简体" w:cs="Times New Roman"/>
          <w:color w:val="000000"/>
          <w:sz w:val="32"/>
          <w:szCs w:val="32"/>
          <w:highlight w:val="none"/>
        </w:rPr>
      </w:pPr>
    </w:p>
    <w:p w14:paraId="52D198D8">
      <w:pPr>
        <w:spacing w:line="360" w:lineRule="exact"/>
        <w:jc w:val="center"/>
        <w:rPr>
          <w:rFonts w:hint="default" w:ascii="Times New Roman" w:hAnsi="Times New Roman" w:eastAsia="方正小标宋简体" w:cs="Times New Roman"/>
          <w:color w:val="000000"/>
          <w:sz w:val="32"/>
          <w:szCs w:val="32"/>
        </w:rPr>
      </w:pPr>
    </w:p>
    <w:p w14:paraId="12948434">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14:paraId="2A6D273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关于河南连缀再生资源有限公司年产600吨</w:t>
      </w:r>
    </w:p>
    <w:p w14:paraId="0FEB8A50">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塑料制品建设项目环境影响</w:t>
      </w:r>
    </w:p>
    <w:p w14:paraId="59D25703">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报告表</w:t>
      </w:r>
      <w:r>
        <w:rPr>
          <w:rFonts w:hint="default" w:ascii="Times New Roman" w:hAnsi="Times New Roman" w:eastAsia="方正小标宋简体" w:cs="Times New Roman"/>
          <w:color w:val="000000"/>
          <w:sz w:val="44"/>
          <w:szCs w:val="44"/>
          <w:highlight w:val="none"/>
        </w:rPr>
        <w:t>的批复</w:t>
      </w:r>
    </w:p>
    <w:p w14:paraId="75CD088D">
      <w:pPr>
        <w:pStyle w:val="2"/>
        <w:rPr>
          <w:rFonts w:hint="default" w:ascii="Times New Roman" w:hAnsi="Times New Roman" w:cs="Times New Roman"/>
          <w:color w:val="000000"/>
          <w:sz w:val="44"/>
          <w:szCs w:val="44"/>
        </w:rPr>
      </w:pPr>
    </w:p>
    <w:p w14:paraId="3E49A97C">
      <w:pPr>
        <w:pStyle w:val="2"/>
        <w:rPr>
          <w:rFonts w:hint="default" w:ascii="Times New Roman" w:hAnsi="Times New Roman" w:cs="Times New Roman"/>
          <w:color w:val="000000"/>
          <w:sz w:val="32"/>
          <w:szCs w:val="32"/>
        </w:rPr>
      </w:pPr>
    </w:p>
    <w:p w14:paraId="595210D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河南连缀再生资源有限公司：</w:t>
      </w:r>
    </w:p>
    <w:p w14:paraId="2A004ACD">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公司（统一社会信用代码：91410527MA9LCRYWXH）上报的由河南高晟环保科技有限公司高盼盼（职业资格证书管理号：201905035410000014）主持编制完成的</w:t>
      </w:r>
      <w:r>
        <w:rPr>
          <w:rFonts w:hint="default" w:ascii="Times New Roman" w:hAnsi="Times New Roman" w:eastAsia="仿宋_GB2312" w:cs="Times New Roman"/>
          <w:sz w:val="32"/>
          <w:szCs w:val="32"/>
        </w:rPr>
        <w:t>《河南连缀再生资源有限公司年产600吨塑料制品建设项目环境影响报告表（报批版）》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该项目位于河南省安阳市滑县留固镇双营中街村西经济开发区一号，总投资</w:t>
      </w:r>
      <w:r>
        <w:rPr>
          <w:rFonts w:hint="eastAsia" w:eastAsia="仿宋_GB2312" w:cs="Times New Roman"/>
          <w:sz w:val="32"/>
          <w:szCs w:val="32"/>
          <w:lang w:val="en-US" w:eastAsia="zh-CN"/>
        </w:rPr>
        <w:t>800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14:paraId="5954B16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14:paraId="183ED6A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0AF4CD0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14:paraId="18CC2F5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039CBB2D">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14:paraId="20CCDD4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047BE2C9">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1. 废气：加热、挤出、</w:t>
      </w:r>
      <w:r>
        <w:rPr>
          <w:rFonts w:hint="default" w:ascii="Times New Roman" w:hAnsi="Times New Roman" w:eastAsia="仿宋_GB2312" w:cs="Times New Roman"/>
          <w:color w:val="000000"/>
          <w:sz w:val="32"/>
          <w:szCs w:val="32"/>
          <w:highlight w:val="none"/>
          <w:lang w:val="en-US" w:eastAsia="zh-CN"/>
        </w:rPr>
        <w:t>注塑</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造型</w:t>
      </w:r>
      <w:r>
        <w:rPr>
          <w:rFonts w:hint="eastAsia" w:eastAsia="仿宋_GB2312" w:cs="Times New Roman"/>
          <w:color w:val="000000"/>
          <w:sz w:val="32"/>
          <w:szCs w:val="32"/>
          <w:highlight w:val="none"/>
          <w:lang w:val="en-US" w:eastAsia="zh-CN"/>
        </w:rPr>
        <w:t>工序</w:t>
      </w:r>
      <w:r>
        <w:rPr>
          <w:rFonts w:hint="eastAsia" w:eastAsia="仿宋_GB2312" w:cs="Times New Roman"/>
          <w:color w:val="000000"/>
          <w:sz w:val="32"/>
          <w:szCs w:val="32"/>
          <w:lang w:val="en-US" w:eastAsia="zh-CN"/>
        </w:rPr>
        <w:t>二次密闭</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废气</w:t>
      </w:r>
      <w:r>
        <w:rPr>
          <w:rFonts w:hint="eastAsia" w:eastAsia="仿宋_GB2312" w:cs="Times New Roman"/>
          <w:sz w:val="32"/>
          <w:szCs w:val="32"/>
          <w:lang w:val="en-US" w:eastAsia="zh-CN"/>
        </w:rPr>
        <w:t>负压收集后由“</w:t>
      </w:r>
      <w:r>
        <w:rPr>
          <w:rFonts w:hint="default" w:ascii="Times New Roman" w:hAnsi="Times New Roman" w:eastAsia="仿宋_GB2312" w:cs="Times New Roman"/>
          <w:sz w:val="32"/>
          <w:szCs w:val="32"/>
        </w:rPr>
        <w:t>UV 光氧催化+活性炭吸附装置</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装置净化处理</w:t>
      </w:r>
      <w:r>
        <w:rPr>
          <w:rFonts w:hint="eastAsia" w:eastAsia="仿宋_GB2312" w:cs="Times New Roman"/>
          <w:sz w:val="32"/>
          <w:szCs w:val="32"/>
          <w:lang w:val="en-US" w:eastAsia="zh-CN"/>
        </w:rPr>
        <w:t>通过</w:t>
      </w:r>
      <w:r>
        <w:rPr>
          <w:rFonts w:hint="default" w:ascii="Times New Roman" w:hAnsi="Times New Roman" w:eastAsia="仿宋_GB2312" w:cs="Times New Roman"/>
          <w:sz w:val="32"/>
          <w:szCs w:val="32"/>
        </w:rPr>
        <w:t>15m高排气筒</w:t>
      </w:r>
      <w:r>
        <w:rPr>
          <w:rFonts w:hint="eastAsia" w:eastAsia="仿宋_GB2312" w:cs="Times New Roman"/>
          <w:sz w:val="32"/>
          <w:szCs w:val="32"/>
          <w:lang w:val="en-US" w:eastAsia="zh-CN"/>
        </w:rPr>
        <w:t>排放</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highlight w:val="none"/>
          <w:lang w:val="en-US" w:eastAsia="zh-CN"/>
        </w:rPr>
        <w:t>废气排放须满足</w:t>
      </w:r>
      <w:r>
        <w:rPr>
          <w:rFonts w:hint="default" w:ascii="Times New Roman" w:hAnsi="Times New Roman" w:eastAsia="仿宋_GB2312" w:cs="Times New Roman"/>
          <w:sz w:val="32"/>
          <w:szCs w:val="32"/>
          <w:highlight w:val="none"/>
          <w:lang w:val="en-US" w:eastAsia="zh-CN"/>
        </w:rPr>
        <w:t>《合成树脂工业污染物排放标准》（GB 31572—2015）及其2024年修改单要求、《河南省重污染天气通用行业应急减排措施制定技术指南（2021年修订版）》中塑料制品行业A级要求、《挥发性有机物无组织排放控制标准》（GB37822-2019）限值要求及《关于全省开展工业企业挥发性有机物专项治理工作中排放建议值的通知》（豫环攻坚办〔2017〕162号）要求。</w:t>
      </w:r>
    </w:p>
    <w:p w14:paraId="693A875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2. 废水：冷却废水循环使用定期更换，更换后的废水用于厂区洒水降尘；生活废水</w:t>
      </w:r>
      <w:r>
        <w:rPr>
          <w:rFonts w:hint="eastAsia" w:eastAsia="仿宋_GB2312" w:cs="Times New Roman"/>
          <w:bCs/>
          <w:color w:val="000000"/>
          <w:sz w:val="32"/>
          <w:szCs w:val="32"/>
          <w:lang w:val="en-US" w:eastAsia="zh-CN"/>
        </w:rPr>
        <w:t>依托现有</w:t>
      </w:r>
      <w:r>
        <w:rPr>
          <w:rFonts w:hint="default" w:ascii="Times New Roman" w:hAnsi="Times New Roman" w:eastAsia="仿宋_GB2312" w:cs="Times New Roman"/>
          <w:bCs/>
          <w:color w:val="000000"/>
          <w:sz w:val="32"/>
          <w:szCs w:val="32"/>
          <w:lang w:val="en-US" w:eastAsia="zh-CN"/>
        </w:rPr>
        <w:t>化粪池（</w:t>
      </w:r>
      <w:r>
        <w:rPr>
          <w:rFonts w:hint="eastAsia" w:eastAsia="仿宋_GB2312" w:cs="Times New Roman"/>
          <w:bCs/>
          <w:color w:val="000000"/>
          <w:sz w:val="32"/>
          <w:szCs w:val="32"/>
          <w:lang w:val="en-US" w:eastAsia="zh-CN"/>
        </w:rPr>
        <w:t>10</w:t>
      </w:r>
      <w:r>
        <w:rPr>
          <w:rFonts w:hint="default" w:ascii="Times New Roman" w:hAnsi="Times New Roman" w:eastAsia="仿宋_GB2312" w:cs="Times New Roman"/>
          <w:bCs/>
          <w:color w:val="000000"/>
          <w:sz w:val="32"/>
          <w:szCs w:val="32"/>
          <w:lang w:val="en-US" w:eastAsia="zh-CN"/>
        </w:rPr>
        <w:t>m³）处理后由建设单位定期清掏用于肥田。</w:t>
      </w:r>
    </w:p>
    <w:p w14:paraId="6C8BB03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3. </w:t>
      </w: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采取基础减振</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厂房隔声</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距离衰减等措施后，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14:paraId="4EEE796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4. </w:t>
      </w:r>
      <w:r>
        <w:rPr>
          <w:rFonts w:hint="default" w:ascii="Times New Roman" w:hAnsi="Times New Roman" w:eastAsia="仿宋_GB2312" w:cs="Times New Roman"/>
          <w:color w:val="000000"/>
          <w:sz w:val="32"/>
          <w:szCs w:val="32"/>
        </w:rPr>
        <w:t>固体废物：废包装</w:t>
      </w:r>
      <w:r>
        <w:rPr>
          <w:rFonts w:hint="eastAsia" w:eastAsia="仿宋_GB2312" w:cs="Times New Roman"/>
          <w:color w:val="000000"/>
          <w:sz w:val="32"/>
          <w:szCs w:val="32"/>
          <w:lang w:val="en-US" w:eastAsia="zh-CN"/>
        </w:rPr>
        <w:t>物、残次品及边角料经</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一般工业固废暂存间</w:t>
      </w:r>
      <w:r>
        <w:rPr>
          <w:rFonts w:hint="eastAsia" w:eastAsia="仿宋_GB2312" w:cs="Times New Roman"/>
          <w:color w:val="000000"/>
          <w:sz w:val="32"/>
          <w:szCs w:val="32"/>
          <w:lang w:val="en-US" w:eastAsia="zh-CN"/>
        </w:rPr>
        <w:t>暂存后</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定期外售</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废活性炭</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废UV灯管</w:t>
      </w:r>
      <w:r>
        <w:rPr>
          <w:rFonts w:hint="default" w:ascii="Times New Roman" w:hAnsi="Times New Roman" w:eastAsia="仿宋_GB2312" w:cs="Times New Roman"/>
          <w:color w:val="000000"/>
          <w:sz w:val="32"/>
          <w:szCs w:val="32"/>
        </w:rPr>
        <w:t>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14:paraId="10A319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本项目建成后主要污染物排放总量控制指标为：</w:t>
      </w:r>
      <w:r>
        <w:rPr>
          <w:rFonts w:hint="default" w:ascii="Times New Roman" w:hAnsi="Times New Roman" w:eastAsia="仿宋_GB2312" w:cs="Times New Roman"/>
          <w:color w:val="000000"/>
          <w:sz w:val="32"/>
          <w:szCs w:val="32"/>
          <w:highlight w:val="none"/>
        </w:rPr>
        <w:t>VOCs0.2349</w:t>
      </w:r>
      <w:r>
        <w:rPr>
          <w:rFonts w:hint="default" w:ascii="Times New Roman" w:hAnsi="Times New Roman" w:eastAsia="仿宋_GB2312" w:cs="Times New Roman"/>
          <w:color w:val="000000"/>
          <w:sz w:val="32"/>
          <w:szCs w:val="32"/>
          <w:lang w:val="en-US" w:eastAsia="zh-CN"/>
        </w:rPr>
        <w:t>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rPr>
        <w:t>。VOCs从河南中照塑业有限公司减排量中倍量替代。</w:t>
      </w:r>
    </w:p>
    <w:p w14:paraId="0FA5F1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14:paraId="68BCE7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14:paraId="62290D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14:paraId="63628E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14:paraId="2208B20C">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p>
    <w:p w14:paraId="24EC581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仿宋_GB2312" w:cs="Times New Roman"/>
          <w:color w:val="000000"/>
          <w:sz w:val="32"/>
          <w:szCs w:val="32"/>
          <w:lang w:val="en-US" w:eastAsia="zh-CN"/>
        </w:rPr>
      </w:pPr>
    </w:p>
    <w:p w14:paraId="6E251D8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w:t>
      </w:r>
    </w:p>
    <w:p w14:paraId="6BF5FF4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6FFE79C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7DF575C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22DBC66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1185C5A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4E82AD4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36DBE89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15B035F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684353C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33DAB16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14:paraId="7220DE8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14:paraId="17C6AA41">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eastAsia="仿宋_GB2312" w:cs="Times New Roman"/>
          <w:color w:val="000000"/>
          <w:w w:val="92"/>
          <w:sz w:val="32"/>
          <w:szCs w:val="32"/>
          <w:lang w:val="en-US" w:eastAsia="zh-CN"/>
        </w:rPr>
        <w:t>留固</w:t>
      </w:r>
      <w:r>
        <w:rPr>
          <w:rFonts w:hint="default" w:ascii="Times New Roman" w:hAnsi="Times New Roman" w:eastAsia="仿宋_GB2312" w:cs="Times New Roman"/>
          <w:color w:val="000000"/>
          <w:w w:val="92"/>
          <w:sz w:val="32"/>
          <w:szCs w:val="32"/>
        </w:rPr>
        <w:t>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14:paraId="0655ABC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2024年</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1073">
    <w:pPr>
      <w:pStyle w:val="13"/>
      <w:framePr w:wrap="around" w:vAnchor="text" w:hAnchor="margin" w:xAlign="outside" w:y="1"/>
      <w:rPr>
        <w:rStyle w:val="22"/>
        <w:rFonts w:ascii="宋体"/>
        <w:sz w:val="28"/>
        <w:szCs w:val="28"/>
      </w:rPr>
    </w:pP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- 3 -</w:t>
    </w:r>
    <w:r>
      <w:rPr>
        <w:rFonts w:ascii="宋体" w:hAnsi="宋体"/>
        <w:sz w:val="28"/>
        <w:szCs w:val="28"/>
      </w:rPr>
      <w:fldChar w:fldCharType="end"/>
    </w:r>
  </w:p>
  <w:p w14:paraId="733D7873">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14:paraId="434E9066">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14:paraId="434E9066">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6D2D">
    <w:pPr>
      <w:pStyle w:val="13"/>
      <w:framePr w:wrap="around" w:vAnchor="text" w:hAnchor="margin" w:xAlign="outside" w:y="1"/>
      <w:rPr>
        <w:rStyle w:val="22"/>
      </w:rPr>
    </w:pPr>
    <w:r>
      <w:fldChar w:fldCharType="begin"/>
    </w:r>
    <w:r>
      <w:rPr>
        <w:rStyle w:val="22"/>
      </w:rPr>
      <w:instrText xml:space="preserve">PAGE  </w:instrText>
    </w:r>
    <w:r>
      <w:fldChar w:fldCharType="separate"/>
    </w:r>
    <w:r>
      <w:rPr>
        <w:rStyle w:val="22"/>
      </w:rPr>
      <w:t>- 13 -</w:t>
    </w:r>
    <w:r>
      <w:fldChar w:fldCharType="end"/>
    </w:r>
  </w:p>
  <w:p w14:paraId="53ABD8C2">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B2A0">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6"/>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3D0B8F"/>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4D52E98"/>
    <w:rsid w:val="050132A2"/>
    <w:rsid w:val="053A2D32"/>
    <w:rsid w:val="05593C6D"/>
    <w:rsid w:val="058E1F33"/>
    <w:rsid w:val="05D54DF4"/>
    <w:rsid w:val="06CC08F4"/>
    <w:rsid w:val="06D56A69"/>
    <w:rsid w:val="06DE664F"/>
    <w:rsid w:val="06E72366"/>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750671"/>
    <w:rsid w:val="1F870493"/>
    <w:rsid w:val="1F957C80"/>
    <w:rsid w:val="1FAD0E9D"/>
    <w:rsid w:val="1FF526DF"/>
    <w:rsid w:val="20390790"/>
    <w:rsid w:val="20916237"/>
    <w:rsid w:val="20AD475D"/>
    <w:rsid w:val="211C7E96"/>
    <w:rsid w:val="2121158D"/>
    <w:rsid w:val="215C0EF4"/>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4A3D36"/>
    <w:rsid w:val="255F3DE6"/>
    <w:rsid w:val="259F48FF"/>
    <w:rsid w:val="25D0124F"/>
    <w:rsid w:val="26731C08"/>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8C029F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AB0AD4"/>
    <w:rsid w:val="5DD00EDD"/>
    <w:rsid w:val="5E35097B"/>
    <w:rsid w:val="5E8918A8"/>
    <w:rsid w:val="5F171D4D"/>
    <w:rsid w:val="5F5A6C31"/>
    <w:rsid w:val="5F610D25"/>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C517EC"/>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AC63B4"/>
    <w:rsid w:val="79D313F3"/>
    <w:rsid w:val="7A5E7E3A"/>
    <w:rsid w:val="7B145303"/>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autoRedefine/>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1">
    <w:name w:val="Default Paragraph Font"/>
    <w:autoRedefine/>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Normal Indent"/>
    <w:basedOn w:val="1"/>
    <w:qFormat/>
    <w:uiPriority w:val="0"/>
    <w:pPr>
      <w:ind w:firstLine="420"/>
    </w:pPr>
    <w:rPr>
      <w:szCs w:val="20"/>
    </w:rPr>
  </w:style>
  <w:style w:type="paragraph" w:styleId="7">
    <w:name w:val="index 5"/>
    <w:basedOn w:val="1"/>
    <w:next w:val="1"/>
    <w:semiHidden/>
    <w:qFormat/>
    <w:uiPriority w:val="0"/>
    <w:pPr>
      <w:ind w:left="1680"/>
    </w:pPr>
    <w:rPr>
      <w:rFonts w:eastAsia="Times New Roman"/>
      <w:sz w:val="32"/>
      <w:szCs w:val="24"/>
    </w:rPr>
  </w:style>
  <w:style w:type="paragraph" w:styleId="8">
    <w:name w:val="annotation text"/>
    <w:basedOn w:val="1"/>
    <w:qFormat/>
    <w:uiPriority w:val="0"/>
    <w:pPr>
      <w:jc w:val="left"/>
    </w:pPr>
  </w:style>
  <w:style w:type="paragraph" w:styleId="9">
    <w:name w:val="Body Text"/>
    <w:basedOn w:val="1"/>
    <w:next w:val="1"/>
    <w:autoRedefine/>
    <w:qFormat/>
    <w:uiPriority w:val="0"/>
    <w:rPr>
      <w:b/>
      <w:bCs/>
      <w:sz w:val="24"/>
    </w:rPr>
  </w:style>
  <w:style w:type="paragraph" w:styleId="10">
    <w:name w:val="Body Text Indent"/>
    <w:basedOn w:val="1"/>
    <w:next w:val="1"/>
    <w:qFormat/>
    <w:uiPriority w:val="0"/>
    <w:pPr>
      <w:spacing w:line="360" w:lineRule="auto"/>
      <w:ind w:firstLine="480"/>
    </w:pPr>
    <w:rPr>
      <w:sz w:val="24"/>
    </w:rPr>
  </w:style>
  <w:style w:type="paragraph" w:styleId="11">
    <w:name w:val="Block Text"/>
    <w:basedOn w:val="1"/>
    <w:autoRedefine/>
    <w:qFormat/>
    <w:uiPriority w:val="0"/>
    <w:pPr>
      <w:spacing w:line="320" w:lineRule="exact"/>
      <w:ind w:left="113" w:right="113"/>
      <w:jc w:val="center"/>
    </w:pPr>
    <w:rPr>
      <w:b/>
      <w:sz w:val="13"/>
      <w:szCs w:val="15"/>
    </w:rPr>
  </w:style>
  <w:style w:type="paragraph" w:styleId="12">
    <w:name w:val="Date"/>
    <w:basedOn w:val="1"/>
    <w:next w:val="1"/>
    <w:autoRedefine/>
    <w:qFormat/>
    <w:uiPriority w:val="0"/>
    <w:pPr>
      <w:ind w:left="100" w:leftChars="2500"/>
    </w:p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autoRedefine/>
    <w:qFormat/>
    <w:uiPriority w:val="0"/>
    <w:pPr>
      <w:spacing w:line="320" w:lineRule="exact"/>
      <w:jc w:val="center"/>
    </w:pPr>
    <w:rPr>
      <w:sz w:val="22"/>
    </w:rPr>
  </w:style>
  <w:style w:type="paragraph" w:styleId="16">
    <w:name w:val="Body Text 2"/>
    <w:basedOn w:val="1"/>
    <w:autoRedefine/>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autoRedefine/>
    <w:qFormat/>
    <w:uiPriority w:val="0"/>
    <w:pPr>
      <w:spacing w:after="120" w:line="240" w:lineRule="auto"/>
      <w:ind w:firstLine="420" w:firstLineChars="100"/>
    </w:pPr>
    <w:rPr>
      <w:sz w:val="21"/>
    </w:rPr>
  </w:style>
  <w:style w:type="paragraph" w:styleId="19">
    <w:name w:val="Body Text First Indent 2"/>
    <w:basedOn w:val="10"/>
    <w:autoRedefine/>
    <w:qFormat/>
    <w:uiPriority w:val="0"/>
    <w:pPr>
      <w:ind w:firstLine="200" w:firstLineChars="200"/>
    </w:pPr>
    <w:rPr>
      <w:szCs w:val="21"/>
    </w:rPr>
  </w:style>
  <w:style w:type="character" w:styleId="22">
    <w:name w:val="page number"/>
    <w:basedOn w:val="21"/>
    <w:autoRedefine/>
    <w:qFormat/>
    <w:uiPriority w:val="0"/>
    <w:rPr>
      <w:rFonts w:cs="Times New Roman"/>
    </w:rPr>
  </w:style>
  <w:style w:type="character" w:styleId="23">
    <w:name w:val="FollowedHyperlink"/>
    <w:basedOn w:val="21"/>
    <w:autoRedefine/>
    <w:qFormat/>
    <w:uiPriority w:val="0"/>
    <w:rPr>
      <w:color w:val="333333"/>
      <w:u w:val="none"/>
    </w:rPr>
  </w:style>
  <w:style w:type="character" w:styleId="24">
    <w:name w:val="Emphasis"/>
    <w:basedOn w:val="21"/>
    <w:autoRedefine/>
    <w:qFormat/>
    <w:locked/>
    <w:uiPriority w:val="0"/>
  </w:style>
  <w:style w:type="character" w:styleId="25">
    <w:name w:val="HTML Definition"/>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333333"/>
      <w:u w:val="none"/>
    </w:rPr>
  </w:style>
  <w:style w:type="character" w:styleId="28">
    <w:name w:val="HTML Cite"/>
    <w:basedOn w:val="21"/>
    <w:autoRedefine/>
    <w:qFormat/>
    <w:uiPriority w:val="0"/>
  </w:style>
  <w:style w:type="paragraph" w:customStyle="1" w:styleId="29">
    <w:name w:val="表格文字"/>
    <w:basedOn w:val="1"/>
    <w:autoRedefine/>
    <w:qFormat/>
    <w:uiPriority w:val="0"/>
    <w:pPr>
      <w:adjustRightInd w:val="0"/>
      <w:spacing w:line="240" w:lineRule="auto"/>
      <w:ind w:firstLine="0" w:firstLineChars="0"/>
      <w:jc w:val="center"/>
    </w:pPr>
    <w:rPr>
      <w:sz w:val="21"/>
    </w:rPr>
  </w:style>
  <w:style w:type="character" w:customStyle="1" w:styleId="30">
    <w:name w:val="hover18"/>
    <w:basedOn w:val="21"/>
    <w:autoRedefine/>
    <w:qFormat/>
    <w:uiPriority w:val="0"/>
    <w:rPr>
      <w:color w:val="5FB878"/>
    </w:rPr>
  </w:style>
  <w:style w:type="character" w:customStyle="1" w:styleId="31">
    <w:name w:val="hover19"/>
    <w:basedOn w:val="21"/>
    <w:autoRedefine/>
    <w:qFormat/>
    <w:uiPriority w:val="0"/>
    <w:rPr>
      <w:color w:val="5FB878"/>
    </w:rPr>
  </w:style>
  <w:style w:type="character" w:customStyle="1" w:styleId="32">
    <w:name w:val="layui-laypage-curr"/>
    <w:basedOn w:val="21"/>
    <w:autoRedefine/>
    <w:qFormat/>
    <w:uiPriority w:val="0"/>
  </w:style>
  <w:style w:type="character" w:customStyle="1" w:styleId="33">
    <w:name w:val="hover20"/>
    <w:basedOn w:val="21"/>
    <w:autoRedefine/>
    <w:qFormat/>
    <w:uiPriority w:val="0"/>
    <w:rPr>
      <w:color w:val="FFFFFF"/>
    </w:rPr>
  </w:style>
  <w:style w:type="character" w:customStyle="1" w:styleId="34">
    <w:name w:val="layui-this"/>
    <w:basedOn w:val="21"/>
    <w:autoRedefine/>
    <w:qFormat/>
    <w:uiPriority w:val="0"/>
    <w:rPr>
      <w:bdr w:val="single" w:color="EEEEEE" w:sz="6" w:space="0"/>
      <w:shd w:val="clear" w:color="auto" w:fill="FFFFFF"/>
    </w:rPr>
  </w:style>
  <w:style w:type="character" w:customStyle="1" w:styleId="35">
    <w:name w:val="first-child"/>
    <w:basedOn w:val="21"/>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 Char"/>
    <w:basedOn w:val="1"/>
    <w:autoRedefine/>
    <w:qFormat/>
    <w:uiPriority w:val="0"/>
    <w:rPr>
      <w:rFonts w:ascii="Times New Roman" w:hAnsi="Times New Roman"/>
    </w:rPr>
  </w:style>
  <w:style w:type="character" w:customStyle="1" w:styleId="39">
    <w:name w:val="uni-font-connect"/>
    <w:basedOn w:val="21"/>
    <w:autoRedefine/>
    <w:qFormat/>
    <w:uiPriority w:val="0"/>
  </w:style>
  <w:style w:type="character" w:customStyle="1" w:styleId="40">
    <w:name w:val="tmpztreemove_arrow"/>
    <w:basedOn w:val="21"/>
    <w:autoRedefine/>
    <w:qFormat/>
    <w:uiPriority w:val="0"/>
  </w:style>
  <w:style w:type="character" w:customStyle="1" w:styleId="41">
    <w:name w:val="l-btn-icon-left"/>
    <w:basedOn w:val="21"/>
    <w:autoRedefine/>
    <w:qFormat/>
    <w:uiPriority w:val="0"/>
  </w:style>
  <w:style w:type="character" w:customStyle="1" w:styleId="42">
    <w:name w:val="layui-layer-tabnow"/>
    <w:basedOn w:val="21"/>
    <w:autoRedefine/>
    <w:qFormat/>
    <w:uiPriority w:val="0"/>
    <w:rPr>
      <w:bdr w:val="single" w:color="CCCCCC" w:sz="6" w:space="0"/>
      <w:shd w:val="clear" w:color="auto" w:fill="FFFFFF"/>
    </w:rPr>
  </w:style>
  <w:style w:type="character" w:customStyle="1" w:styleId="43">
    <w:name w:val="l-btn-icon-right"/>
    <w:basedOn w:val="21"/>
    <w:autoRedefine/>
    <w:qFormat/>
    <w:uiPriority w:val="0"/>
  </w:style>
  <w:style w:type="character" w:customStyle="1" w:styleId="44">
    <w:name w:val="l-btn-left"/>
    <w:basedOn w:val="21"/>
    <w:autoRedefine/>
    <w:qFormat/>
    <w:uiPriority w:val="0"/>
  </w:style>
  <w:style w:type="character" w:customStyle="1" w:styleId="45">
    <w:name w:val="l-btn-left1"/>
    <w:basedOn w:val="21"/>
    <w:autoRedefine/>
    <w:qFormat/>
    <w:uiPriority w:val="0"/>
  </w:style>
  <w:style w:type="character" w:customStyle="1" w:styleId="46">
    <w:name w:val="l-btn-left2"/>
    <w:basedOn w:val="21"/>
    <w:autoRedefine/>
    <w:qFormat/>
    <w:uiPriority w:val="0"/>
  </w:style>
  <w:style w:type="character" w:customStyle="1" w:styleId="47">
    <w:name w:val="l-btn-left3"/>
    <w:basedOn w:val="21"/>
    <w:autoRedefine/>
    <w:qFormat/>
    <w:uiPriority w:val="0"/>
  </w:style>
  <w:style w:type="character" w:customStyle="1" w:styleId="48">
    <w:name w:val="l-btn-text"/>
    <w:basedOn w:val="21"/>
    <w:autoRedefine/>
    <w:qFormat/>
    <w:uiPriority w:val="0"/>
    <w:rPr>
      <w:vertAlign w:val="baseline"/>
    </w:rPr>
  </w:style>
  <w:style w:type="character" w:customStyle="1" w:styleId="49">
    <w:name w:val="l-btn-empty"/>
    <w:basedOn w:val="21"/>
    <w:autoRedefine/>
    <w:qFormat/>
    <w:uiPriority w:val="0"/>
  </w:style>
  <w:style w:type="character" w:customStyle="1" w:styleId="50">
    <w:name w:val="button"/>
    <w:basedOn w:val="21"/>
    <w:autoRedefine/>
    <w:qFormat/>
    <w:uiPriority w:val="0"/>
  </w:style>
  <w:style w:type="character" w:customStyle="1" w:styleId="51">
    <w:name w:val="l-btn-left4"/>
    <w:basedOn w:val="21"/>
    <w:autoRedefine/>
    <w:qFormat/>
    <w:uiPriority w:val="0"/>
  </w:style>
  <w:style w:type="character" w:customStyle="1" w:styleId="52">
    <w:name w:val="l-btn-left5"/>
    <w:basedOn w:val="21"/>
    <w:autoRedefine/>
    <w:qFormat/>
    <w:uiPriority w:val="0"/>
  </w:style>
  <w:style w:type="paragraph" w:customStyle="1" w:styleId="53">
    <w:name w:val="表格"/>
    <w:basedOn w:val="15"/>
    <w:next w:val="1"/>
    <w:autoRedefine/>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1513</Words>
  <Characters>1651</Characters>
  <Lines>9</Lines>
  <Paragraphs>2</Paragraphs>
  <TotalTime>0</TotalTime>
  <ScaleCrop>false</ScaleCrop>
  <LinksUpToDate>false</LinksUpToDate>
  <CharactersWithSpaces>1681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大卫</cp:lastModifiedBy>
  <cp:lastPrinted>2024-05-09T00:24:00Z</cp:lastPrinted>
  <dcterms:modified xsi:type="dcterms:W3CDTF">2024-07-05T01:35:56Z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81D855EB54A54ADF8E6453A2322E50EF_13</vt:lpwstr>
  </property>
</Properties>
</file>