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BSK--GBK1-0" w:hAnsi="FZXBSK--GBK1-0" w:eastAsia="FZXBSK--GBK1-0" w:cs="FZXBSK--GBK1-0"/>
          <w:color w:val="000000"/>
          <w:kern w:val="0"/>
          <w:sz w:val="44"/>
          <w:szCs w:val="44"/>
          <w:lang w:val="en-US" w:eastAsia="zh-CN" w:bidi="ar"/>
        </w:rPr>
        <w:t>行政处罚决定书</w:t>
      </w:r>
    </w:p>
    <w:p>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豫0526环罚决字〔2024〕19号</w:t>
      </w:r>
      <w:bookmarkEnd w:id="0"/>
      <w:r>
        <w:rPr>
          <w:rFonts w:hint="default" w:ascii="Times New Roman" w:hAnsi="Times New Roman" w:eastAsia="FZKTK--GBK1-0"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河南华安家具有限公司：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统一社会信用代码：91410526MA44THGF7C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地址： 安阳市滑县半坡店乡缑庄村西头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法定代表人（负责人）：徐晓芳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仿宋"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我局于2024年3月20日对你单位进行了调查，发现你单位实施了以下环境违法行为：现场检查时，你单位喷漆工序正在生产，喷漆房内 1 名工人正在对 1 张博物架进行喷漆，喷漆废气配套安装了光氧催化+活性炭吸附装置，现场检查时光氧催化+活性炭吸附装置未开启，活性炭箱内活性炭填满，风机正常运行；晾漆间内存放有喷漆完毕的椅子、多宝阁柜子，喷漆间、晾漆间大门密闭。你单位在从事产生含挥发性有机物废气的生产活动过程中，未按照规定使用污染防治设施。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以上事实，主要有以下证据证明：现场检查（勘察）笔录；现场勘查示意图；调查询问笔录；现场照片证据；营业执照复印件；法定代表人身份证复印件；委托书及被委托人身份证复印件；建设项目现状环境影响评估报告及评估意见书复印件；固定污染源排污登记回执复印件；厂房租赁合同书复印件；职工花名册；《统计上大中小微型企业划分办法》网站截图及打印件；国家企业信用信息公示系统截图；执法证扫描件。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根据以上查明的事实，2024年3月22日，我局对你单位下达《责令改正违法行为决定书》（豫0526环责改字〔2024〕10号），责令你单位立即启用污染防治设施。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2024年3月22日，根据责改要求，我局对你单位违法行为整改情况进行复查，你单位进行喷漆作业时，光氧催化装置正常运行。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2024年4月1日，我局向你单位下达了《行政处罚事先（听证）告知书》（豫0526环罚告字〔2024〕9号），告知拟对你单位作出行政处罚决定的事实、理由、依据、内容以及你单位依法享有的申请陈述申辩和听证的权利。你单位未提出陈述申辩意见，我局视为你单位放弃上述权利。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二、行政处罚的依据、种类</w:t>
      </w:r>
      <w:r>
        <w:rPr>
          <w:rFonts w:hint="default" w:ascii="Times New Roman" w:hAnsi="Times New Roman" w:eastAsia="仿宋"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的产生含挥发性有机物废气的喷漆生产活动未按照规定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结合你单位违法行为的事实、性质、情节、社会危害程度和相关证据，参照《河南省生态环境行政处罚裁量基准》和现场取证情况，对你单位的违法行为裁量如下：裁量因素：违法事实，内容：未规范使用污染防治设施，裁量等级：1；裁量因素：涉及行业，内容：涂装、印刷、包装、粘合等含挥发性有机物的产品使用，基础化学原料制造、化学药品原料药制造等含挥发性有机物的产品生产，裁量等级：2；裁量因素：生产和服务活动地点，内容：符合环境功能区划，裁量等级：1；裁量因素：企业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规模，内容：微型企业，裁量等级：1；裁量因素：管理类别，内容：登记管理，裁量等级：1；裁量因素：违法行为持续时间，内容：1 个月以下，裁量等级：1；裁量因素：超过限期改正时间，内容：限期改正，裁量等级：1；裁量因素：受处罚次数，内容：两年内未受到过同类处罚，裁量等级：1；裁量因素：是否配合执法检查，内容：配合检查，裁量等级：1；法定处罚金额上限(M)：200000，法定处罚金额下限(N)：20000，首要裁量因素裁量等级(A)：1，其余裁量因素个数(n)：8，其余裁量因素裁量等级(Bi)[2,1,1,1,1,1,1,1]，处罚金额(X)：28550，代入公式：28550.0=20000.0+(200000.0-20000.0)×[(1/5)²+(2 ² + 1²+ 1² + 1² + 1² + 1² + 1² +1²)/(5²×8)]× 50%，自定义裁量计算值：0，最终裁量金额：28550.0 元。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经研究，我局对你单位产生含挥发性有机物废气的喷漆生产活动未按照规定使用污染防治设施违法行为作出以下行政处罚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决定：给予罚款 贰万捌仟伍佰伍拾元整的行政处罚。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三、行政处罚决定的履行方式和期限</w:t>
      </w:r>
      <w:r>
        <w:rPr>
          <w:rFonts w:hint="default" w:ascii="Times New Roman" w:hAnsi="Times New Roman" w:eastAsia="仿宋"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根据《中华人民共和国行政处罚法》和《罚款决定与罚款收缴分离实施办法》的规定，你单位应当自收到本处罚决定书之日起 15 日内将罚款缴至中国建设银行安阳永明支行（开户名称：中 国 建 设 银 行 安 阳 永 明 支 行 ； 银 行 账 号 ：41001504210050207404；代办银行：安阳市财政局非税收入财政专户）或者通过电子支付系统缴纳罚款。款项缴清后，请持银行受理回单到我局滑县综合行政执法大队处索取罚款收据，并将缴款凭据第三联（备查联）报送我局滑县分局政策法规科备案。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仿宋"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焦作市解放区人民法院提起行政诉讼。申请行政复议或者提起行政诉讼，不停止行政处罚决定的执行。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到期不缴纳罚款的，我局可以依据《中华人民共和国行政处罚法》第七十二条第一款第一项规定，每日按罚款数额的 3%加处罚款。逾期不申请行政复议，不提起行政诉讼，又不履行本处罚决定的，我局将依法申请人民法院强制执行。 </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660" w:lineRule="exact"/>
        <w:ind w:firstLine="4480" w:firstLineChars="14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安阳市生态环境局（印章）</w:t>
      </w:r>
    </w:p>
    <w:p>
      <w:pPr>
        <w:spacing w:line="6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2024年1月2日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思源黑体 CN Light">
    <w:panose1 w:val="020B0300000000000000"/>
    <w:charset w:val="86"/>
    <w:family w:val="auto"/>
    <w:pitch w:val="default"/>
    <w:sig w:usb0="20000003" w:usb1="2ADF3C10" w:usb2="00000016" w:usb3="00000000" w:csb0="60060107"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方正姚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4DED4C2E"/>
    <w:rsid w:val="4DED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2024-04-16T03:53:00Z</dcterms:created>
  <dc:creator>Administrator</dc:creator>
  <cp:lastModifiedBy>Administrator</cp:lastModifiedBy>
  <dcterms:modified xsi:type="dcterms:W3CDTF">2024-04-16T04:00:00Z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DB7C0947D21C4075AC872972C2EFCE21_11</vt:lpwstr>
  </property>
</Properties>
</file>