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FZKTK--GBK1-0" w:cs="Times New Roman"/>
          <w:color w:val="000000"/>
          <w:kern w:val="0"/>
          <w:sz w:val="32"/>
          <w:szCs w:val="32"/>
          <w:lang w:val="en-US" w:eastAsia="zh-CN" w:bidi="ar"/>
        </w:rPr>
        <w:t xml:space="preserve">豫 </w:t>
      </w:r>
      <w:r>
        <w:rPr>
          <w:rFonts w:hint="default" w:ascii="Times New Roman" w:hAnsi="Times New Roman" w:eastAsia="Cambria" w:cs="Times New Roman"/>
          <w:color w:val="000000"/>
          <w:kern w:val="0"/>
          <w:sz w:val="32"/>
          <w:szCs w:val="32"/>
          <w:lang w:val="en-US" w:eastAsia="zh-CN" w:bidi="ar"/>
        </w:rPr>
        <w:t xml:space="preserve">0526 </w:t>
      </w:r>
      <w:r>
        <w:rPr>
          <w:rFonts w:hint="default" w:ascii="Times New Roman" w:hAnsi="Times New Roman" w:eastAsia="FZKTK--GBK1-0" w:cs="Times New Roman"/>
          <w:color w:val="000000"/>
          <w:kern w:val="0"/>
          <w:sz w:val="32"/>
          <w:szCs w:val="32"/>
          <w:lang w:val="en-US" w:eastAsia="zh-CN" w:bidi="ar"/>
        </w:rPr>
        <w:t>环罚决字〔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FZKTK--GBK1-0"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 xml:space="preserve">18 </w:t>
      </w:r>
      <w:r>
        <w:rPr>
          <w:rFonts w:hint="default" w:ascii="Times New Roman" w:hAnsi="Times New Roman" w:eastAsia="FZKTK--GBK1-0" w:cs="Times New Roman"/>
          <w:color w:val="000000"/>
          <w:kern w:val="0"/>
          <w:sz w:val="32"/>
          <w:szCs w:val="32"/>
          <w:lang w:val="en-US" w:eastAsia="zh-CN" w:bidi="ar"/>
        </w:rPr>
        <w:t xml:space="preserve">号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滑县江峰建筑材料有限公司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统一社会信用代码：91410526MA449X9D00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地址： 安阳市滑县高平镇宋子厢南地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法定代表人（负责人）：宋尚涛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我局于2024年3月11日对你你单位进行了调查，发现你你单位实施了以下环境违法行为：2024年3月11日上午你单位有发货记录，经调查你单位搅拌机控制台生产记录，你单位2024年3月8日下午至3月11日上午搅拌工序进行了生产，按照《安阳市生态环境保护委员会办公室关于启动重污染天气橙色预警（II 级响应）的通知》要求，上述日期属于重污染天气橙色预警（II 级响应）期间，你单位《2023-2024 年重污染天气应急减排“一厂一策”实施方案》显示，你单位橙色预警下应急减排措施为搅拌工序停产，你单位未按照规定及时启动重污染天气应急响应操作方案。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以上事实，主要有以下证据证明：现场检查（勘验）笔录；现场勘查示意图；调查询问笔录；现场照片证据；执法证复印件；法定代表人身份证复印件；营业执照复印件；授权委托书；受委托人身份证复印件；现状环境影响评估报告及意见书复印件；排污登记回执复印件；《统计上大中小微型企业划分办法》网站截图及打印件；企业职工名单；国家企业信用信息公示系统截图；《2023-2024 年重污染天气应急减排“一厂一策”实施方案》复印件；《安阳市生态环境保护委员会办公室关于启动重污染天气橙色预警（II 级响应）的通知》复印件；《滑县生态环境保护委员会办公室关于印发落实安阳市重污染天气橙色预警（II 级响应）的通知》复印件；《滑县生态环境保护委员会办公室关于解除重污染天气橙色预警（II 级响应）的通知》复印件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根据以上查明的事实，2024年3月14日，我局对你单位下达《责令改正违法行为决定书》（豫 0526 环责改字〔2024〕6号），责令你单位立即改正违法行为。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2024年3月15日，根据责改要求，我局对你单位违法行为整改情况进行复查，你单位已按照应急减排实施方案停产到位。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2024年3月11日，我局向你单位下达了《行政处罚事先（听证）告知书》（豫 0526 环罚告字〔2024〕7 号），告知拟对你单位作出行政处罚决定的事实、理由、依据、内容以及你单位依法享有的申请陈述申辩的权利。你单位未提出陈述申辩意见，我局视为你单位放弃上述权利。 </w:t>
      </w:r>
    </w:p>
    <w:p>
      <w:pPr>
        <w:keepNext w:val="0"/>
        <w:keepLines w:val="0"/>
        <w:widowControl/>
        <w:numPr>
          <w:ilvl w:val="0"/>
          <w:numId w:val="1"/>
        </w:numPr>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行政处罚的依据、种类</w:t>
      </w:r>
    </w:p>
    <w:p>
      <w:pPr>
        <w:keepNext w:val="0"/>
        <w:keepLines w:val="0"/>
        <w:widowControl/>
        <w:numPr>
          <w:numId w:val="0"/>
        </w:numPr>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pPr>
        <w:keepNext w:val="0"/>
        <w:keepLines w:val="0"/>
        <w:widowControl/>
        <w:numPr>
          <w:numId w:val="0"/>
        </w:numPr>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结合你单位违法行为的事实、性质、情节、社会危害程度和相关证据，参照《《安阳市大气污染防治条例行政处罚裁量基准》和现场取证情况，对你单位的违法行为裁量如下：裁量因素：违法行为发生时期环境敏感度，判定标准：重污染天气橙色预警期间，裁量等级：3；裁量因素：企业规模，判定标准：微型企业，裁量等级：1；裁量因素：管理类别，判定标准：登记管理，裁量等级：1；裁量因素：违法行为持续时间，判定标准：1 个月以下，裁量等级：1；裁量因素：超过限期改正时间，判定标准：限期改正，裁量等级：1；裁量因素：违法行为发生频次，判定标准：4 次，裁量等级：4；裁量因素：违法行为发生地点，判定标准：符合环境功能区划，裁量等级：1；裁量因素：受处罚次数，判定标准：两年内未受到过同类处罚，裁量等级：1；裁量因素：是否配合执法检查，判定标准：配合检查，裁量等级：1；法定处罚金额上限(M)：30000，法定处罚金额下限(N)：10000，首要裁量因素裁量等级(A)：3，其余裁量因素个数(n)：8，其余裁量因素裁量等级(Bi)：[1,1,1,1,4,1,1,1]，处罚金额(X)：14750，代入公式：14750=10000+(30000-10000)× [(3× 3)/25+(1× 1+1× 1+1× 1+1× 1+4× 4+1× 1+1× 1+1× 1)/(25×8)]×50%，自定义裁量计算值：0，最终裁量金额：14750.0 元。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经研究，我局对你单位未按照规定及时启动重污染天气应急响应操作方案的违法行为作出以下行政处罚决定：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给予罚款 壹万肆仟柒佰伍拾元整的行政处罚。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根据《中华人民共和国行政处罚法》和《罚款决定与罚款收缴分离实施办法》的规定，你单位应当自收到本处罚决定书之日起 15 日内将罚款缴至中国建设银行安阳永明支行（开户名称：中 国 建 设 银 行 安 阳 永 明 支 行 ； 银 行 账 号 ：41001504210050207404；代办银行：安阳市财政局非税收入财政专户）或者通过电子支付系统缴纳罚款。款项缴清后，请持银行受理回单到我局滑县综合行政执法大队处索取罚款收据，并将缴款凭据第三联（备查联）报送我局滑县分局政策法规科备案。 </w:t>
      </w:r>
    </w:p>
    <w:p>
      <w:pPr>
        <w:keepNext w:val="0"/>
        <w:keepLines w:val="0"/>
        <w:widowControl/>
        <w:numPr>
          <w:ilvl w:val="0"/>
          <w:numId w:val="1"/>
        </w:numPr>
        <w:suppressLineNumbers w:val="0"/>
        <w:ind w:left="0" w:leftChars="0" w:firstLine="0" w:firstLineChars="0"/>
        <w:jc w:val="left"/>
        <w:rPr>
          <w:rFonts w:hint="default" w:ascii="Times New Roman" w:hAnsi="Times New Roman" w:eastAsia="仿宋_GB2312" w:cs="Times New Roman"/>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申请行政复议或提起行政诉讼的途径和期限</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numPr>
          <w:numId w:val="0"/>
        </w:numPr>
        <w:suppressLineNumbers w:val="0"/>
        <w:ind w:leftChars="0"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到期不缴纳罚款的，我局可以依据《中华人民共和国行政处罚法》第七十二条第一款第一项规定，每日按罚款数额的3%加处罚款。逾期不申请行政复议，不提起行政诉讼又不履行本处罚决定的，我局将依法申请人民法院强制执行。</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p>
    <w:p>
      <w:pPr>
        <w:spacing w:line="600" w:lineRule="exact"/>
        <w:jc w:val="left"/>
        <w:rPr>
          <w:rFonts w:hint="eastAsia" w:ascii="Times New Roman" w:hAnsi="Times New Roman" w:eastAsia="仿宋" w:cs="Times New Roman"/>
          <w:sz w:val="32"/>
          <w:szCs w:val="32"/>
        </w:rPr>
      </w:pPr>
    </w:p>
    <w:p>
      <w:pPr>
        <w:spacing w:line="600" w:lineRule="exact"/>
        <w:ind w:firstLine="4480" w:firstLineChars="14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2024年4月7日</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DC672"/>
    <w:multiLevelType w:val="singleLevel"/>
    <w:tmpl w:val="999DC6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C67681A"/>
    <w:rsid w:val="4C67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2024-04-07T03:51:00Z</dcterms:created>
  <dc:creator>Administrator</dc:creator>
  <cp:lastModifiedBy>Administrator</cp:lastModifiedBy>
  <dcterms:modified xsi:type="dcterms:W3CDTF">2024-04-07T03:59:56Z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7528E423562147708C8888F58FDD45F4_11</vt:lpwstr>
  </property>
</Properties>
</file>