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8"/>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w:t>
      </w:r>
      <w:bookmarkStart w:id="0" w:name="_GoBack"/>
      <w:bookmarkEnd w:id="0"/>
      <w:r>
        <w:rPr>
          <w:rFonts w:hint="default" w:ascii="Times New Roman" w:hAnsi="Times New Roman" w:eastAsia="方正小标宋简体" w:cs="Times New Roman"/>
          <w:color w:val="000000"/>
          <w:sz w:val="44"/>
          <w:szCs w:val="44"/>
        </w:rPr>
        <w:t>县分局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河南槊鹏塑料科技有限公司</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年产2550吨塑料颗粒改性建设项目</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环境影响报告表的批复</w:t>
      </w:r>
    </w:p>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河南槊鹏塑料科技有限公司</w:t>
      </w:r>
      <w:r>
        <w:rPr>
          <w:rFonts w:hint="default" w:ascii="Times New Roman" w:hAnsi="Times New Roman" w:eastAsia="方正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你公司（统一社会信用代码：91410526MA45LBK001）上报的由</w:t>
      </w:r>
      <w:r>
        <w:rPr>
          <w:rFonts w:hint="default" w:ascii="Times New Roman" w:hAnsi="Times New Roman" w:eastAsia="方正仿宋_GB2312" w:cs="Times New Roman"/>
          <w:color w:val="000000"/>
          <w:sz w:val="32"/>
          <w:szCs w:val="32"/>
          <w:lang w:val="en-US" w:eastAsia="zh-CN"/>
        </w:rPr>
        <w:t>河南万明环保咨询有限公司申迎宾</w:t>
      </w:r>
      <w:r>
        <w:rPr>
          <w:rFonts w:hint="default" w:ascii="Times New Roman" w:hAnsi="Times New Roman" w:eastAsia="方正仿宋_GB2312" w:cs="Times New Roman"/>
          <w:color w:val="000000"/>
          <w:sz w:val="32"/>
          <w:szCs w:val="32"/>
        </w:rPr>
        <w:t>（职业资格证书管理号：</w:t>
      </w:r>
      <w:r>
        <w:rPr>
          <w:rFonts w:hint="default" w:ascii="Times New Roman" w:hAnsi="Times New Roman" w:eastAsia="方正仿宋_GB2312" w:cs="Times New Roman"/>
          <w:color w:val="000000"/>
          <w:sz w:val="32"/>
          <w:szCs w:val="32"/>
          <w:lang w:val="en-US" w:eastAsia="zh-CN"/>
        </w:rPr>
        <w:t>2015035410350000003512410230</w:t>
      </w:r>
      <w:r>
        <w:rPr>
          <w:rFonts w:hint="default" w:ascii="Times New Roman" w:hAnsi="Times New Roman" w:eastAsia="方正仿宋_GB2312" w:cs="Times New Roman"/>
          <w:color w:val="000000"/>
          <w:sz w:val="32"/>
          <w:szCs w:val="32"/>
        </w:rPr>
        <w:t>）主持编制完成的</w:t>
      </w: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河南槊鹏塑料科技有限公司年产2550吨塑料颗粒改性建设项目</w:t>
      </w:r>
      <w:r>
        <w:rPr>
          <w:rFonts w:hint="default" w:ascii="Times New Roman" w:hAnsi="Times New Roman" w:eastAsia="方正仿宋_GB2312" w:cs="Times New Roman"/>
          <w:sz w:val="32"/>
          <w:szCs w:val="32"/>
        </w:rPr>
        <w:t>环境影响报告表（报批版）》</w:t>
      </w:r>
      <w:r>
        <w:rPr>
          <w:rFonts w:hint="default" w:ascii="Times New Roman" w:hAnsi="Times New Roman" w:eastAsia="方正仿宋_GB2312" w:cs="Times New Roman"/>
          <w:color w:val="000000"/>
          <w:sz w:val="32"/>
          <w:szCs w:val="32"/>
        </w:rPr>
        <w:t>（以下简称《报告表》）及相关材料已收悉。</w:t>
      </w:r>
      <w:r>
        <w:rPr>
          <w:rFonts w:hint="default" w:ascii="Times New Roman" w:hAnsi="Times New Roman" w:eastAsia="方正仿宋_GB2312" w:cs="Times New Roman"/>
          <w:sz w:val="32"/>
          <w:szCs w:val="32"/>
        </w:rPr>
        <w:t>该项目位于</w:t>
      </w:r>
      <w:r>
        <w:rPr>
          <w:rFonts w:hint="default" w:ascii="Times New Roman" w:hAnsi="Times New Roman" w:eastAsia="方正仿宋_GB2312" w:cs="Times New Roman"/>
          <w:sz w:val="32"/>
          <w:szCs w:val="32"/>
          <w:lang w:val="en-US" w:eastAsia="zh-CN"/>
        </w:rPr>
        <w:t>滑县上官镇崔阳城村东侧约392米</w:t>
      </w:r>
      <w:r>
        <w:rPr>
          <w:rFonts w:hint="default" w:ascii="Times New Roman" w:hAnsi="Times New Roman" w:eastAsia="方正仿宋_GB2312" w:cs="Times New Roman"/>
          <w:sz w:val="32"/>
          <w:szCs w:val="32"/>
        </w:rPr>
        <w:t>，占地面积</w:t>
      </w:r>
      <w:r>
        <w:rPr>
          <w:rFonts w:hint="default" w:ascii="Times New Roman" w:hAnsi="Times New Roman" w:eastAsia="方正仿宋_GB2312" w:cs="Times New Roman"/>
          <w:sz w:val="32"/>
          <w:szCs w:val="32"/>
          <w:lang w:val="en-US" w:eastAsia="zh-CN"/>
        </w:rPr>
        <w:t>3300</w:t>
      </w:r>
      <w:r>
        <w:rPr>
          <w:rFonts w:hint="default" w:ascii="Times New Roman" w:hAnsi="Times New Roman" w:eastAsia="方正仿宋_GB2312" w:cs="Times New Roman"/>
          <w:sz w:val="32"/>
          <w:szCs w:val="32"/>
        </w:rPr>
        <w:t>平方米，总投资</w:t>
      </w:r>
      <w:r>
        <w:rPr>
          <w:rFonts w:hint="default" w:ascii="Times New Roman" w:hAnsi="Times New Roman" w:eastAsia="方正仿宋_GB2312" w:cs="Times New Roman"/>
          <w:sz w:val="32"/>
          <w:szCs w:val="32"/>
          <w:lang w:val="en-US" w:eastAsia="zh-CN"/>
        </w:rPr>
        <w:t>100</w:t>
      </w:r>
      <w:r>
        <w:rPr>
          <w:rFonts w:hint="default" w:ascii="Times New Roman" w:hAnsi="Times New Roman" w:eastAsia="方正仿宋_GB2312" w:cs="Times New Roman"/>
          <w:sz w:val="32"/>
          <w:szCs w:val="32"/>
        </w:rPr>
        <w:t>万元，环保投资</w:t>
      </w:r>
      <w:r>
        <w:rPr>
          <w:rFonts w:hint="default" w:ascii="Times New Roman" w:hAnsi="Times New Roman" w:eastAsia="方正仿宋_GB2312" w:cs="Times New Roman"/>
          <w:sz w:val="32"/>
          <w:szCs w:val="32"/>
          <w:lang w:val="en-US" w:eastAsia="zh-CN"/>
        </w:rPr>
        <w:t>21.1</w:t>
      </w:r>
      <w:r>
        <w:rPr>
          <w:rFonts w:hint="default" w:ascii="Times New Roman" w:hAnsi="Times New Roman" w:eastAsia="方正仿宋_GB2312" w:cs="Times New Roman"/>
          <w:sz w:val="32"/>
          <w:szCs w:val="32"/>
        </w:rPr>
        <w:t>万元。</w:t>
      </w:r>
      <w:r>
        <w:rPr>
          <w:rFonts w:hint="default" w:ascii="Times New Roman" w:hAnsi="Times New Roman" w:eastAsia="方正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snapToGrid w:val="0"/>
          <w:color w:val="000000"/>
          <w:sz w:val="32"/>
          <w:szCs w:val="32"/>
          <w:lang w:val="en-US" w:eastAsia="zh-CN"/>
        </w:rPr>
      </w:pPr>
      <w:r>
        <w:rPr>
          <w:rFonts w:hint="default" w:ascii="Times New Roman" w:hAnsi="Times New Roman" w:eastAsia="方正仿宋_GB2312" w:cs="Times New Roman"/>
          <w:snapToGrid w:val="0"/>
          <w:color w:val="000000"/>
          <w:sz w:val="32"/>
          <w:szCs w:val="32"/>
        </w:rPr>
        <w:t>一、《报告表》内容符合国家有关法律法规要求和建设项目环境管理规定，</w:t>
      </w:r>
      <w:r>
        <w:rPr>
          <w:rFonts w:hint="default" w:ascii="Times New Roman" w:hAnsi="Times New Roman" w:eastAsia="方正仿宋_GB2312" w:cs="Times New Roman"/>
          <w:snapToGrid w:val="0"/>
          <w:color w:val="000000"/>
          <w:sz w:val="32"/>
          <w:szCs w:val="32"/>
          <w:lang w:val="en-US" w:eastAsia="zh-CN"/>
        </w:rPr>
        <w:t>符合“三线一单”生态环境分区管控要求，评价结论可信。同意批准该《报告表》，你单位应按照《报告表》所列项目的性质、规模、地点、采用的生产工艺和环境保护对策进行项目建设。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（二）依据《报告表》和本批复文件，对项目</w:t>
      </w:r>
      <w:r>
        <w:rPr>
          <w:rFonts w:hint="default" w:ascii="Times New Roman" w:hAnsi="Times New Roman" w:eastAsia="方正仿宋_GB2312" w:cs="Times New Roman"/>
          <w:color w:val="000000"/>
          <w:sz w:val="32"/>
          <w:szCs w:val="32"/>
          <w:lang w:eastAsia="zh-CN"/>
        </w:rPr>
        <w:t>建设和</w:t>
      </w:r>
      <w:r>
        <w:rPr>
          <w:rFonts w:hint="default" w:ascii="Times New Roman" w:hAnsi="Times New Roman" w:eastAsia="方正仿宋_GB2312" w:cs="Times New Roman"/>
          <w:color w:val="000000"/>
          <w:sz w:val="32"/>
          <w:szCs w:val="32"/>
        </w:rPr>
        <w:t>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default" w:ascii="Times New Roman" w:hAnsi="Times New Roman" w:eastAsia="方正仿宋_GB2312" w:cs="Times New Roman"/>
          <w:color w:val="000000"/>
          <w:sz w:val="32"/>
          <w:szCs w:val="32"/>
        </w:rPr>
        <w:t>1.</w:t>
      </w:r>
      <w:r>
        <w:rPr>
          <w:rFonts w:hint="eastAsia" w:eastAsia="方正仿宋_GB2312" w:cs="Times New Roman"/>
          <w:color w:val="000000"/>
          <w:sz w:val="32"/>
          <w:szCs w:val="32"/>
          <w:lang w:val="en-US" w:eastAsia="zh-CN"/>
        </w:rPr>
        <w:t xml:space="preserve"> </w:t>
      </w:r>
      <w:r>
        <w:rPr>
          <w:rFonts w:hint="default" w:ascii="Times New Roman" w:hAnsi="Times New Roman" w:eastAsia="方正仿宋_GB2312" w:cs="Times New Roman"/>
          <w:color w:val="000000"/>
          <w:sz w:val="32"/>
          <w:szCs w:val="32"/>
          <w:lang w:eastAsia="zh-CN"/>
        </w:rPr>
        <w:t>废气：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auto"/>
          <w:sz w:val="32"/>
          <w:szCs w:val="32"/>
          <w:highlight w:val="none"/>
          <w:shd w:val="clear" w:color="auto" w:fill="auto"/>
        </w:rPr>
        <w:t>施工期：必须严格按照《安阳市2023年大气污染防治攻坚战实施方案》（安环委办〔2023〕20号）文件要求，严格落实工程建设工地扬尘“六个百分之百”措施；禁止现场搅拌混凝土和配制砂浆；每天定期不定期洒水，4级以上大风天气严禁作业；落实县环境污染攻坚办发布的重污染天气应急管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eastAsia="zh-CN"/>
        </w:rPr>
        <w:t>营运期</w:t>
      </w:r>
      <w:r>
        <w:rPr>
          <w:rFonts w:hint="default" w:ascii="Times New Roman" w:hAnsi="Times New Roman" w:eastAsia="方正仿宋_GB2312" w:cs="Times New Roman"/>
          <w:color w:val="000000"/>
          <w:sz w:val="32"/>
          <w:szCs w:val="32"/>
        </w:rPr>
        <w:t>：</w:t>
      </w:r>
      <w:r>
        <w:rPr>
          <w:rFonts w:hint="default" w:ascii="Times New Roman" w:hAnsi="Times New Roman" w:eastAsia="方正仿宋_GB2312" w:cs="Times New Roman"/>
          <w:color w:val="000000"/>
          <w:sz w:val="32"/>
          <w:szCs w:val="32"/>
          <w:lang w:eastAsia="zh-CN"/>
        </w:rPr>
        <w:t>混料工序</w:t>
      </w:r>
      <w:r>
        <w:rPr>
          <w:rFonts w:hint="default" w:ascii="Times New Roman" w:hAnsi="Times New Roman" w:eastAsia="方正仿宋_GB2312" w:cs="Times New Roman"/>
          <w:color w:val="000000"/>
          <w:sz w:val="32"/>
          <w:szCs w:val="32"/>
          <w:lang w:val="en-US" w:eastAsia="zh-CN"/>
        </w:rPr>
        <w:t>投料口三面封闭，顶部安装集气罩、破碎工序车间内二次封闭，</w:t>
      </w:r>
      <w:r>
        <w:rPr>
          <w:rFonts w:hint="default" w:ascii="Times New Roman" w:hAnsi="Times New Roman" w:eastAsia="方正仿宋_GB2312" w:cs="Times New Roman"/>
          <w:color w:val="000000"/>
          <w:sz w:val="32"/>
          <w:szCs w:val="32"/>
          <w:highlight w:val="none"/>
          <w:lang w:val="en-US" w:eastAsia="zh-CN"/>
        </w:rPr>
        <w:t>顶部安装集气罩，</w:t>
      </w:r>
      <w:r>
        <w:rPr>
          <w:rFonts w:hint="default" w:ascii="Times New Roman" w:hAnsi="Times New Roman" w:eastAsia="方正仿宋_GB2312" w:cs="Times New Roman"/>
          <w:color w:val="000000"/>
          <w:sz w:val="32"/>
          <w:szCs w:val="32"/>
          <w:lang w:val="en-US" w:eastAsia="zh-CN"/>
        </w:rPr>
        <w:t>废气经负压集气管道收集，共经1套高效覆膜袋式除尘器处理后通过15m高排气</w:t>
      </w:r>
      <w:r>
        <w:rPr>
          <w:rFonts w:hint="default" w:ascii="Times New Roman" w:hAnsi="Times New Roman" w:eastAsia="方正仿宋_GB2312" w:cs="Times New Roman"/>
          <w:color w:val="000000"/>
          <w:sz w:val="32"/>
          <w:szCs w:val="32"/>
          <w:highlight w:val="none"/>
          <w:lang w:val="en-US" w:eastAsia="zh-CN"/>
        </w:rPr>
        <w:t>筒排放；挤出头密闭集气，挤出设</w:t>
      </w:r>
      <w:r>
        <w:rPr>
          <w:rFonts w:hint="default" w:ascii="Times New Roman" w:hAnsi="Times New Roman" w:eastAsia="方正仿宋_GB2312" w:cs="Times New Roman"/>
          <w:color w:val="000000"/>
          <w:sz w:val="32"/>
          <w:szCs w:val="32"/>
          <w:lang w:val="en-US" w:eastAsia="zh-CN"/>
        </w:rPr>
        <w:t xml:space="preserve">备四周加装软帘，顶部安装集气罩，废气经“低温等离子+活性炭吸附”处理后通过15m 高排气筒排放。废气排放须满足《大气污染物综合排放标准》（GB16297-1996）表2二级标准、《合成树脂工业污染物排放标准》（GB31572-2015）标准限值、《恶臭污染物排放标准》（GB14554-93）标准限值、《挥发性有机物无组织排放控制标准》（GB37822-2019）标准限值、《挥发性有机物专项治理工作中排放建议值》（豫环攻坚办〔2017〕162号）限值要求、《安阳市2019年工业大气污染治理5个专项实施方案》（安环攻坚办〔2019〕196号）限值要求及《河南省重污染天气重点行业应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lang w:val="en-US" w:eastAsia="zh-CN"/>
        </w:rPr>
        <w:t xml:space="preserve">急减排措施制定技术指南》（2021年修订版）塑料制品行业A级要求。 </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废水：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kern w:val="2"/>
          <w:sz w:val="32"/>
          <w:szCs w:val="32"/>
          <w:lang w:val="en-US" w:eastAsia="zh-CN" w:bidi="ar-SA"/>
        </w:rPr>
      </w:pPr>
      <w:r>
        <w:rPr>
          <w:rFonts w:hint="default" w:ascii="Times New Roman" w:hAnsi="Times New Roman" w:eastAsia="方正仿宋_GB2312" w:cs="Times New Roman"/>
          <w:color w:val="000000"/>
          <w:kern w:val="2"/>
          <w:sz w:val="32"/>
          <w:szCs w:val="32"/>
          <w:lang w:val="en-US" w:eastAsia="zh-CN" w:bidi="ar-SA"/>
        </w:rPr>
        <w:t>施工期：施工废水沉淀后全部回用于施工或洒水降尘；洗手废水直接泼洒场地抑尘。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lang w:val="en-US" w:eastAsia="zh-CN"/>
        </w:rPr>
        <w:t>营运期：冷却废水循环使用，</w:t>
      </w:r>
      <w:r>
        <w:rPr>
          <w:rFonts w:hint="default" w:ascii="Times New Roman" w:hAnsi="Times New Roman" w:eastAsia="方正仿宋_GB2312" w:cs="Times New Roman"/>
          <w:bCs/>
          <w:color w:val="000000"/>
          <w:sz w:val="32"/>
          <w:szCs w:val="32"/>
        </w:rPr>
        <w:t>定期更换</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用于厂区洒水降尘</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不外排</w:t>
      </w:r>
      <w:r>
        <w:rPr>
          <w:rFonts w:hint="default" w:ascii="Times New Roman" w:hAnsi="Times New Roman" w:eastAsia="方正仿宋_GB2312" w:cs="Times New Roman"/>
          <w:color w:val="000000"/>
          <w:sz w:val="32"/>
          <w:szCs w:val="32"/>
          <w:lang w:val="en-US" w:eastAsia="zh-CN"/>
        </w:rPr>
        <w:t>。生活污水经5m</w:t>
      </w:r>
      <w:r>
        <w:rPr>
          <w:rFonts w:hint="default" w:ascii="Times New Roman" w:hAnsi="Times New Roman" w:eastAsia="方正仿宋_GB2312" w:cs="Times New Roman"/>
          <w:color w:val="000000"/>
          <w:sz w:val="32"/>
          <w:szCs w:val="32"/>
          <w:vertAlign w:val="superscript"/>
          <w:lang w:val="en-US" w:eastAsia="zh-CN"/>
        </w:rPr>
        <w:t>3</w:t>
      </w:r>
      <w:r>
        <w:rPr>
          <w:rFonts w:hint="default" w:ascii="Times New Roman" w:hAnsi="Times New Roman" w:eastAsia="方正仿宋_GB2312" w:cs="Times New Roman"/>
          <w:color w:val="000000"/>
          <w:sz w:val="32"/>
          <w:szCs w:val="32"/>
          <w:lang w:val="en-US" w:eastAsia="zh-CN"/>
        </w:rPr>
        <w:t>化粪池处理后由建设单位</w:t>
      </w:r>
      <w:r>
        <w:rPr>
          <w:rFonts w:hint="default" w:ascii="Times New Roman" w:hAnsi="Times New Roman" w:eastAsia="方正仿宋_GB2312" w:cs="Times New Roman"/>
          <w:bCs/>
          <w:color w:val="000000"/>
          <w:sz w:val="32"/>
          <w:szCs w:val="32"/>
          <w:lang w:val="en-US" w:eastAsia="zh-CN"/>
        </w:rPr>
        <w:t>定期清掏沤制农肥。</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000000"/>
          <w:sz w:val="32"/>
          <w:szCs w:val="32"/>
          <w:lang w:eastAsia="zh-CN"/>
        </w:rPr>
        <w:t>施工期：</w:t>
      </w:r>
      <w:r>
        <w:rPr>
          <w:rFonts w:hint="default" w:ascii="Times New Roman" w:hAnsi="Times New Roman" w:eastAsia="方正仿宋_GB2312" w:cs="Times New Roman"/>
          <w:color w:val="auto"/>
          <w:sz w:val="32"/>
          <w:szCs w:val="32"/>
          <w:highlight w:val="none"/>
          <w:shd w:val="clear" w:color="auto" w:fill="auto"/>
        </w:rPr>
        <w:t>采用低噪声、低振动的的施工机械，采用先进施工工艺，在保证工程质量的基础上，提高工作效率，缩短作业时间；合理安排施工时间，优化施工组织设计，避免高噪声设备同时施工；夜间22:00至次日6:00禁止施工；加强施工机械的维修、管理，保证施工机械处于低噪声、高效率的状态；加强与周边居民和单位的沟通，主动接受公众的监督。</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auto"/>
          <w:sz w:val="32"/>
          <w:szCs w:val="32"/>
          <w:highlight w:val="none"/>
          <w:shd w:val="clear" w:color="auto" w:fill="auto"/>
          <w:lang w:eastAsia="zh-CN"/>
        </w:rPr>
        <w:t>营运期：</w:t>
      </w:r>
      <w:r>
        <w:rPr>
          <w:rFonts w:hint="default" w:ascii="Times New Roman" w:hAnsi="Times New Roman" w:eastAsia="方正仿宋_GB2312" w:cs="Times New Roman"/>
          <w:color w:val="000000"/>
          <w:sz w:val="32"/>
          <w:szCs w:val="32"/>
        </w:rPr>
        <w:t>经</w:t>
      </w:r>
      <w:r>
        <w:rPr>
          <w:rFonts w:hint="default" w:ascii="Times New Roman" w:hAnsi="Times New Roman" w:eastAsia="方正仿宋_GB2312" w:cs="Times New Roman"/>
          <w:bCs/>
          <w:color w:val="000000"/>
          <w:sz w:val="32"/>
          <w:szCs w:val="32"/>
        </w:rPr>
        <w:t>采取基础减振、厂房隔声</w:t>
      </w:r>
      <w:r>
        <w:rPr>
          <w:rFonts w:hint="default" w:ascii="Times New Roman" w:hAnsi="Times New Roman" w:eastAsia="方正仿宋_GB2312" w:cs="Times New Roman"/>
          <w:bCs/>
          <w:color w:val="000000"/>
          <w:sz w:val="32"/>
          <w:szCs w:val="32"/>
          <w:lang w:eastAsia="zh-CN"/>
        </w:rPr>
        <w:t>、距离衰减</w:t>
      </w:r>
      <w:r>
        <w:rPr>
          <w:rFonts w:hint="default" w:ascii="Times New Roman" w:hAnsi="Times New Roman" w:eastAsia="方正仿宋_GB2312" w:cs="Times New Roman"/>
          <w:bCs/>
          <w:color w:val="000000"/>
          <w:sz w:val="32"/>
          <w:szCs w:val="32"/>
          <w:lang w:val="en-US" w:eastAsia="zh-CN"/>
        </w:rPr>
        <w:t>等</w:t>
      </w:r>
      <w:r>
        <w:rPr>
          <w:rFonts w:hint="default" w:ascii="Times New Roman" w:hAnsi="Times New Roman" w:eastAsia="方正仿宋_GB2312" w:cs="Times New Roman"/>
          <w:bCs/>
          <w:color w:val="000000"/>
          <w:sz w:val="32"/>
          <w:szCs w:val="32"/>
        </w:rPr>
        <w:t>措施后，厂界噪声排放须满足《工业企业厂界环境噪声排放标准》（GB12348-2008）</w:t>
      </w:r>
      <w:r>
        <w:rPr>
          <w:rFonts w:hint="default" w:ascii="Times New Roman" w:hAnsi="Times New Roman" w:eastAsia="方正仿宋_GB2312" w:cs="Times New Roman"/>
          <w:bCs/>
          <w:color w:val="000000"/>
          <w:sz w:val="32"/>
          <w:szCs w:val="32"/>
          <w:lang w:val="en-US" w:eastAsia="zh-CN"/>
        </w:rPr>
        <w:t>2</w:t>
      </w:r>
      <w:r>
        <w:rPr>
          <w:rFonts w:hint="default" w:ascii="Times New Roman" w:hAnsi="Times New Roman" w:eastAsia="方正仿宋_GB2312" w:cs="Times New Roman"/>
          <w:bCs/>
          <w:color w:val="000000"/>
          <w:sz w:val="32"/>
          <w:szCs w:val="32"/>
        </w:rPr>
        <w:t>类标准限值。</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20" w:firstLineChars="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lang w:eastAsia="zh-CN"/>
        </w:rPr>
      </w:pPr>
      <w:r>
        <w:rPr>
          <w:rFonts w:hint="default" w:ascii="Times New Roman" w:hAnsi="Times New Roman" w:eastAsia="方正仿宋_GB2312" w:cs="Times New Roman"/>
          <w:color w:val="000000"/>
          <w:sz w:val="32"/>
          <w:szCs w:val="32"/>
          <w:lang w:eastAsia="zh-CN"/>
        </w:rPr>
        <w:t>施工期：</w:t>
      </w:r>
      <w:r>
        <w:rPr>
          <w:rFonts w:hint="default" w:ascii="Times New Roman" w:hAnsi="Times New Roman" w:eastAsia="方正仿宋_GB2312" w:cs="Times New Roman"/>
          <w:color w:val="000000"/>
          <w:sz w:val="32"/>
          <w:szCs w:val="32"/>
          <w:lang w:val="en-US" w:eastAsia="zh-CN"/>
        </w:rPr>
        <w:t>废弃土方和建筑垃圾用于现场回填使用，不外排；废弃钢筋头集中收集后由废品收购站进行回收利用；生活垃圾统一由环卫部门收集送至垃圾填埋场进行处置。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lang w:eastAsia="zh-CN"/>
        </w:rPr>
        <w:t>营运期：废包</w:t>
      </w:r>
      <w:r>
        <w:rPr>
          <w:rFonts w:hint="default" w:ascii="Times New Roman" w:hAnsi="Times New Roman" w:eastAsia="方正仿宋_GB2312" w:cs="Times New Roman"/>
          <w:color w:val="000000"/>
          <w:sz w:val="32"/>
          <w:szCs w:val="32"/>
          <w:highlight w:val="none"/>
          <w:lang w:eastAsia="zh-CN"/>
        </w:rPr>
        <w:t>装袋经</w:t>
      </w:r>
      <w:r>
        <w:rPr>
          <w:rFonts w:hint="default" w:ascii="Times New Roman" w:hAnsi="Times New Roman" w:eastAsia="方正仿宋_GB2312" w:cs="Times New Roman"/>
          <w:color w:val="000000"/>
          <w:sz w:val="32"/>
          <w:szCs w:val="32"/>
          <w:highlight w:val="none"/>
          <w:lang w:val="en-US" w:eastAsia="zh-CN"/>
        </w:rPr>
        <w:t>10m</w:t>
      </w:r>
      <w:r>
        <w:rPr>
          <w:rFonts w:hint="default" w:ascii="Times New Roman" w:hAnsi="Times New Roman" w:eastAsia="方正仿宋_GB2312" w:cs="Times New Roman"/>
          <w:color w:val="000000"/>
          <w:sz w:val="32"/>
          <w:szCs w:val="32"/>
          <w:highlight w:val="none"/>
          <w:vertAlign w:val="superscript"/>
          <w:lang w:val="en-US" w:eastAsia="zh-CN"/>
        </w:rPr>
        <w:t>2</w:t>
      </w:r>
      <w:r>
        <w:rPr>
          <w:rFonts w:hint="default" w:ascii="Times New Roman" w:hAnsi="Times New Roman" w:eastAsia="方正仿宋_GB2312" w:cs="Times New Roman"/>
          <w:color w:val="000000"/>
          <w:sz w:val="32"/>
          <w:szCs w:val="32"/>
          <w:highlight w:val="none"/>
          <w:lang w:val="en-US" w:eastAsia="zh-CN"/>
        </w:rPr>
        <w:t>暂存后定期外售；边角料、不合格产品直接回用于生产；除尘灰经布袋收集后回用于生产；废</w:t>
      </w:r>
      <w:r>
        <w:rPr>
          <w:rFonts w:hint="default" w:ascii="Times New Roman" w:hAnsi="Times New Roman" w:eastAsia="方正仿宋_GB2312" w:cs="Times New Roman"/>
          <w:bCs/>
          <w:color w:val="000000"/>
          <w:sz w:val="32"/>
          <w:szCs w:val="32"/>
          <w:highlight w:val="none"/>
          <w:lang w:val="en-US" w:eastAsia="zh-CN"/>
        </w:rPr>
        <w:t>活性炭暂存于10m</w:t>
      </w:r>
      <w:r>
        <w:rPr>
          <w:rFonts w:hint="default" w:ascii="Times New Roman" w:hAnsi="Times New Roman" w:eastAsia="方正仿宋_GB2312" w:cs="Times New Roman"/>
          <w:bCs/>
          <w:color w:val="000000"/>
          <w:sz w:val="32"/>
          <w:szCs w:val="32"/>
          <w:highlight w:val="none"/>
          <w:vertAlign w:val="superscript"/>
          <w:lang w:val="en-US" w:eastAsia="zh-CN"/>
        </w:rPr>
        <w:t>2</w:t>
      </w:r>
      <w:r>
        <w:rPr>
          <w:rFonts w:hint="default" w:ascii="Times New Roman" w:hAnsi="Times New Roman" w:eastAsia="方正仿宋_GB2312" w:cs="Times New Roman"/>
          <w:bCs/>
          <w:color w:val="000000"/>
          <w:sz w:val="32"/>
          <w:szCs w:val="32"/>
          <w:highlight w:val="none"/>
          <w:lang w:val="en-US" w:eastAsia="zh-CN"/>
        </w:rPr>
        <w:t>危废暂存间后，定期交由有资质单位处置。</w:t>
      </w:r>
      <w:r>
        <w:rPr>
          <w:rFonts w:hint="default" w:ascii="Times New Roman" w:hAnsi="Times New Roman" w:eastAsia="方正仿宋_GB2312" w:cs="Times New Roman"/>
          <w:sz w:val="32"/>
          <w:szCs w:val="32"/>
        </w:rPr>
        <w:t>一般固体废物暂存应满足《一般工业固体废物贮存和填埋污染控制标准》（GB18599 -2020）要求，危险废物暂存应满足《危险废物贮存污染控制标准》（GB18597-2023）要求。</w:t>
      </w:r>
      <w:r>
        <w:rPr>
          <w:rFonts w:hint="default" w:ascii="Times New Roman" w:hAnsi="Times New Roman" w:eastAsia="方正仿宋_GB2312" w:cs="Times New Roman"/>
          <w:bCs/>
          <w:color w:val="000000"/>
          <w:sz w:val="32"/>
          <w:szCs w:val="32"/>
          <w:highlight w:val="none"/>
          <w:lang w:val="en-US" w:eastAsia="zh-CN"/>
        </w:rPr>
        <w:t>生活垃圾经垃圾桶收集后，定期交由环卫部门统一处置。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bCs/>
          <w:color w:val="000000"/>
          <w:sz w:val="32"/>
          <w:szCs w:val="32"/>
          <w:highlight w:val="none"/>
          <w:lang w:val="en-US" w:eastAsia="zh-CN"/>
        </w:rPr>
      </w:pPr>
      <w:r>
        <w:rPr>
          <w:rFonts w:hint="default"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rPr>
        <w:t>本项目建成后主</w:t>
      </w:r>
      <w:r>
        <w:rPr>
          <w:rFonts w:hint="default" w:ascii="Times New Roman" w:hAnsi="Times New Roman" w:eastAsia="方正仿宋_GB2312" w:cs="Times New Roman"/>
          <w:sz w:val="32"/>
          <w:szCs w:val="32"/>
          <w:lang w:eastAsia="zh-CN"/>
        </w:rPr>
        <w:t>要污染物排放总量控制指标为：颗粒物</w:t>
      </w:r>
      <w:r>
        <w:rPr>
          <w:rFonts w:hint="default" w:ascii="Times New Roman" w:hAnsi="Times New Roman" w:eastAsia="方正仿宋_GB2312" w:cs="Times New Roman"/>
          <w:sz w:val="32"/>
          <w:szCs w:val="32"/>
          <w:lang w:val="en-US" w:eastAsia="zh-CN"/>
        </w:rPr>
        <w:t>0.7345</w:t>
      </w:r>
      <w:r>
        <w:rPr>
          <w:rFonts w:hint="default" w:ascii="Times New Roman" w:hAnsi="Times New Roman" w:eastAsia="方正仿宋_GB2312" w:cs="Times New Roman"/>
          <w:sz w:val="32"/>
          <w:szCs w:val="32"/>
          <w:lang w:eastAsia="zh-CN"/>
        </w:rPr>
        <w:t>吨/年，非甲烷总烃：</w:t>
      </w:r>
      <w:r>
        <w:rPr>
          <w:rFonts w:hint="default" w:ascii="Times New Roman" w:hAnsi="Times New Roman" w:eastAsia="方正仿宋_GB2312" w:cs="Times New Roman"/>
          <w:sz w:val="32"/>
          <w:szCs w:val="32"/>
          <w:lang w:val="en-US" w:eastAsia="zh-CN"/>
        </w:rPr>
        <w:t>1.0873</w:t>
      </w:r>
      <w:r>
        <w:rPr>
          <w:rFonts w:hint="default" w:ascii="Times New Roman" w:hAnsi="Times New Roman" w:eastAsia="方正仿宋_GB2312" w:cs="Times New Roman"/>
          <w:sz w:val="32"/>
          <w:szCs w:val="32"/>
          <w:lang w:eastAsia="zh-CN"/>
        </w:rPr>
        <w:t>吨/年</w:t>
      </w:r>
      <w:r>
        <w:rPr>
          <w:rFonts w:hint="default" w:ascii="Times New Roman" w:hAnsi="Times New Roman" w:eastAsia="方正仿宋_GB2312" w:cs="Times New Roman"/>
          <w:sz w:val="32"/>
          <w:szCs w:val="32"/>
          <w:lang w:val="en-US" w:eastAsia="zh-CN"/>
        </w:rPr>
        <w:t>。颗粒物替代源使用滑县王庄镇金豆环保节能建材厂减排的颗粒物进行倍量替代，VOCs 替代源使用河南中照塑业有限公司减排项目的 VOCs 削减量进行倍量替代。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五、项目建设必须严格执行配套的环境保护设施与主体工程同时设计、同时施工、同时投产使用的“三同时”制度，并按规定程序开展竣工环境保护验收。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六、环境影响报告表经批准后，项目的性质、规模、地点、生产工艺和环境保护措施发生重大变动的，应当依法重新报批项目环境影响评价手续。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七、如果今后国家或我省颁布新标准或对治污设施有新要求，你单位应按新标准、新要求执行。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lang w:val="en-US" w:eastAsia="zh-CN"/>
        </w:rPr>
        <w:t>八</w:t>
      </w:r>
      <w:r>
        <w:rPr>
          <w:rFonts w:hint="default" w:ascii="Times New Roman" w:hAnsi="Times New Roman" w:eastAsia="方正仿宋_GB2312" w:cs="Times New Roman"/>
          <w:color w:val="auto"/>
          <w:sz w:val="32"/>
          <w:szCs w:val="32"/>
          <w:highlight w:val="none"/>
          <w:shd w:val="clear" w:color="auto" w:fill="auto"/>
        </w:rPr>
        <w:t>、本批复有效期为5年，如该项目逾期方开工建设，其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auto"/>
          <w:sz w:val="32"/>
          <w:szCs w:val="32"/>
          <w:highlight w:val="none"/>
          <w:shd w:val="clear" w:color="auto" w:fill="auto"/>
        </w:rPr>
      </w:pPr>
      <w:r>
        <w:rPr>
          <w:rFonts w:hint="default" w:ascii="Times New Roman" w:hAnsi="Times New Roman" w:eastAsia="方正仿宋_GB2312" w:cs="Times New Roman"/>
          <w:color w:val="auto"/>
          <w:sz w:val="32"/>
          <w:szCs w:val="32"/>
          <w:highlight w:val="none"/>
          <w:shd w:val="clear" w:color="auto" w:fill="auto"/>
        </w:rPr>
        <w:t>环境影响评价文件应报我局重新审核。</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公告期限：自本公告发布之日起7日。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联系地址：安阳市人民政府</w:t>
      </w:r>
    </w:p>
    <w:p>
      <w:pPr>
        <w:spacing w:line="620" w:lineRule="exact"/>
        <w:ind w:firstLine="5120" w:firstLineChars="1600"/>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pStyle w:val="2"/>
        <w:rPr>
          <w:rFonts w:hint="default" w:ascii="Times New Roman" w:hAnsi="Times New Roman" w:eastAsia="方正仿宋_GB2312" w:cs="Times New Roman"/>
          <w:color w:val="000000"/>
          <w:sz w:val="32"/>
          <w:szCs w:val="32"/>
        </w:rPr>
      </w:pPr>
    </w:p>
    <w:p>
      <w:pPr>
        <w:spacing w:line="620" w:lineRule="exact"/>
        <w:ind w:firstLine="5760" w:firstLineChars="18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202</w:t>
      </w:r>
      <w:r>
        <w:rPr>
          <w:rFonts w:hint="default" w:ascii="Times New Roman" w:hAnsi="Times New Roman" w:eastAsia="方正仿宋_GB2312" w:cs="Times New Roman"/>
          <w:color w:val="000000"/>
          <w:sz w:val="32"/>
          <w:szCs w:val="32"/>
          <w:lang w:val="en-US" w:eastAsia="zh-CN"/>
        </w:rPr>
        <w:t>4</w:t>
      </w:r>
      <w:r>
        <w:rPr>
          <w:rFonts w:hint="default" w:ascii="Times New Roman" w:hAnsi="Times New Roman" w:eastAsia="方正仿宋_GB2312" w:cs="Times New Roman"/>
          <w:color w:val="000000"/>
          <w:sz w:val="32"/>
          <w:szCs w:val="32"/>
        </w:rPr>
        <w:t>年</w:t>
      </w:r>
      <w:r>
        <w:rPr>
          <w:rFonts w:hint="default" w:ascii="Times New Roman" w:hAnsi="Times New Roman" w:eastAsia="方正仿宋_GB2312" w:cs="Times New Roman"/>
          <w:color w:val="000000"/>
          <w:sz w:val="32"/>
          <w:szCs w:val="32"/>
          <w:lang w:val="en-US" w:eastAsia="zh-CN"/>
        </w:rPr>
        <w:t>2</w:t>
      </w:r>
      <w:r>
        <w:rPr>
          <w:rFonts w:hint="default" w:ascii="Times New Roman" w:hAnsi="Times New Roman" w:eastAsia="方正仿宋_GB2312" w:cs="Times New Roman"/>
          <w:color w:val="000000"/>
          <w:sz w:val="32"/>
          <w:szCs w:val="32"/>
        </w:rPr>
        <w:t>月</w:t>
      </w:r>
      <w:r>
        <w:rPr>
          <w:rFonts w:hint="default" w:ascii="Times New Roman" w:hAnsi="Times New Roman" w:eastAsia="方正仿宋_GB2312" w:cs="Times New Roman"/>
          <w:color w:val="000000"/>
          <w:sz w:val="32"/>
          <w:szCs w:val="32"/>
          <w:lang w:val="en-US" w:eastAsia="zh-CN"/>
        </w:rPr>
        <w:t>29</w:t>
      </w:r>
      <w:r>
        <w:rPr>
          <w:rFonts w:hint="default" w:ascii="Times New Roman" w:hAnsi="Times New Roman" w:eastAsia="方正仿宋_GB2312" w:cs="Times New Roman"/>
          <w:color w:val="000000"/>
          <w:sz w:val="32"/>
          <w:szCs w:val="32"/>
        </w:rPr>
        <w:t>日</w:t>
      </w:r>
    </w:p>
    <w:p>
      <w:pPr>
        <w:pStyle w:val="7"/>
        <w:ind w:left="0" w:leftChars="0" w:firstLine="0" w:firstLineChars="0"/>
        <w:rPr>
          <w:rFonts w:hint="default" w:ascii="Times New Roman" w:hAnsi="Times New Roman" w:eastAsia="方正仿宋_GB2312" w:cs="Times New Roman"/>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pStyle w:val="7"/>
        <w:ind w:left="0" w:leftChars="0" w:firstLine="0" w:firstLineChars="0"/>
        <w:rPr>
          <w:rFonts w:hint="default" w:ascii="Times New Roman" w:hAnsi="Times New Roman" w:eastAsia="方正仿宋_GB2312" w:cs="Times New Roman"/>
          <w:sz w:val="32"/>
          <w:szCs w:val="32"/>
        </w:rPr>
      </w:pPr>
    </w:p>
    <w:p>
      <w:pPr>
        <w:spacing w:line="580" w:lineRule="exact"/>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hint="default" w:ascii="Times New Roman" w:hAnsi="Times New Roman" w:eastAsia="方正仿宋_GB2312" w:cs="Times New Roman"/>
          <w:color w:val="000000"/>
          <w:w w:val="100"/>
          <w:sz w:val="32"/>
          <w:szCs w:val="32"/>
        </w:rPr>
        <w:t>主办：环境影响评价科               督办：环境影响评价科</w:t>
      </w:r>
    </w:p>
    <w:p>
      <w:pPr>
        <w:spacing w:line="580" w:lineRule="exact"/>
        <w:ind w:left="908" w:hanging="960" w:hangingChars="300"/>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hint="default" w:ascii="Times New Roman" w:hAnsi="Times New Roman" w:eastAsia="方正仿宋_GB2312" w:cs="Times New Roman"/>
          <w:color w:val="000000"/>
          <w:w w:val="100"/>
          <w:sz w:val="32"/>
          <w:szCs w:val="32"/>
        </w:rPr>
        <w:t>抄送：滑县环境监察大队、</w:t>
      </w:r>
      <w:r>
        <w:rPr>
          <w:rFonts w:hint="default" w:ascii="Times New Roman" w:hAnsi="Times New Roman" w:eastAsia="方正仿宋_GB2312" w:cs="Times New Roman"/>
          <w:color w:val="000000"/>
          <w:w w:val="100"/>
          <w:sz w:val="32"/>
          <w:szCs w:val="32"/>
          <w:lang w:val="en-US" w:eastAsia="zh-CN"/>
        </w:rPr>
        <w:t>上官镇</w:t>
      </w:r>
      <w:r>
        <w:rPr>
          <w:rFonts w:hint="default" w:ascii="Times New Roman" w:hAnsi="Times New Roman" w:eastAsia="方正仿宋_GB2312" w:cs="Times New Roman"/>
          <w:color w:val="000000"/>
          <w:w w:val="100"/>
          <w:sz w:val="32"/>
          <w:szCs w:val="32"/>
        </w:rPr>
        <w:t>环保所。</w:t>
      </w:r>
    </w:p>
    <w:p>
      <w:pPr>
        <w:spacing w:line="580" w:lineRule="exact"/>
        <w:rPr>
          <w:rFonts w:hint="default" w:ascii="Times New Roman" w:hAnsi="Times New Roman" w:eastAsia="方正仿宋_GB2312" w:cs="Times New Roman"/>
          <w:color w:val="000000"/>
          <w:w w:val="100"/>
          <w:sz w:val="32"/>
          <w:szCs w:val="32"/>
        </w:rPr>
      </w:pPr>
      <w:r>
        <w:rPr>
          <w:rFonts w:hint="default" w:ascii="Times New Roman" w:hAnsi="Times New Roman" w:eastAsia="方正仿宋_GB2312" w:cs="Times New Roman"/>
          <w:color w:val="000000"/>
          <w:w w:val="1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hint="default" w:ascii="Times New Roman" w:hAnsi="Times New Roman" w:eastAsia="方正仿宋_GB2312" w:cs="Times New Roman"/>
          <w:color w:val="000000"/>
          <w:w w:val="100"/>
          <w:sz w:val="32"/>
          <w:szCs w:val="32"/>
        </w:rPr>
        <w:t xml:space="preserve">安阳市生态环境局滑县分局办公室 </w:t>
      </w:r>
      <w:r>
        <w:rPr>
          <w:rFonts w:hint="default" w:ascii="Times New Roman" w:hAnsi="Times New Roman" w:eastAsia="方正仿宋_GB2312" w:cs="Times New Roman"/>
          <w:color w:val="000000"/>
          <w:w w:val="1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hint="default" w:ascii="Times New Roman" w:hAnsi="Times New Roman" w:eastAsia="方正仿宋_GB2312" w:cs="Times New Roman"/>
          <w:color w:val="000000"/>
          <w:w w:val="1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default" w:ascii="Times New Roman" w:hAnsi="Times New Roman" w:eastAsia="方正仿宋_GB2312" w:cs="Times New Roman"/>
          <w:color w:val="000000"/>
          <w:w w:val="100"/>
          <w:sz w:val="32"/>
          <w:szCs w:val="32"/>
        </w:rPr>
        <w:t xml:space="preserve">    </w:t>
      </w:r>
      <w:r>
        <w:rPr>
          <w:rFonts w:hint="default" w:ascii="Times New Roman" w:hAnsi="Times New Roman" w:eastAsia="方正仿宋_GB2312" w:cs="Times New Roman"/>
          <w:color w:val="000000"/>
          <w:w w:val="100"/>
          <w:sz w:val="32"/>
          <w:szCs w:val="32"/>
          <w:lang w:val="en-US" w:eastAsia="zh-CN"/>
        </w:rPr>
        <w:t xml:space="preserve"> </w:t>
      </w:r>
      <w:r>
        <w:rPr>
          <w:rFonts w:hint="default" w:ascii="Times New Roman" w:hAnsi="Times New Roman" w:eastAsia="方正仿宋_GB2312" w:cs="Times New Roman"/>
          <w:color w:val="000000"/>
          <w:w w:val="100"/>
          <w:sz w:val="32"/>
          <w:szCs w:val="32"/>
        </w:rPr>
        <w:t>202</w:t>
      </w:r>
      <w:r>
        <w:rPr>
          <w:rFonts w:hint="default" w:ascii="Times New Roman" w:hAnsi="Times New Roman" w:eastAsia="方正仿宋_GB2312" w:cs="Times New Roman"/>
          <w:color w:val="000000"/>
          <w:w w:val="100"/>
          <w:sz w:val="32"/>
          <w:szCs w:val="32"/>
          <w:lang w:val="en-US" w:eastAsia="zh-CN"/>
        </w:rPr>
        <w:t>4</w:t>
      </w:r>
      <w:r>
        <w:rPr>
          <w:rFonts w:hint="default" w:ascii="Times New Roman" w:hAnsi="Times New Roman" w:eastAsia="方正仿宋_GB2312" w:cs="Times New Roman"/>
          <w:color w:val="000000"/>
          <w:w w:val="100"/>
          <w:sz w:val="32"/>
          <w:szCs w:val="32"/>
        </w:rPr>
        <w:t>年</w:t>
      </w:r>
      <w:r>
        <w:rPr>
          <w:rFonts w:hint="default" w:ascii="Times New Roman" w:hAnsi="Times New Roman" w:eastAsia="方正仿宋_GB2312" w:cs="Times New Roman"/>
          <w:color w:val="000000"/>
          <w:w w:val="100"/>
          <w:sz w:val="32"/>
          <w:szCs w:val="32"/>
          <w:lang w:val="en-US" w:eastAsia="zh-CN"/>
        </w:rPr>
        <w:t>2</w:t>
      </w:r>
      <w:r>
        <w:rPr>
          <w:rFonts w:hint="default" w:ascii="Times New Roman" w:hAnsi="Times New Roman" w:eastAsia="方正仿宋_GB2312" w:cs="Times New Roman"/>
          <w:color w:val="000000"/>
          <w:w w:val="100"/>
          <w:sz w:val="32"/>
          <w:szCs w:val="32"/>
        </w:rPr>
        <w:t>月</w:t>
      </w:r>
      <w:r>
        <w:rPr>
          <w:rFonts w:hint="default" w:ascii="Times New Roman" w:hAnsi="Times New Roman" w:eastAsia="方正仿宋_GB2312" w:cs="Times New Roman"/>
          <w:color w:val="000000"/>
          <w:w w:val="100"/>
          <w:sz w:val="32"/>
          <w:szCs w:val="32"/>
          <w:lang w:val="en-US" w:eastAsia="zh-CN"/>
        </w:rPr>
        <w:t>29</w:t>
      </w:r>
      <w:r>
        <w:rPr>
          <w:rFonts w:hint="default" w:ascii="Times New Roman" w:hAnsi="Times New Roman" w:eastAsia="方正仿宋_GB2312" w:cs="Times New Roman"/>
          <w:color w:val="000000"/>
          <w:w w:val="1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04763E5-CD18-4073-A1A2-C9BD00364709}"/>
  </w:font>
  <w:font w:name="方正小标宋简体">
    <w:panose1 w:val="02000000000000000000"/>
    <w:charset w:val="86"/>
    <w:family w:val="script"/>
    <w:pitch w:val="default"/>
    <w:sig w:usb0="00000001" w:usb1="08000000" w:usb2="00000000" w:usb3="00000000" w:csb0="00040000" w:csb1="00000000"/>
    <w:embedRegular r:id="rId2" w:fontKey="{57619BF4-5318-4749-9D9D-5A79584B5491}"/>
  </w:font>
  <w:font w:name="方正仿宋_GB2312">
    <w:panose1 w:val="02000000000000000000"/>
    <w:charset w:val="86"/>
    <w:family w:val="auto"/>
    <w:pitch w:val="default"/>
    <w:sig w:usb0="A00002BF" w:usb1="184F6CFA" w:usb2="00000012" w:usb3="00000000" w:csb0="00040001" w:csb1="00000000"/>
    <w:embedRegular r:id="rId3" w:fontKey="{2F43E074-E31B-4A18-BCB7-3C229502EFA5}"/>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pPr>
      <w:pStyle w:val="15"/>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5"/>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F2C74B8"/>
    <w:multiLevelType w:val="singleLevel"/>
    <w:tmpl w:val="2F2C74B8"/>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mMDUwMTdlNTdiZTFlOTc5ZmQ3Mzk0Njc0NzgxMjM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B1C5D"/>
    <w:rsid w:val="001B31C8"/>
    <w:rsid w:val="001E5308"/>
    <w:rsid w:val="001E657F"/>
    <w:rsid w:val="00225A75"/>
    <w:rsid w:val="00241B9B"/>
    <w:rsid w:val="002712E4"/>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15AF9"/>
    <w:rsid w:val="00422A16"/>
    <w:rsid w:val="00441ABC"/>
    <w:rsid w:val="00453FB1"/>
    <w:rsid w:val="0045407F"/>
    <w:rsid w:val="0048573C"/>
    <w:rsid w:val="004B62D9"/>
    <w:rsid w:val="004D0844"/>
    <w:rsid w:val="004E037D"/>
    <w:rsid w:val="004E604F"/>
    <w:rsid w:val="00523765"/>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A555D"/>
    <w:rsid w:val="00DC2B29"/>
    <w:rsid w:val="00DF73B2"/>
    <w:rsid w:val="00E03424"/>
    <w:rsid w:val="00E162A5"/>
    <w:rsid w:val="00E227D3"/>
    <w:rsid w:val="00E42C90"/>
    <w:rsid w:val="00E44315"/>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26EEC"/>
    <w:rsid w:val="09A869C6"/>
    <w:rsid w:val="09C72B30"/>
    <w:rsid w:val="09D11369"/>
    <w:rsid w:val="0A313921"/>
    <w:rsid w:val="0A520345"/>
    <w:rsid w:val="0A727D32"/>
    <w:rsid w:val="0AAD6121"/>
    <w:rsid w:val="0B5807E8"/>
    <w:rsid w:val="0B8403C6"/>
    <w:rsid w:val="0C764164"/>
    <w:rsid w:val="0C9C6A7C"/>
    <w:rsid w:val="0CF14EC2"/>
    <w:rsid w:val="0D902255"/>
    <w:rsid w:val="0DA06C82"/>
    <w:rsid w:val="0DD728EF"/>
    <w:rsid w:val="0DE45FC2"/>
    <w:rsid w:val="0E112B8C"/>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7A60CD3"/>
    <w:rsid w:val="18140079"/>
    <w:rsid w:val="18260A8A"/>
    <w:rsid w:val="18281853"/>
    <w:rsid w:val="18345DFB"/>
    <w:rsid w:val="18962E22"/>
    <w:rsid w:val="1935348E"/>
    <w:rsid w:val="19397563"/>
    <w:rsid w:val="19761BF0"/>
    <w:rsid w:val="19866EA9"/>
    <w:rsid w:val="1A7E6D92"/>
    <w:rsid w:val="1AA4286D"/>
    <w:rsid w:val="1AEB7BC3"/>
    <w:rsid w:val="1AF23ACB"/>
    <w:rsid w:val="1B2F0FEB"/>
    <w:rsid w:val="1B7A5610"/>
    <w:rsid w:val="1BBF682E"/>
    <w:rsid w:val="1BC47737"/>
    <w:rsid w:val="1C4813A6"/>
    <w:rsid w:val="1C6E1C1A"/>
    <w:rsid w:val="1D021B61"/>
    <w:rsid w:val="1D0D59B7"/>
    <w:rsid w:val="1D2A6F20"/>
    <w:rsid w:val="1D393634"/>
    <w:rsid w:val="1D575E75"/>
    <w:rsid w:val="1DA84CB7"/>
    <w:rsid w:val="1DCD5629"/>
    <w:rsid w:val="1EE362C1"/>
    <w:rsid w:val="1EEE0DE9"/>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06DD9"/>
    <w:rsid w:val="23CF4666"/>
    <w:rsid w:val="243A0633"/>
    <w:rsid w:val="2470074D"/>
    <w:rsid w:val="24946440"/>
    <w:rsid w:val="249A6E83"/>
    <w:rsid w:val="24DB5ECA"/>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2E6F54"/>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1368"/>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5E2137"/>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6C00AC"/>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A8312E"/>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6EB73E7"/>
    <w:rsid w:val="571F1CDE"/>
    <w:rsid w:val="57364A03"/>
    <w:rsid w:val="57440888"/>
    <w:rsid w:val="57AC6AB6"/>
    <w:rsid w:val="57CC546B"/>
    <w:rsid w:val="581D09B0"/>
    <w:rsid w:val="581D5296"/>
    <w:rsid w:val="58526349"/>
    <w:rsid w:val="588C1BED"/>
    <w:rsid w:val="58AA60E9"/>
    <w:rsid w:val="59215130"/>
    <w:rsid w:val="5932782F"/>
    <w:rsid w:val="59CA374B"/>
    <w:rsid w:val="5A5A0618"/>
    <w:rsid w:val="5A6E711F"/>
    <w:rsid w:val="5A7D18F4"/>
    <w:rsid w:val="5A813FF6"/>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BB4402"/>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5A2423"/>
    <w:rsid w:val="74723111"/>
    <w:rsid w:val="749029AD"/>
    <w:rsid w:val="74965E0F"/>
    <w:rsid w:val="74AA01FD"/>
    <w:rsid w:val="74E25E76"/>
    <w:rsid w:val="74E565A3"/>
    <w:rsid w:val="75197E61"/>
    <w:rsid w:val="75454698"/>
    <w:rsid w:val="75884C36"/>
    <w:rsid w:val="75B137B2"/>
    <w:rsid w:val="767D38AD"/>
    <w:rsid w:val="76C3499E"/>
    <w:rsid w:val="76F25A23"/>
    <w:rsid w:val="76F519BF"/>
    <w:rsid w:val="77062E3A"/>
    <w:rsid w:val="77210202"/>
    <w:rsid w:val="77B91FF7"/>
    <w:rsid w:val="77DA2E34"/>
    <w:rsid w:val="77EB0B9E"/>
    <w:rsid w:val="78185B18"/>
    <w:rsid w:val="784E0829"/>
    <w:rsid w:val="785275B1"/>
    <w:rsid w:val="78850FF2"/>
    <w:rsid w:val="78B57C59"/>
    <w:rsid w:val="78FF0275"/>
    <w:rsid w:val="79106E0E"/>
    <w:rsid w:val="79A100AE"/>
    <w:rsid w:val="79D313F3"/>
    <w:rsid w:val="7A350B28"/>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2"/>
    <w:basedOn w:val="1"/>
    <w:next w:val="1"/>
    <w:autoRedefine/>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6">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autoRedefine/>
    <w:qFormat/>
    <w:uiPriority w:val="0"/>
    <w:pPr>
      <w:adjustRightInd w:val="0"/>
    </w:pPr>
    <w:rPr>
      <w:rFonts w:ascii="宋体" w:hAnsi="Courier New"/>
    </w:rPr>
  </w:style>
  <w:style w:type="paragraph" w:styleId="7">
    <w:name w:val="Normal Indent"/>
    <w:basedOn w:val="1"/>
    <w:autoRedefine/>
    <w:qFormat/>
    <w:uiPriority w:val="0"/>
    <w:pPr>
      <w:ind w:firstLine="420"/>
    </w:pPr>
    <w:rPr>
      <w:szCs w:val="20"/>
    </w:rPr>
  </w:style>
  <w:style w:type="paragraph" w:styleId="8">
    <w:name w:val="index 5"/>
    <w:basedOn w:val="1"/>
    <w:next w:val="1"/>
    <w:autoRedefine/>
    <w:semiHidden/>
    <w:qFormat/>
    <w:uiPriority w:val="0"/>
    <w:pPr>
      <w:ind w:left="1680"/>
    </w:pPr>
    <w:rPr>
      <w:rFonts w:eastAsia="Times New Roman"/>
      <w:sz w:val="32"/>
    </w:rPr>
  </w:style>
  <w:style w:type="paragraph" w:styleId="9">
    <w:name w:val="annotation text"/>
    <w:basedOn w:val="1"/>
    <w:autoRedefine/>
    <w:qFormat/>
    <w:uiPriority w:val="0"/>
    <w:pPr>
      <w:jc w:val="left"/>
    </w:pPr>
  </w:style>
  <w:style w:type="paragraph" w:styleId="10">
    <w:name w:val="Body Text"/>
    <w:basedOn w:val="1"/>
    <w:autoRedefine/>
    <w:qFormat/>
    <w:uiPriority w:val="0"/>
    <w:rPr>
      <w:b/>
      <w:bCs/>
      <w:sz w:val="24"/>
    </w:rPr>
  </w:style>
  <w:style w:type="paragraph" w:styleId="11">
    <w:name w:val="Body Text Indent"/>
    <w:basedOn w:val="1"/>
    <w:next w:val="10"/>
    <w:autoRedefine/>
    <w:qFormat/>
    <w:uiPriority w:val="0"/>
    <w:pPr>
      <w:spacing w:line="360" w:lineRule="auto"/>
      <w:ind w:firstLine="480"/>
    </w:pPr>
    <w:rPr>
      <w:sz w:val="24"/>
    </w:rPr>
  </w:style>
  <w:style w:type="paragraph" w:styleId="12">
    <w:name w:val="Block Text"/>
    <w:basedOn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Balloon Text"/>
    <w:basedOn w:val="1"/>
    <w:link w:val="58"/>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autoRedefine/>
    <w:qFormat/>
    <w:uiPriority w:val="0"/>
    <w:pPr>
      <w:spacing w:line="320" w:lineRule="exact"/>
      <w:jc w:val="center"/>
    </w:pPr>
    <w:rPr>
      <w:sz w:val="22"/>
    </w:rPr>
  </w:style>
  <w:style w:type="paragraph" w:styleId="18">
    <w:name w:val="Body Text 2"/>
    <w:basedOn w:val="1"/>
    <w:autoRedefine/>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autoRedefine/>
    <w:qFormat/>
    <w:uiPriority w:val="0"/>
    <w:pPr>
      <w:spacing w:before="100" w:beforeAutospacing="1" w:after="100" w:afterAutospacing="1"/>
      <w:jc w:val="left"/>
    </w:pPr>
    <w:rPr>
      <w:kern w:val="0"/>
      <w:sz w:val="24"/>
    </w:rPr>
  </w:style>
  <w:style w:type="paragraph" w:styleId="20">
    <w:name w:val="Body Text First Indent"/>
    <w:basedOn w:val="10"/>
    <w:autoRedefine/>
    <w:qFormat/>
    <w:uiPriority w:val="0"/>
    <w:pPr>
      <w:spacing w:after="120"/>
      <w:ind w:firstLine="420" w:firstLineChars="100"/>
    </w:pPr>
    <w:rPr>
      <w:sz w:val="21"/>
    </w:rPr>
  </w:style>
  <w:style w:type="paragraph" w:styleId="21">
    <w:name w:val="Body Text First Indent 2"/>
    <w:basedOn w:val="11"/>
    <w:autoRedefine/>
    <w:qFormat/>
    <w:uiPriority w:val="0"/>
    <w:pPr>
      <w:ind w:firstLine="200" w:firstLineChars="200"/>
    </w:pPr>
    <w:rPr>
      <w:szCs w:val="21"/>
    </w:rPr>
  </w:style>
  <w:style w:type="character" w:styleId="24">
    <w:name w:val="page number"/>
    <w:basedOn w:val="23"/>
    <w:autoRedefine/>
    <w:qFormat/>
    <w:uiPriority w:val="0"/>
    <w:rPr>
      <w:rFonts w:cs="Times New Roman"/>
    </w:rPr>
  </w:style>
  <w:style w:type="character" w:styleId="25">
    <w:name w:val="FollowedHyperlink"/>
    <w:basedOn w:val="23"/>
    <w:autoRedefine/>
    <w:qFormat/>
    <w:uiPriority w:val="0"/>
    <w:rPr>
      <w:color w:val="333333"/>
      <w:u w:val="none"/>
    </w:rPr>
  </w:style>
  <w:style w:type="character" w:styleId="26">
    <w:name w:val="Emphasis"/>
    <w:basedOn w:val="23"/>
    <w:autoRedefine/>
    <w:qFormat/>
    <w:locked/>
    <w:uiPriority w:val="0"/>
  </w:style>
  <w:style w:type="character" w:styleId="27">
    <w:name w:val="HTML Definition"/>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0"/>
    <w:rPr>
      <w:color w:val="333333"/>
      <w:u w:val="none"/>
    </w:rPr>
  </w:style>
  <w:style w:type="character" w:styleId="30">
    <w:name w:val="annotation reference"/>
    <w:basedOn w:val="23"/>
    <w:autoRedefine/>
    <w:qFormat/>
    <w:uiPriority w:val="0"/>
    <w:rPr>
      <w:sz w:val="21"/>
      <w:szCs w:val="21"/>
    </w:rPr>
  </w:style>
  <w:style w:type="character" w:styleId="31">
    <w:name w:val="HTML Cite"/>
    <w:basedOn w:val="23"/>
    <w:autoRedefine/>
    <w:qFormat/>
    <w:uiPriority w:val="0"/>
  </w:style>
  <w:style w:type="paragraph" w:customStyle="1" w:styleId="32">
    <w:name w:val="表格文字"/>
    <w:basedOn w:val="1"/>
    <w:autoRedefine/>
    <w:qFormat/>
    <w:uiPriority w:val="0"/>
    <w:pPr>
      <w:adjustRightInd w:val="0"/>
      <w:jc w:val="center"/>
    </w:pPr>
  </w:style>
  <w:style w:type="character" w:customStyle="1" w:styleId="33">
    <w:name w:val="hover18"/>
    <w:basedOn w:val="23"/>
    <w:autoRedefine/>
    <w:qFormat/>
    <w:uiPriority w:val="0"/>
    <w:rPr>
      <w:color w:val="5FB878"/>
    </w:rPr>
  </w:style>
  <w:style w:type="character" w:customStyle="1" w:styleId="34">
    <w:name w:val="hover19"/>
    <w:basedOn w:val="23"/>
    <w:autoRedefine/>
    <w:qFormat/>
    <w:uiPriority w:val="0"/>
    <w:rPr>
      <w:color w:val="5FB878"/>
    </w:rPr>
  </w:style>
  <w:style w:type="character" w:customStyle="1" w:styleId="35">
    <w:name w:val="layui-laypage-curr"/>
    <w:basedOn w:val="23"/>
    <w:autoRedefine/>
    <w:qFormat/>
    <w:uiPriority w:val="0"/>
  </w:style>
  <w:style w:type="character" w:customStyle="1" w:styleId="36">
    <w:name w:val="hover20"/>
    <w:basedOn w:val="23"/>
    <w:autoRedefine/>
    <w:qFormat/>
    <w:uiPriority w:val="0"/>
    <w:rPr>
      <w:color w:val="FFFFFF"/>
    </w:rPr>
  </w:style>
  <w:style w:type="character" w:customStyle="1" w:styleId="37">
    <w:name w:val="layui-this"/>
    <w:basedOn w:val="23"/>
    <w:autoRedefine/>
    <w:qFormat/>
    <w:uiPriority w:val="0"/>
    <w:rPr>
      <w:bdr w:val="single" w:color="EEEEEE" w:sz="6" w:space="0"/>
      <w:shd w:val="clear" w:color="auto" w:fill="FFFFFF"/>
    </w:rPr>
  </w:style>
  <w:style w:type="character" w:customStyle="1" w:styleId="38">
    <w:name w:val="first-child"/>
    <w:basedOn w:val="23"/>
    <w:autoRedefine/>
    <w:qFormat/>
    <w:uiPriority w:val="0"/>
  </w:style>
  <w:style w:type="paragraph" w:customStyle="1" w:styleId="39">
    <w:name w:val="p0"/>
    <w:basedOn w:val="1"/>
    <w:autoRedefine/>
    <w:qFormat/>
    <w:uiPriority w:val="0"/>
    <w:pPr>
      <w:widowControl/>
    </w:pPr>
    <w:rPr>
      <w:kern w:val="0"/>
      <w:szCs w:val="21"/>
    </w:rPr>
  </w:style>
  <w:style w:type="paragraph" w:customStyle="1" w:styleId="40">
    <w:name w:val="Char"/>
    <w:basedOn w:val="1"/>
    <w:autoRedefine/>
    <w:qFormat/>
    <w:uiPriority w:val="0"/>
  </w:style>
  <w:style w:type="paragraph" w:customStyle="1" w:styleId="41">
    <w:name w:val="Char1"/>
    <w:basedOn w:val="1"/>
    <w:autoRedefine/>
    <w:qFormat/>
    <w:uiPriority w:val="0"/>
  </w:style>
  <w:style w:type="character" w:customStyle="1" w:styleId="42">
    <w:name w:val="uni-font-connect"/>
    <w:basedOn w:val="23"/>
    <w:autoRedefine/>
    <w:qFormat/>
    <w:uiPriority w:val="0"/>
  </w:style>
  <w:style w:type="character" w:customStyle="1" w:styleId="43">
    <w:name w:val="tmpztreemove_arrow"/>
    <w:basedOn w:val="23"/>
    <w:autoRedefine/>
    <w:qFormat/>
    <w:uiPriority w:val="0"/>
  </w:style>
  <w:style w:type="character" w:customStyle="1" w:styleId="44">
    <w:name w:val="l-btn-icon-left"/>
    <w:basedOn w:val="23"/>
    <w:autoRedefine/>
    <w:qFormat/>
    <w:uiPriority w:val="0"/>
  </w:style>
  <w:style w:type="character" w:customStyle="1" w:styleId="45">
    <w:name w:val="layui-layer-tabnow"/>
    <w:basedOn w:val="23"/>
    <w:autoRedefine/>
    <w:qFormat/>
    <w:uiPriority w:val="0"/>
    <w:rPr>
      <w:bdr w:val="single" w:color="CCCCCC" w:sz="6" w:space="0"/>
      <w:shd w:val="clear" w:color="auto" w:fill="FFFFFF"/>
    </w:rPr>
  </w:style>
  <w:style w:type="character" w:customStyle="1" w:styleId="46">
    <w:name w:val="l-btn-icon-right"/>
    <w:basedOn w:val="23"/>
    <w:autoRedefine/>
    <w:qFormat/>
    <w:uiPriority w:val="0"/>
  </w:style>
  <w:style w:type="character" w:customStyle="1" w:styleId="47">
    <w:name w:val="l-btn-left"/>
    <w:basedOn w:val="23"/>
    <w:autoRedefine/>
    <w:qFormat/>
    <w:uiPriority w:val="0"/>
  </w:style>
  <w:style w:type="character" w:customStyle="1" w:styleId="48">
    <w:name w:val="l-btn-left1"/>
    <w:basedOn w:val="23"/>
    <w:autoRedefine/>
    <w:qFormat/>
    <w:uiPriority w:val="0"/>
  </w:style>
  <w:style w:type="character" w:customStyle="1" w:styleId="49">
    <w:name w:val="l-btn-left2"/>
    <w:basedOn w:val="23"/>
    <w:autoRedefine/>
    <w:qFormat/>
    <w:uiPriority w:val="0"/>
  </w:style>
  <w:style w:type="character" w:customStyle="1" w:styleId="50">
    <w:name w:val="l-btn-left3"/>
    <w:basedOn w:val="23"/>
    <w:autoRedefine/>
    <w:qFormat/>
    <w:uiPriority w:val="0"/>
  </w:style>
  <w:style w:type="character" w:customStyle="1" w:styleId="51">
    <w:name w:val="l-btn-text"/>
    <w:basedOn w:val="23"/>
    <w:autoRedefine/>
    <w:qFormat/>
    <w:uiPriority w:val="0"/>
    <w:rPr>
      <w:vertAlign w:val="baseline"/>
    </w:rPr>
  </w:style>
  <w:style w:type="character" w:customStyle="1" w:styleId="52">
    <w:name w:val="l-btn-empty"/>
    <w:basedOn w:val="23"/>
    <w:autoRedefine/>
    <w:qFormat/>
    <w:uiPriority w:val="0"/>
  </w:style>
  <w:style w:type="character" w:customStyle="1" w:styleId="53">
    <w:name w:val="button"/>
    <w:basedOn w:val="23"/>
    <w:autoRedefine/>
    <w:qFormat/>
    <w:uiPriority w:val="0"/>
  </w:style>
  <w:style w:type="character" w:customStyle="1" w:styleId="54">
    <w:name w:val="l-btn-left4"/>
    <w:basedOn w:val="23"/>
    <w:autoRedefine/>
    <w:qFormat/>
    <w:uiPriority w:val="0"/>
  </w:style>
  <w:style w:type="character" w:customStyle="1" w:styleId="55">
    <w:name w:val="l-btn-left5"/>
    <w:basedOn w:val="23"/>
    <w:autoRedefine/>
    <w:qFormat/>
    <w:uiPriority w:val="0"/>
  </w:style>
  <w:style w:type="paragraph" w:customStyle="1" w:styleId="56">
    <w:name w:val="表格"/>
    <w:basedOn w:val="17"/>
    <w:next w:val="1"/>
    <w:autoRedefine/>
    <w:qFormat/>
    <w:uiPriority w:val="0"/>
    <w:pPr>
      <w:adjustRightInd w:val="0"/>
      <w:snapToGrid w:val="0"/>
      <w:spacing w:line="240" w:lineRule="auto"/>
    </w:pPr>
    <w:rPr>
      <w:kern w:val="0"/>
      <w:sz w:val="21"/>
      <w:szCs w:val="20"/>
    </w:rPr>
  </w:style>
  <w:style w:type="paragraph" w:customStyle="1" w:styleId="57">
    <w:name w:val="正"/>
    <w:basedOn w:val="1"/>
    <w:autoRedefine/>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1816</Words>
  <Characters>2023</Characters>
  <Lines>2</Lines>
  <Paragraphs>5</Paragraphs>
  <TotalTime>1</TotalTime>
  <ScaleCrop>false</ScaleCrop>
  <LinksUpToDate>false</LinksUpToDate>
  <CharactersWithSpaces>2051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Administrator</cp:lastModifiedBy>
  <cp:lastPrinted>2024-02-29T09:26:00Z</cp:lastPrinted>
  <dcterms:modified xsi:type="dcterms:W3CDTF">2024-03-01T01:45:48Z</dcterms:modified>
  <dc:title>滑环〔2016〕  号                    签发人：陈建峰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0BA7D67F6870492A89C12212F13EB690_13</vt:lpwstr>
  </property>
</Properties>
</file>