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1</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18</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18</w:t>
      </w:r>
      <w:r>
        <w:rPr>
          <w:rFonts w:hint="eastAsia" w:ascii="宋体" w:hAnsi="宋体" w:eastAsia="宋体" w:cs="宋体"/>
          <w:color w:val="000000"/>
          <w:sz w:val="21"/>
          <w:szCs w:val="21"/>
          <w:shd w:val="clear" w:color="auto" w:fill="FFFFFF"/>
        </w:rPr>
        <w:t>日－202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jc w:val="center"/>
        <w:tblLayout w:type="autofit"/>
        <w:tblCellMar>
          <w:top w:w="15" w:type="dxa"/>
          <w:left w:w="15" w:type="dxa"/>
          <w:bottom w:w="15" w:type="dxa"/>
          <w:right w:w="15" w:type="dxa"/>
        </w:tblCellMar>
      </w:tblPr>
      <w:tblGrid>
        <w:gridCol w:w="440"/>
        <w:gridCol w:w="427"/>
        <w:gridCol w:w="568"/>
        <w:gridCol w:w="541"/>
        <w:gridCol w:w="817"/>
        <w:gridCol w:w="1001"/>
        <w:gridCol w:w="4321"/>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建设项目</w:t>
            </w:r>
          </w:p>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pacing w:beforeAutospacing="0" w:afterAutospacing="0" w:line="300" w:lineRule="atLeast"/>
              <w:jc w:val="both"/>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滑县</w:t>
            </w:r>
            <w:r>
              <w:rPr>
                <w:rFonts w:hint="eastAsia" w:ascii="宋体" w:hAnsi="宋体" w:eastAsia="宋体" w:cs="宋体"/>
                <w:color w:val="000000"/>
                <w:sz w:val="21"/>
                <w:szCs w:val="21"/>
                <w:shd w:val="clear" w:color="auto" w:fill="FFFFFF"/>
                <w:lang w:eastAsia="zh-CN"/>
              </w:rPr>
              <w:t>众</w:t>
            </w:r>
            <w:r>
              <w:rPr>
                <w:rFonts w:hint="default" w:ascii="宋体" w:hAnsi="宋体" w:eastAsia="宋体" w:cs="宋体"/>
                <w:color w:val="000000"/>
                <w:sz w:val="21"/>
                <w:szCs w:val="21"/>
                <w:shd w:val="clear" w:color="auto" w:fill="FFFFFF"/>
              </w:rPr>
              <w:t>信环保科技有限公司</w:t>
            </w:r>
          </w:p>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p>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eastAsia="zh-CN"/>
              </w:rPr>
              <w:t>年回收</w:t>
            </w:r>
            <w:r>
              <w:rPr>
                <w:rFonts w:hint="eastAsia" w:ascii="宋体" w:hAnsi="宋体" w:eastAsia="宋体" w:cs="宋体"/>
                <w:color w:val="000000"/>
                <w:sz w:val="21"/>
                <w:szCs w:val="21"/>
                <w:shd w:val="clear" w:color="auto" w:fill="FFFFFF"/>
                <w:lang w:val="en-US" w:eastAsia="zh-CN"/>
              </w:rPr>
              <w:t>20000</w:t>
            </w:r>
            <w:bookmarkStart w:id="0" w:name="_GoBack"/>
            <w:bookmarkEnd w:id="0"/>
            <w:r>
              <w:rPr>
                <w:rFonts w:hint="eastAsia" w:ascii="宋体" w:hAnsi="宋体" w:eastAsia="宋体" w:cs="宋体"/>
                <w:color w:val="000000"/>
                <w:sz w:val="21"/>
                <w:szCs w:val="21"/>
                <w:shd w:val="clear" w:color="auto" w:fill="FFFFFF"/>
                <w:lang w:val="en-US" w:eastAsia="zh-CN"/>
              </w:rPr>
              <w:t>吨</w:t>
            </w:r>
            <w:r>
              <w:rPr>
                <w:rFonts w:hint="default" w:ascii="宋体" w:hAnsi="宋体" w:eastAsia="宋体" w:cs="宋体"/>
                <w:color w:val="000000"/>
                <w:sz w:val="21"/>
                <w:szCs w:val="21"/>
                <w:shd w:val="clear" w:color="auto" w:fill="FFFFFF"/>
              </w:rPr>
              <w:t>固体废弃物(一般废物、</w:t>
            </w:r>
          </w:p>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危险废物)收集、贮存、转移中转中心建设项目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河南省安阳市滑县老爷庙乡黄庄村北地（306省道北）</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w:t>
            </w:r>
            <w:r>
              <w:rPr>
                <w:rFonts w:hint="eastAsia" w:ascii="宋体" w:hAnsi="宋体" w:eastAsia="宋体" w:cs="宋体"/>
                <w:color w:val="000000"/>
                <w:sz w:val="21"/>
                <w:szCs w:val="21"/>
                <w:shd w:val="clear" w:color="auto" w:fill="FFFFFF"/>
                <w:lang w:val="en-US" w:eastAsia="zh-CN"/>
              </w:rPr>
              <w:t>青盟环保科技</w:t>
            </w:r>
            <w:r>
              <w:rPr>
                <w:rFonts w:hint="default" w:ascii="宋体" w:hAnsi="宋体" w:eastAsia="宋体" w:cs="宋体"/>
                <w:color w:val="000000"/>
                <w:sz w:val="21"/>
                <w:szCs w:val="21"/>
                <w:shd w:val="clear" w:color="auto" w:fill="FFFFFF"/>
                <w:lang w:val="en-US" w:eastAsia="zh-CN"/>
              </w:rPr>
              <w:t>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占地面积为</w:t>
            </w:r>
            <w:r>
              <w:rPr>
                <w:rFonts w:hint="eastAsia" w:ascii="宋体" w:hAnsi="宋体" w:eastAsia="宋体" w:cs="宋体"/>
                <w:color w:val="000000"/>
                <w:sz w:val="21"/>
                <w:szCs w:val="21"/>
                <w:shd w:val="clear" w:color="auto" w:fill="FFFFFF"/>
                <w:lang w:val="en-US" w:eastAsia="zh-CN"/>
              </w:rPr>
              <w:t>6666.7</w:t>
            </w:r>
            <w:r>
              <w:rPr>
                <w:rFonts w:hint="default" w:ascii="宋体" w:hAnsi="宋体" w:eastAsia="宋体" w:cs="宋体"/>
                <w:color w:val="000000"/>
                <w:sz w:val="21"/>
                <w:szCs w:val="21"/>
                <w:shd w:val="clear" w:color="auto" w:fill="FFFFFF"/>
              </w:rPr>
              <w:t>平方米，总投资</w:t>
            </w:r>
            <w:r>
              <w:rPr>
                <w:rFonts w:hint="eastAsia" w:ascii="宋体" w:hAnsi="宋体" w:eastAsia="宋体" w:cs="宋体"/>
                <w:color w:val="000000"/>
                <w:sz w:val="21"/>
                <w:szCs w:val="21"/>
                <w:shd w:val="clear" w:color="auto" w:fill="FFFFFF"/>
                <w:lang w:val="en-US" w:eastAsia="zh-CN"/>
              </w:rPr>
              <w:t>2000</w:t>
            </w:r>
            <w:r>
              <w:rPr>
                <w:rFonts w:hint="default" w:ascii="宋体" w:hAnsi="宋体" w:eastAsia="宋体" w:cs="宋体"/>
                <w:color w:val="000000"/>
                <w:sz w:val="21"/>
                <w:szCs w:val="21"/>
                <w:shd w:val="clear" w:color="auto" w:fill="FFFFFF"/>
              </w:rPr>
              <w:t>万元，环保投资</w:t>
            </w:r>
            <w:r>
              <w:rPr>
                <w:rFonts w:hint="eastAsia" w:ascii="宋体" w:hAnsi="宋体" w:eastAsia="宋体" w:cs="宋体"/>
                <w:color w:val="000000"/>
                <w:sz w:val="21"/>
                <w:szCs w:val="21"/>
                <w:shd w:val="clear" w:color="auto" w:fill="FFFFFF"/>
                <w:lang w:val="en-US" w:eastAsia="zh-CN"/>
              </w:rPr>
              <w:t>26.5</w:t>
            </w:r>
            <w:r>
              <w:rPr>
                <w:rFonts w:hint="default" w:ascii="宋体" w:hAnsi="宋体" w:eastAsia="宋体" w:cs="宋体"/>
                <w:color w:val="000000"/>
                <w:sz w:val="21"/>
                <w:szCs w:val="21"/>
                <w:shd w:val="clear" w:color="auto" w:fill="FFFFFF"/>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2"/>
              <w:widowControl/>
              <w:shd w:val="clear" w:color="auto" w:fill="FFFFFF"/>
              <w:spacing w:before="75" w:beforeAutospacing="0" w:after="75" w:afterAutospacing="0"/>
              <w:jc w:val="left"/>
              <w:rPr>
                <w:rFonts w:hint="default" w:ascii="宋体" w:hAnsi="宋体" w:eastAsia="宋体" w:cs="宋体"/>
                <w:color w:val="000000"/>
                <w:sz w:val="21"/>
                <w:szCs w:val="21"/>
                <w:shd w:val="clear" w:color="auto" w:fill="FFFFFF"/>
                <w:lang w:val="en-US" w:eastAsia="zh-CN"/>
              </w:rPr>
            </w:pPr>
            <w:r>
              <w:rPr>
                <w:rFonts w:ascii="宋体" w:hAnsi="宋体" w:eastAsia="宋体" w:cs="宋体"/>
                <w:color w:val="000000"/>
                <w:sz w:val="21"/>
                <w:szCs w:val="21"/>
                <w:shd w:val="clear" w:color="auto" w:fill="FFFFFF"/>
              </w:rPr>
              <w:t>1. 废气：</w:t>
            </w:r>
            <w:r>
              <w:rPr>
                <w:rFonts w:hint="eastAsia" w:ascii="宋体" w:hAnsi="宋体" w:eastAsia="宋体" w:cs="宋体"/>
                <w:color w:val="000000"/>
                <w:sz w:val="21"/>
                <w:szCs w:val="21"/>
                <w:shd w:val="clear" w:color="auto" w:fill="FFFFFF"/>
                <w:lang w:eastAsia="zh-CN"/>
              </w:rPr>
              <w:t>有机</w:t>
            </w:r>
            <w:r>
              <w:rPr>
                <w:rFonts w:hint="eastAsia" w:ascii="宋体" w:hAnsi="宋体" w:eastAsia="宋体" w:cs="宋体"/>
                <w:color w:val="000000"/>
                <w:sz w:val="21"/>
                <w:szCs w:val="21"/>
                <w:shd w:val="clear" w:color="auto" w:fill="FFFFFF"/>
                <w:lang w:val="en-US" w:eastAsia="zh-CN"/>
              </w:rPr>
              <w:t>废气、恶臭经集气管道收集后由“</w:t>
            </w:r>
            <w:r>
              <w:rPr>
                <w:rFonts w:hint="default" w:ascii="宋体" w:hAnsi="宋体" w:eastAsia="宋体" w:cs="宋体"/>
                <w:color w:val="000000"/>
                <w:sz w:val="21"/>
                <w:szCs w:val="21"/>
                <w:shd w:val="clear" w:color="auto" w:fill="FFFFFF"/>
                <w:lang w:val="en-US" w:eastAsia="zh-CN"/>
              </w:rPr>
              <w:t>UV</w:t>
            </w:r>
            <w:r>
              <w:rPr>
                <w:rFonts w:hint="eastAsia" w:ascii="宋体" w:hAnsi="宋体" w:eastAsia="宋体" w:cs="宋体"/>
                <w:color w:val="000000"/>
                <w:sz w:val="21"/>
                <w:szCs w:val="21"/>
                <w:shd w:val="clear" w:color="auto" w:fill="FFFFFF"/>
                <w:lang w:val="en-US" w:eastAsia="zh-CN"/>
              </w:rPr>
              <w:t>光氧催化</w:t>
            </w:r>
            <w:r>
              <w:rPr>
                <w:rFonts w:hint="default"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lang w:val="en-US" w:eastAsia="zh-CN"/>
              </w:rPr>
              <w:t>活性炭吸附”处理通过</w:t>
            </w:r>
            <w:r>
              <w:rPr>
                <w:rFonts w:hint="default" w:ascii="宋体" w:hAnsi="宋体" w:eastAsia="宋体" w:cs="宋体"/>
                <w:color w:val="000000"/>
                <w:sz w:val="21"/>
                <w:szCs w:val="21"/>
                <w:shd w:val="clear" w:color="auto" w:fill="FFFFFF"/>
                <w:lang w:val="en-US" w:eastAsia="zh-CN"/>
              </w:rPr>
              <w:t xml:space="preserve">15m </w:t>
            </w:r>
            <w:r>
              <w:rPr>
                <w:rFonts w:hint="eastAsia" w:ascii="宋体" w:hAnsi="宋体" w:eastAsia="宋体" w:cs="宋体"/>
                <w:color w:val="000000"/>
                <w:sz w:val="21"/>
                <w:szCs w:val="21"/>
                <w:shd w:val="clear" w:color="auto" w:fill="FFFFFF"/>
                <w:lang w:val="en-US" w:eastAsia="zh-CN"/>
              </w:rPr>
              <w:t>高排气筒排放；颗粒物处理措施为：一般固废暂存间密闭、人工分拣区域安装喷淋系统除尘，</w:t>
            </w:r>
            <w:r>
              <w:rPr>
                <w:rFonts w:hint="default" w:ascii="宋体" w:hAnsi="宋体" w:eastAsia="宋体" w:cs="宋体"/>
                <w:color w:val="000000"/>
                <w:sz w:val="21"/>
                <w:szCs w:val="21"/>
                <w:shd w:val="clear" w:color="auto" w:fill="FFFFFF"/>
                <w:lang w:val="en-US" w:eastAsia="zh-CN"/>
              </w:rPr>
              <w:t>废气排放须满足《大气污染物综合排放标准》（GB16297-1996）表2二级标准要求</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《挥发性有机物无组织排放控制标准》（GB37822-2019）限值要求</w:t>
            </w:r>
            <w:r>
              <w:rPr>
                <w:rFonts w:hint="eastAsia" w:ascii="宋体" w:hAnsi="宋体" w:eastAsia="宋体" w:cs="宋体"/>
                <w:color w:val="000000"/>
                <w:sz w:val="21"/>
                <w:szCs w:val="21"/>
                <w:shd w:val="clear" w:color="auto" w:fill="FFFFFF"/>
                <w:lang w:val="en-US" w:eastAsia="zh-CN"/>
              </w:rPr>
              <w:t>、</w:t>
            </w:r>
            <w:r>
              <w:rPr>
                <w:rFonts w:hint="eastAsia" w:ascii="宋体" w:hAnsi="宋体" w:eastAsia="宋体" w:cs="宋体"/>
                <w:color w:val="000000"/>
                <w:sz w:val="21"/>
                <w:szCs w:val="21"/>
                <w:shd w:val="clear" w:color="auto" w:fill="FFFFFF"/>
              </w:rPr>
              <w:t>《恶臭污染物排放标准》（</w:t>
            </w:r>
            <w:r>
              <w:rPr>
                <w:rFonts w:ascii="宋体" w:hAnsi="宋体" w:eastAsia="宋体" w:cs="宋体"/>
                <w:color w:val="000000"/>
                <w:sz w:val="21"/>
                <w:szCs w:val="21"/>
                <w:shd w:val="clear" w:color="auto" w:fill="FFFFFF"/>
              </w:rPr>
              <w:t>GB14554-93</w:t>
            </w:r>
            <w:r>
              <w:rPr>
                <w:rFonts w:hint="eastAsia" w:ascii="宋体" w:hAnsi="宋体" w:eastAsia="宋体" w:cs="宋体"/>
                <w:color w:val="000000"/>
                <w:sz w:val="21"/>
                <w:szCs w:val="21"/>
                <w:shd w:val="clear" w:color="auto" w:fill="FFFFFF"/>
              </w:rPr>
              <w:t>）表1及表</w:t>
            </w:r>
            <w:r>
              <w:rPr>
                <w:rFonts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rPr>
              <w:t>标准限值、</w:t>
            </w:r>
            <w:r>
              <w:rPr>
                <w:rFonts w:ascii="宋体" w:hAnsi="宋体" w:eastAsia="宋体" w:cs="宋体"/>
                <w:color w:val="000000"/>
                <w:sz w:val="21"/>
                <w:szCs w:val="21"/>
                <w:shd w:val="clear" w:color="auto" w:fill="FFFFFF"/>
              </w:rPr>
              <w:t>《安阳市2019年工业大气污染治理5个专项实施方案》（安环攻坚办〔2019〕196号）要求</w:t>
            </w:r>
            <w:r>
              <w:rPr>
                <w:rFonts w:hint="eastAsia" w:ascii="宋体" w:hAnsi="宋体" w:eastAsia="宋体" w:cs="宋体"/>
                <w:color w:val="000000"/>
                <w:sz w:val="21"/>
                <w:szCs w:val="21"/>
                <w:shd w:val="clear" w:color="auto" w:fill="FFFFFF"/>
                <w:lang w:eastAsia="zh-CN"/>
              </w:rPr>
              <w:t>、</w:t>
            </w:r>
            <w:r>
              <w:rPr>
                <w:rFonts w:hint="default" w:ascii="宋体" w:hAnsi="宋体" w:eastAsia="宋体" w:cs="宋体"/>
                <w:color w:val="000000"/>
                <w:sz w:val="21"/>
                <w:szCs w:val="21"/>
                <w:shd w:val="clear" w:color="auto" w:fill="FFFFFF"/>
                <w:lang w:val="en-US" w:eastAsia="zh-CN"/>
              </w:rPr>
              <w:t>《关于全省开展工业企业挥发性有机物专项治理工作中排放建议值的通知》（豫环攻坚办〔2017〕162号）要求。</w:t>
            </w:r>
          </w:p>
          <w:p>
            <w:pPr>
              <w:pStyle w:val="12"/>
              <w:widowControl/>
              <w:shd w:val="clear" w:color="auto" w:fill="FFFFFF"/>
              <w:spacing w:before="75" w:beforeAutospacing="0" w:after="75" w:afterAutospacing="0"/>
              <w:jc w:val="left"/>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r>
              <w:rPr>
                <w:rFonts w:ascii="宋体" w:hAnsi="宋体" w:eastAsia="宋体" w:cs="宋体"/>
                <w:color w:val="000000"/>
                <w:sz w:val="21"/>
                <w:szCs w:val="21"/>
                <w:shd w:val="clear" w:color="auto" w:fill="FFFFFF"/>
              </w:rPr>
              <w:t>废水：</w:t>
            </w:r>
            <w:r>
              <w:rPr>
                <w:rFonts w:hint="default" w:ascii="宋体" w:hAnsi="宋体" w:eastAsia="宋体" w:cs="宋体"/>
                <w:color w:val="000000"/>
                <w:sz w:val="21"/>
                <w:szCs w:val="21"/>
                <w:shd w:val="clear" w:color="auto" w:fill="FFFFFF"/>
                <w:lang w:val="en-US" w:eastAsia="zh-CN"/>
              </w:rPr>
              <w:t>生活废水经化粪池（</w:t>
            </w:r>
            <w:r>
              <w:rPr>
                <w:rFonts w:hint="eastAsia" w:ascii="宋体" w:hAnsi="宋体" w:eastAsia="宋体" w:cs="宋体"/>
                <w:color w:val="000000"/>
                <w:sz w:val="21"/>
                <w:szCs w:val="21"/>
                <w:shd w:val="clear" w:color="auto" w:fill="FFFFFF"/>
                <w:lang w:val="en-US" w:eastAsia="zh-CN"/>
              </w:rPr>
              <w:t>10</w:t>
            </w:r>
            <w:r>
              <w:rPr>
                <w:rFonts w:hint="default" w:ascii="宋体" w:hAnsi="宋体" w:eastAsia="宋体" w:cs="宋体"/>
                <w:color w:val="000000"/>
                <w:sz w:val="21"/>
                <w:szCs w:val="21"/>
                <w:shd w:val="clear" w:color="auto" w:fill="FFFFFF"/>
                <w:lang w:val="en-US" w:eastAsia="zh-CN"/>
              </w:rPr>
              <w:t>m³）处理后由建设单位定期清掏用于肥田。</w:t>
            </w:r>
          </w:p>
          <w:p>
            <w:pPr>
              <w:pStyle w:val="12"/>
              <w:widowControl/>
              <w:shd w:val="clear" w:color="auto" w:fill="FFFFFF"/>
              <w:spacing w:before="75" w:beforeAutospacing="0" w:after="75" w:afterAutospacing="0"/>
              <w:jc w:val="left"/>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w:t>
            </w:r>
            <w:r>
              <w:rPr>
                <w:rFonts w:hint="default" w:ascii="宋体" w:hAnsi="宋体" w:eastAsia="宋体" w:cs="宋体"/>
                <w:color w:val="000000"/>
                <w:sz w:val="21"/>
                <w:szCs w:val="21"/>
                <w:shd w:val="clear" w:color="auto" w:fill="FFFFFF"/>
              </w:rPr>
              <w:t>噪声：</w:t>
            </w:r>
            <w:r>
              <w:rPr>
                <w:rFonts w:hint="default" w:ascii="宋体" w:hAnsi="宋体" w:eastAsia="宋体" w:cs="宋体"/>
                <w:color w:val="000000"/>
                <w:sz w:val="21"/>
                <w:szCs w:val="21"/>
                <w:shd w:val="clear" w:color="auto" w:fill="FFFFFF"/>
                <w:lang w:eastAsia="zh-CN"/>
              </w:rPr>
              <w:t>经</w:t>
            </w:r>
            <w:r>
              <w:rPr>
                <w:rFonts w:hint="eastAsia" w:ascii="宋体" w:hAnsi="宋体" w:eastAsia="宋体" w:cs="宋体"/>
                <w:color w:val="000000"/>
                <w:sz w:val="21"/>
                <w:szCs w:val="21"/>
                <w:shd w:val="clear" w:color="auto" w:fill="FFFFFF"/>
                <w:lang w:eastAsia="zh-CN"/>
              </w:rPr>
              <w:t>采取基础减振、</w:t>
            </w:r>
            <w:r>
              <w:rPr>
                <w:rFonts w:hint="default" w:ascii="宋体" w:hAnsi="宋体" w:eastAsia="宋体" w:cs="宋体"/>
                <w:color w:val="000000"/>
                <w:sz w:val="21"/>
                <w:szCs w:val="21"/>
                <w:shd w:val="clear" w:color="auto" w:fill="FFFFFF"/>
                <w:lang w:val="en-US" w:eastAsia="zh-CN"/>
              </w:rPr>
              <w:t>密闭厂房隔声等措施，</w:t>
            </w:r>
            <w:r>
              <w:rPr>
                <w:rFonts w:hint="default" w:ascii="宋体" w:hAnsi="宋体" w:eastAsia="宋体" w:cs="宋体"/>
                <w:color w:val="000000"/>
                <w:sz w:val="21"/>
                <w:szCs w:val="21"/>
                <w:shd w:val="clear" w:color="auto" w:fill="FFFFFF"/>
              </w:rPr>
              <w:t>厂界噪声</w:t>
            </w:r>
            <w:r>
              <w:rPr>
                <w:rFonts w:hint="default" w:ascii="宋体" w:hAnsi="宋体" w:eastAsia="宋体" w:cs="宋体"/>
                <w:color w:val="000000"/>
                <w:sz w:val="21"/>
                <w:szCs w:val="21"/>
                <w:shd w:val="clear" w:color="auto" w:fill="FFFFFF"/>
                <w:lang w:eastAsia="zh-CN"/>
              </w:rPr>
              <w:t>排放</w:t>
            </w:r>
            <w:r>
              <w:rPr>
                <w:rFonts w:hint="default" w:ascii="宋体" w:hAnsi="宋体" w:eastAsia="宋体" w:cs="宋体"/>
                <w:color w:val="000000"/>
                <w:sz w:val="21"/>
                <w:szCs w:val="21"/>
                <w:shd w:val="clear" w:color="auto" w:fill="FFFFFF"/>
                <w:lang w:val="en-US" w:eastAsia="zh-CN"/>
              </w:rPr>
              <w:t>须</w:t>
            </w:r>
            <w:r>
              <w:rPr>
                <w:rFonts w:hint="default" w:ascii="宋体" w:hAnsi="宋体" w:eastAsia="宋体" w:cs="宋体"/>
                <w:color w:val="000000"/>
                <w:sz w:val="21"/>
                <w:szCs w:val="21"/>
                <w:shd w:val="clear" w:color="auto" w:fill="FFFFFF"/>
                <w:lang w:eastAsia="zh-CN"/>
              </w:rPr>
              <w:t>满足</w:t>
            </w:r>
            <w:r>
              <w:rPr>
                <w:rFonts w:hint="default" w:ascii="宋体" w:hAnsi="宋体" w:eastAsia="宋体" w:cs="宋体"/>
                <w:color w:val="000000"/>
                <w:sz w:val="21"/>
                <w:szCs w:val="21"/>
                <w:shd w:val="clear" w:color="auto" w:fill="FFFFFF"/>
              </w:rPr>
              <w:t>《工业企业厂界环境噪声排放标准》（GB12348-2008）</w:t>
            </w:r>
            <w:r>
              <w:rPr>
                <w:rFonts w:hint="eastAsia" w:ascii="宋体" w:hAnsi="宋体" w:eastAsia="宋体" w:cs="宋体"/>
                <w:color w:val="000000"/>
                <w:sz w:val="21"/>
                <w:szCs w:val="21"/>
                <w:shd w:val="clear" w:color="auto" w:fill="FFFFFF"/>
                <w:lang w:val="en-US" w:eastAsia="zh-CN"/>
              </w:rPr>
              <w:t>2</w:t>
            </w:r>
            <w:r>
              <w:rPr>
                <w:rFonts w:hint="default" w:ascii="宋体" w:hAnsi="宋体" w:eastAsia="宋体" w:cs="宋体"/>
                <w:color w:val="000000"/>
                <w:sz w:val="21"/>
                <w:szCs w:val="21"/>
                <w:shd w:val="clear" w:color="auto" w:fill="FFFFFF"/>
                <w:lang w:val="en-US" w:eastAsia="zh-CN"/>
              </w:rPr>
              <w:t>类标准限值。</w:t>
            </w:r>
          </w:p>
          <w:p>
            <w:pPr>
              <w:pStyle w:val="12"/>
              <w:widowControl/>
              <w:shd w:val="clear" w:color="auto" w:fill="FFFFFF"/>
              <w:spacing w:before="75" w:beforeAutospacing="0" w:after="75" w:afterAutospacing="0"/>
              <w:jc w:val="left"/>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4 .</w:t>
            </w:r>
            <w:r>
              <w:rPr>
                <w:rFonts w:hint="default" w:ascii="宋体" w:hAnsi="宋体" w:eastAsia="宋体" w:cs="宋体"/>
                <w:color w:val="000000"/>
                <w:sz w:val="21"/>
                <w:szCs w:val="21"/>
                <w:shd w:val="clear" w:color="auto" w:fill="FFFFFF"/>
              </w:rPr>
              <w:t>固体废物：废活性炭、废UV灯管、</w:t>
            </w:r>
            <w:r>
              <w:rPr>
                <w:rFonts w:hint="eastAsia" w:ascii="宋体" w:hAnsi="宋体" w:eastAsia="宋体" w:cs="宋体"/>
                <w:color w:val="000000"/>
                <w:sz w:val="21"/>
                <w:szCs w:val="21"/>
                <w:shd w:val="clear" w:color="auto" w:fill="FFFFFF"/>
                <w:lang w:eastAsia="zh-CN"/>
              </w:rPr>
              <w:t>废包装桶</w:t>
            </w:r>
            <w:r>
              <w:rPr>
                <w:rFonts w:hint="eastAsia" w:ascii="宋体" w:hAnsi="宋体" w:eastAsia="宋体" w:cs="宋体"/>
                <w:color w:val="000000"/>
                <w:sz w:val="21"/>
                <w:szCs w:val="21"/>
                <w:shd w:val="clear" w:color="auto" w:fill="FFFFFF"/>
                <w:lang w:val="en-US" w:eastAsia="zh-CN"/>
              </w:rPr>
              <w:t>暂存在危险废物暂存库相应区域内，和其他危险废物一起</w:t>
            </w:r>
            <w:r>
              <w:rPr>
                <w:rFonts w:hint="default" w:ascii="宋体" w:hAnsi="宋体" w:eastAsia="宋体" w:cs="宋体"/>
                <w:color w:val="000000"/>
                <w:sz w:val="21"/>
                <w:szCs w:val="21"/>
                <w:shd w:val="clear" w:color="auto" w:fill="FFFFFF"/>
              </w:rPr>
              <w:t>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宋体" w:hAnsi="宋体" w:eastAsia="宋体" w:cs="宋体"/>
                <w:color w:val="000000"/>
                <w:sz w:val="21"/>
                <w:szCs w:val="21"/>
                <w:shd w:val="clear" w:color="auto" w:fill="FFFFFF"/>
                <w:lang w:val="en-US" w:eastAsia="zh-CN"/>
              </w:rPr>
              <w:t>要求</w:t>
            </w:r>
            <w:r>
              <w:rPr>
                <w:rFonts w:hint="default" w:ascii="宋体" w:hAnsi="宋体" w:eastAsia="宋体" w:cs="宋体"/>
                <w:color w:val="000000"/>
                <w:sz w:val="21"/>
                <w:szCs w:val="21"/>
                <w:shd w:val="clear" w:color="auto" w:fill="FFFFFF"/>
              </w:rPr>
              <w:t>。</w:t>
            </w:r>
          </w:p>
          <w:p>
            <w:pPr>
              <w:pStyle w:val="12"/>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p>
        </w:tc>
      </w:tr>
    </w:tbl>
    <w:p>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ZDU2ODM4MGQ0MGJhYjFjYjZjNDkwMzk0YzM4ZTE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146E4CDC"/>
    <w:rsid w:val="15E0285F"/>
    <w:rsid w:val="1E1176CC"/>
    <w:rsid w:val="1EFB4D51"/>
    <w:rsid w:val="235C7FA9"/>
    <w:rsid w:val="23645B24"/>
    <w:rsid w:val="25043671"/>
    <w:rsid w:val="25F1587E"/>
    <w:rsid w:val="26B1249E"/>
    <w:rsid w:val="2A1F758A"/>
    <w:rsid w:val="2ADD44ED"/>
    <w:rsid w:val="31BB3D25"/>
    <w:rsid w:val="383B30F1"/>
    <w:rsid w:val="39B45B2A"/>
    <w:rsid w:val="3A25474B"/>
    <w:rsid w:val="3B0E64B4"/>
    <w:rsid w:val="3FAE1904"/>
    <w:rsid w:val="448464B5"/>
    <w:rsid w:val="44E636BD"/>
    <w:rsid w:val="45E22BAD"/>
    <w:rsid w:val="462B687C"/>
    <w:rsid w:val="46B856BC"/>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Autospacing="1" w:afterAutospacing="1"/>
      <w:jc w:val="center"/>
      <w:outlineLvl w:val="0"/>
    </w:pPr>
    <w:rPr>
      <w:b/>
      <w:kern w:val="44"/>
      <w:sz w:val="44"/>
    </w:rPr>
  </w:style>
  <w:style w:type="paragraph" w:styleId="2">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5"/>
    <w:basedOn w:val="1"/>
    <w:next w:val="1"/>
    <w:autoRedefine/>
    <w:semiHidden/>
    <w:qFormat/>
    <w:uiPriority w:val="0"/>
    <w:pPr>
      <w:ind w:left="1680"/>
    </w:pPr>
    <w:rPr>
      <w:rFonts w:eastAsia="Times New Roman"/>
      <w:sz w:val="32"/>
    </w:rPr>
  </w:style>
  <w:style w:type="paragraph" w:styleId="6">
    <w:name w:val="Body Text"/>
    <w:basedOn w:val="1"/>
    <w:next w:val="1"/>
    <w:autoRedefine/>
    <w:qFormat/>
    <w:uiPriority w:val="0"/>
    <w:rPr>
      <w:b/>
      <w:bCs/>
      <w:sz w:val="24"/>
    </w:rPr>
  </w:style>
  <w:style w:type="paragraph" w:styleId="7">
    <w:name w:val="Body Text Indent"/>
    <w:basedOn w:val="1"/>
    <w:next w:val="1"/>
    <w:autoRedefine/>
    <w:qFormat/>
    <w:uiPriority w:val="0"/>
    <w:pPr>
      <w:ind w:left="420" w:leftChars="200"/>
    </w:pPr>
  </w:style>
  <w:style w:type="paragraph" w:styleId="8">
    <w:name w:val="Block Text"/>
    <w:basedOn w:val="1"/>
    <w:next w:val="1"/>
    <w:autoRedefine/>
    <w:qFormat/>
    <w:uiPriority w:val="0"/>
    <w:pPr>
      <w:spacing w:line="320" w:lineRule="exact"/>
      <w:ind w:left="113" w:right="113"/>
      <w:jc w:val="center"/>
    </w:pPr>
    <w:rPr>
      <w:b/>
      <w:sz w:val="13"/>
      <w:szCs w:val="15"/>
    </w:rPr>
  </w:style>
  <w:style w:type="paragraph" w:styleId="9">
    <w:name w:val="footer"/>
    <w:basedOn w:val="1"/>
    <w:link w:val="22"/>
    <w:autoRedefine/>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7"/>
    <w:next w:val="1"/>
    <w:autoRedefine/>
    <w:qFormat/>
    <w:uiPriority w:val="0"/>
    <w:pPr>
      <w:ind w:firstLine="200" w:firstLineChars="200"/>
    </w:pPr>
    <w:rPr>
      <w:szCs w:val="21"/>
    </w:rPr>
  </w:style>
  <w:style w:type="character" w:styleId="16">
    <w:name w:val="Strong"/>
    <w:basedOn w:val="15"/>
    <w:autoRedefine/>
    <w:qFormat/>
    <w:uiPriority w:val="0"/>
    <w:rPr>
      <w:b/>
    </w:rPr>
  </w:style>
  <w:style w:type="paragraph" w:customStyle="1" w:styleId="17">
    <w:name w:val="Default"/>
    <w:basedOn w:val="18"/>
    <w:next w:val="5"/>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autoRedefine/>
    <w:qFormat/>
    <w:uiPriority w:val="0"/>
    <w:pPr>
      <w:adjustRightInd w:val="0"/>
    </w:pPr>
    <w:rPr>
      <w:rFonts w:ascii="宋体" w:hAnsi="Courier New"/>
    </w:rPr>
  </w:style>
  <w:style w:type="paragraph" w:customStyle="1" w:styleId="19">
    <w:name w:val="UserStyle_0"/>
    <w:next w:val="20"/>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0">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1">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22">
    <w:name w:val="页脚 Char"/>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2024-01-30T07:31:05Z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2442E59EC95F4279B8CC2AFF1E21D2E9</vt:lpwstr>
  </property>
</Properties>
</file>