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72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滑县瑞科商砼有限公司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91410526MA462HDD6H</w:t>
      </w:r>
    </w:p>
    <w:p>
      <w:pPr>
        <w:widowControl/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滑县大寨乡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袁寨村</w:t>
      </w:r>
    </w:p>
    <w:p>
      <w:pPr>
        <w:widowControl/>
        <w:jc w:val="left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法定代表人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袁孝忠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你单位在11月13日0时~16日12时重污染天气橙色预警(II级响应)期间，未落实重污染天气应急管控“一厂一策”搅拌工序停止生产，视频监控回放显示你企业未停产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，在重污染天气橙色预警管控期间违规生产，未及时启动重污染天气应急操作方案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身份证复印件；调查询问笔录；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现状环境影响评估报告及评估意见书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固定污染源排污登记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六十</w:t>
      </w:r>
      <w:r>
        <w:rPr>
          <w:rFonts w:ascii="Times New Roman" w:hAnsi="Times New Roman" w:eastAsia="仿宋" w:cs="Times New Roman"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60C2D53"/>
    <w:rsid w:val="06976AC0"/>
    <w:rsid w:val="0C686809"/>
    <w:rsid w:val="11AA1BDD"/>
    <w:rsid w:val="14667AD2"/>
    <w:rsid w:val="1A7A242D"/>
    <w:rsid w:val="23406563"/>
    <w:rsid w:val="2F8A7D67"/>
    <w:rsid w:val="33702194"/>
    <w:rsid w:val="500E1C4D"/>
    <w:rsid w:val="57E96793"/>
    <w:rsid w:val="5EC00B20"/>
    <w:rsid w:val="66010A5C"/>
    <w:rsid w:val="661675C1"/>
    <w:rsid w:val="67BF176B"/>
    <w:rsid w:val="6EAB7730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2023-12-20T00:27:35Z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9A4A105C67494D13B248AFD741FFF2E8_12</vt:lpwstr>
  </property>
</Properties>
</file>