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57</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河南亚冠材料科技有限公司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w:t>
      </w:r>
      <w:r>
        <w:rPr>
          <w:rFonts w:hint="eastAsia" w:ascii="Times New Roman" w:hAnsi="Times New Roman" w:eastAsia="仿宋" w:cs="Times New Roman"/>
          <w:color w:val="000000"/>
          <w:kern w:val="0"/>
          <w:sz w:val="32"/>
          <w:szCs w:val="32"/>
        </w:rPr>
        <w:t>526MA47983W2K</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安阳市滑县上官镇工业园区通达路9号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王帅彬</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8</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13</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年处理3000吨铝塑药片项目环境影响评价文件经批准后，擅自增加一套水洗工艺，建设项目生产工艺发生重大变动，在未重新报批环境影响评价文件的情况下擅自开工建设。经调查，该项目总投资11.39万元</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中华人民共和国环境影响评价法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第二十四条第一款：</w:t>
      </w:r>
      <w:r>
        <w:rPr>
          <w:rFonts w:ascii="仿宋" w:hAnsi="仿宋" w:eastAsia="仿宋" w:cs="Times New Roman"/>
          <w:sz w:val="32"/>
          <w:szCs w:val="32"/>
        </w:rPr>
        <w:t>“</w:t>
      </w:r>
      <w:r>
        <w:rPr>
          <w:rFonts w:ascii="Times New Roman" w:hAnsi="Times New Roman" w:eastAsia="仿宋" w:cs="Times New Roman"/>
          <w:sz w:val="32"/>
          <w:szCs w:val="32"/>
        </w:rPr>
        <w:t>建设项目的环境影响评价文件经批准后，建设项目的性质、规模、地点、采用的生产工艺或者防治污染、防止生态破坏的措施发生重大变动的，建设单位应当重新报批建设项目的环境影响评价文件。</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现场照片证据；营业执照复印件；法定代表人身份证复印件；场地租赁合同复印件；收据复印件；固定污染源排污登记回执复印件；建设项目环境影响报告表及批复复印件；河南省企业投资项目备案证明复印件；建设项目竣工环境保护验收报告复印件；建设项目环境影响评价分类管理名录复印件及网站截图；污染影响类建设项目重大变动清单复印件及网站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我局于2023年10月16日以直接送达《行政处罚事先（听证）告知书》（豫0526环罚告字〔2023〕53号）方式告知你单位陈述申辩权。你单位未提出陈述申辩意见，我局视为你单位放弃上述权利。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 xml:space="preserve">裁量因素：项目建设情况，判定标准：主体工程已投入生产或者使用，未报批环评文件，裁量等级：5；裁量因素：项目应报批的环评文件类别，判定标准：报告表，裁量等级：1；裁量因素：项目建设地点，判定标准：符合环境功能区划，裁量等级：1；裁量因素：违法行为持续时间，判定标准：1个月以上3个月以下，裁量等级：2；裁量因素:超过限期改正时间，判定标准：限期改正，裁量等级：1；裁量因素：是否配合执法检查，判定标准：配合检查，裁量等级：1；该单位建设的总投资额是113900元，法定处罚金额上限(M)：5695元，法定处罚金额下限(N)：1139元，首要裁量因素裁量等级(A)：5，其余裁量因素个数(n)：5，其余裁量因素裁量等级(Bi)：[1,1,2,1,1]，处罚金额(X)，代入公式：X= 1139 + (5695 - 1139)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hint="eastAsia" w:ascii="Times New Roman" w:hAnsi="仿宋" w:eastAsia="仿宋" w:cs="Times New Roman"/>
          <w:color w:val="000000"/>
          <w:kern w:val="0"/>
          <w:sz w:val="32"/>
          <w:szCs w:val="32"/>
        </w:rPr>
        <w:t>[(5/5)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 (1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hint="eastAsia" w:ascii="Times New Roman" w:hAnsi="仿宋" w:eastAsia="仿宋" w:cs="Times New Roman"/>
          <w:color w:val="000000"/>
          <w:kern w:val="0"/>
          <w:sz w:val="32"/>
          <w:szCs w:val="32"/>
        </w:rPr>
        <w:t xml:space="preserve">5)]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hint="eastAsia" w:ascii="Times New Roman" w:hAnsi="仿宋" w:eastAsia="仿宋" w:cs="Times New Roman"/>
          <w:color w:val="000000"/>
          <w:kern w:val="0"/>
          <w:sz w:val="32"/>
          <w:szCs w:val="32"/>
        </w:rPr>
        <w:t>50%，自定义裁量计算值：0，最终裁量金额：3563.0元。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根据《中华人民共和国环境影响评价法》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三十一</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一款：“</w:t>
      </w:r>
      <w:r>
        <w:rPr>
          <w:rFonts w:ascii="仿宋" w:hAnsi="仿宋" w:eastAsia="仿宋"/>
          <w:color w:val="000000"/>
          <w:kern w:val="0"/>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建设项目生产工艺发生重大变动，在未重新报批环境影响评价文件的情况下擅自开工建设</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叁仟伍佰陆拾叁</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2023年12月18日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25511"/>
    <w:rsid w:val="00356A33"/>
    <w:rsid w:val="00376FB0"/>
    <w:rsid w:val="003904B8"/>
    <w:rsid w:val="003A7D29"/>
    <w:rsid w:val="003B4159"/>
    <w:rsid w:val="00413900"/>
    <w:rsid w:val="00440187"/>
    <w:rsid w:val="00441526"/>
    <w:rsid w:val="005208F7"/>
    <w:rsid w:val="00551421"/>
    <w:rsid w:val="0057660B"/>
    <w:rsid w:val="00581EA0"/>
    <w:rsid w:val="005845F5"/>
    <w:rsid w:val="005E532D"/>
    <w:rsid w:val="005F56ED"/>
    <w:rsid w:val="00627864"/>
    <w:rsid w:val="00630417"/>
    <w:rsid w:val="00660149"/>
    <w:rsid w:val="006A1FFB"/>
    <w:rsid w:val="006D1CB4"/>
    <w:rsid w:val="006E67FD"/>
    <w:rsid w:val="0070184D"/>
    <w:rsid w:val="00752F1C"/>
    <w:rsid w:val="00763555"/>
    <w:rsid w:val="00783588"/>
    <w:rsid w:val="00783CCC"/>
    <w:rsid w:val="00785A20"/>
    <w:rsid w:val="007A1638"/>
    <w:rsid w:val="007E471F"/>
    <w:rsid w:val="00892333"/>
    <w:rsid w:val="008D08AD"/>
    <w:rsid w:val="00916A9F"/>
    <w:rsid w:val="00946ED6"/>
    <w:rsid w:val="0094796D"/>
    <w:rsid w:val="00996A9F"/>
    <w:rsid w:val="009D105E"/>
    <w:rsid w:val="00A02797"/>
    <w:rsid w:val="00A905AC"/>
    <w:rsid w:val="00AB20AD"/>
    <w:rsid w:val="00AC4175"/>
    <w:rsid w:val="00AE47E5"/>
    <w:rsid w:val="00B61E5E"/>
    <w:rsid w:val="00B63B6F"/>
    <w:rsid w:val="00B769DB"/>
    <w:rsid w:val="00BA48AA"/>
    <w:rsid w:val="00C209FA"/>
    <w:rsid w:val="00C45270"/>
    <w:rsid w:val="00C73649"/>
    <w:rsid w:val="00CD186E"/>
    <w:rsid w:val="00CD6282"/>
    <w:rsid w:val="00D06361"/>
    <w:rsid w:val="00D45931"/>
    <w:rsid w:val="00D6410B"/>
    <w:rsid w:val="00DF4289"/>
    <w:rsid w:val="00E02FAC"/>
    <w:rsid w:val="00E042D1"/>
    <w:rsid w:val="00E732E5"/>
    <w:rsid w:val="00ED7543"/>
    <w:rsid w:val="00EE1AAF"/>
    <w:rsid w:val="00EF69F6"/>
    <w:rsid w:val="00EF6F87"/>
    <w:rsid w:val="00EF7B4A"/>
    <w:rsid w:val="00F578CB"/>
    <w:rsid w:val="00F65571"/>
    <w:rsid w:val="00F96D09"/>
    <w:rsid w:val="00FE10CE"/>
    <w:rsid w:val="1B750928"/>
    <w:rsid w:val="47475BDA"/>
    <w:rsid w:val="7416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293</Words>
  <Characters>1671</Characters>
  <Lines>13</Lines>
  <Paragraphs>3</Paragraphs>
  <TotalTime>151</TotalTime>
  <ScaleCrop>false</ScaleCrop>
  <LinksUpToDate>false</LinksUpToDate>
  <CharactersWithSpaces>1961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2023-12-22T01:19:46Z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