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42</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关于滑县悦木古典家具有限公司年产500套</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实木家具、600套古典家具建设项目环境影响报告表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滑县悦木古典家具有限公司：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公司（统一社会信用代码：91410526MA9MCTYH31）上报的由河南中诺环境监测有限公司郭</w:t>
      </w:r>
      <w:r>
        <w:rPr>
          <w:rFonts w:hint="eastAsia" w:eastAsia="仿宋_GB2312" w:cs="Times New Roman"/>
          <w:color w:val="000000"/>
          <w:sz w:val="32"/>
          <w:szCs w:val="32"/>
          <w:lang w:val="en-US" w:eastAsia="zh-CN"/>
        </w:rPr>
        <w:t>强</w:t>
      </w:r>
      <w:r>
        <w:rPr>
          <w:rFonts w:hint="default" w:ascii="Times New Roman" w:hAnsi="Times New Roman" w:eastAsia="仿宋_GB2312" w:cs="Times New Roman"/>
          <w:color w:val="000000"/>
          <w:sz w:val="32"/>
          <w:szCs w:val="32"/>
          <w:lang w:val="en-US" w:eastAsia="zh-CN"/>
        </w:rPr>
        <w:t>（职业资格证书管理号：20220503541000000048）主持编制完成的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滑县悦木古典家具有限公司年产500套实木家具、600套古典家具建设项目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滑县焦虎镇双沟村68号</w:t>
      </w:r>
      <w:r>
        <w:rPr>
          <w:rFonts w:hint="default" w:ascii="Times New Roman" w:hAnsi="Times New Roman" w:eastAsia="仿宋_GB2312" w:cs="Times New Roman"/>
          <w:sz w:val="32"/>
          <w:szCs w:val="32"/>
        </w:rPr>
        <w:t>，占地面积为</w:t>
      </w:r>
      <w:r>
        <w:rPr>
          <w:rFonts w:hint="eastAsia" w:eastAsia="仿宋_GB2312" w:cs="Times New Roman"/>
          <w:sz w:val="32"/>
          <w:szCs w:val="32"/>
          <w:lang w:val="en-US" w:eastAsia="zh-CN"/>
        </w:rPr>
        <w:t>5200</w:t>
      </w:r>
      <w:r>
        <w:rPr>
          <w:rFonts w:hint="default" w:ascii="Times New Roman" w:hAnsi="Times New Roman" w:eastAsia="仿宋_GB2312" w:cs="Times New Roman"/>
          <w:sz w:val="32"/>
          <w:szCs w:val="32"/>
        </w:rPr>
        <w:t>平方米，总投资</w:t>
      </w:r>
      <w:r>
        <w:rPr>
          <w:rFonts w:hint="eastAsia" w:eastAsia="仿宋_GB2312" w:cs="Times New Roman"/>
          <w:sz w:val="32"/>
          <w:szCs w:val="32"/>
          <w:lang w:val="en-US" w:eastAsia="zh-CN"/>
        </w:rPr>
        <w:t>80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废气：板材加工、抛光打磨工序</w:t>
      </w:r>
      <w:r>
        <w:rPr>
          <w:rFonts w:hint="default" w:ascii="Times New Roman" w:hAnsi="Times New Roman" w:eastAsia="仿宋_GB2312" w:cs="Times New Roman"/>
          <w:color w:val="000000"/>
          <w:sz w:val="32"/>
          <w:szCs w:val="32"/>
          <w:highlight w:val="none"/>
          <w:lang w:val="en-US" w:eastAsia="zh-CN"/>
        </w:rPr>
        <w:t>二次密闭，</w:t>
      </w:r>
      <w:r>
        <w:rPr>
          <w:rFonts w:hint="default" w:ascii="Times New Roman" w:hAnsi="Times New Roman" w:eastAsia="仿宋_GB2312" w:cs="Times New Roman"/>
          <w:b w:val="0"/>
          <w:bCs w:val="0"/>
          <w:sz w:val="32"/>
          <w:szCs w:val="32"/>
          <w:highlight w:val="none"/>
          <w:lang w:val="en-US" w:eastAsia="zh-CN"/>
        </w:rPr>
        <w:t>废气</w:t>
      </w:r>
      <w:r>
        <w:rPr>
          <w:rFonts w:hint="default" w:ascii="Times New Roman" w:hAnsi="Times New Roman" w:eastAsia="仿宋_GB2312" w:cs="Times New Roman"/>
          <w:color w:val="000000"/>
          <w:sz w:val="32"/>
          <w:szCs w:val="32"/>
          <w:highlight w:val="none"/>
          <w:lang w:val="en-US" w:eastAsia="zh-CN"/>
        </w:rPr>
        <w:t>经集气罩收集由</w:t>
      </w:r>
      <w:r>
        <w:rPr>
          <w:rFonts w:hint="eastAsia" w:eastAsia="仿宋_GB2312" w:cs="Times New Roman"/>
          <w:color w:val="000000"/>
          <w:sz w:val="32"/>
          <w:szCs w:val="32"/>
          <w:highlight w:val="none"/>
          <w:lang w:val="en-US" w:eastAsia="zh-CN"/>
        </w:rPr>
        <w:t>袋式</w:t>
      </w:r>
      <w:r>
        <w:rPr>
          <w:rFonts w:hint="default" w:ascii="Times New Roman" w:hAnsi="Times New Roman" w:eastAsia="仿宋_GB2312" w:cs="Times New Roman"/>
          <w:color w:val="000000"/>
          <w:sz w:val="32"/>
          <w:szCs w:val="32"/>
          <w:highlight w:val="none"/>
          <w:lang w:val="en-US" w:eastAsia="zh-CN"/>
        </w:rPr>
        <w:t>除尘器处理通过15m高排气筒排放；</w:t>
      </w:r>
      <w:r>
        <w:rPr>
          <w:rFonts w:hint="eastAsia" w:eastAsia="仿宋_GB2312" w:cs="Times New Roman"/>
          <w:color w:val="000000"/>
          <w:sz w:val="32"/>
          <w:szCs w:val="32"/>
          <w:highlight w:val="none"/>
          <w:lang w:val="en-US" w:eastAsia="zh-CN"/>
        </w:rPr>
        <w:t>组装施胶工序使用水性胶黏剂，采取厂房密闭措施</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《大气污染物综合排放标准》（GB16297-1996）表2二级标准要求、《重污染天气重点行业应急减排技术指南（2020 年修订版）》（环办大气函〔2020〕340号）中家具制造绩效分级A级指标要求、《安阳市2019年工业大气污染治理5个专项实施方案》（安环攻坚办〔2019〕196号）要求</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《挥发性有机物无组织排放控制标准》（GB37822-2019）限值要求及《关于全省开展工业企业挥发性有机物专项治理工作中排放建议值的通知》（豫环攻坚办〔2017〕162号）要求。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废水：生活废水经化粪池（5m³）处理后由建设单位</w:t>
      </w:r>
      <w:r>
        <w:rPr>
          <w:rFonts w:hint="eastAsia" w:eastAsia="仿宋_GB2312" w:cs="Times New Roman"/>
          <w:bCs/>
          <w:color w:val="000000"/>
          <w:sz w:val="32"/>
          <w:szCs w:val="32"/>
          <w:lang w:val="en-US" w:eastAsia="zh-CN"/>
        </w:rPr>
        <w:t>定期</w:t>
      </w:r>
      <w:r>
        <w:rPr>
          <w:rFonts w:hint="default" w:ascii="Times New Roman" w:hAnsi="Times New Roman" w:eastAsia="仿宋_GB2312" w:cs="Times New Roman"/>
          <w:bCs/>
          <w:color w:val="000000"/>
          <w:sz w:val="32"/>
          <w:szCs w:val="32"/>
          <w:lang w:val="en-US" w:eastAsia="zh-CN"/>
        </w:rPr>
        <w:t>清掏</w:t>
      </w:r>
      <w:r>
        <w:rPr>
          <w:rFonts w:hint="eastAsia" w:ascii="Times New Roman" w:hAnsi="Times New Roman" w:eastAsia="仿宋_GB2312" w:cs="Times New Roman"/>
          <w:color w:val="auto"/>
          <w:sz w:val="32"/>
          <w:szCs w:val="32"/>
          <w:lang w:val="en-US" w:eastAsia="zh-CN"/>
        </w:rPr>
        <w:t>用于</w:t>
      </w:r>
      <w:r>
        <w:rPr>
          <w:rFonts w:hint="default" w:ascii="Times New Roman" w:hAnsi="Times New Roman" w:eastAsia="仿宋_GB2312" w:cs="Times New Roman"/>
          <w:bCs/>
          <w:color w:val="000000"/>
          <w:sz w:val="32"/>
          <w:szCs w:val="32"/>
          <w:lang w:val="en-US" w:eastAsia="zh-CN"/>
        </w:rPr>
        <w:t>肥田。</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噪声：精密锯、五碟锯、打眼机、立铣机、压刨机</w:t>
      </w:r>
      <w:r>
        <w:rPr>
          <w:rFonts w:hint="default" w:ascii="Times New Roman" w:hAnsi="Times New Roman" w:eastAsia="仿宋_GB2312" w:cs="Times New Roman"/>
          <w:bCs/>
          <w:color w:val="000000"/>
          <w:sz w:val="32"/>
          <w:szCs w:val="32"/>
        </w:rPr>
        <w:t>等高噪声设备采取基础减振、厂房隔声等措施，</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固体废物：边角料、除尘灰、废除尘滤袋、废包装材料、废砂纸收集后暂存于</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㎡一般工业固废暂存间，分类处置；废胶黏剂桶、废机油桶暂存于10㎡危险废物暂存间，定期交由有资质单位处置；生活垃圾经垃圾桶收集后，交环卫部门统一处理</w:t>
      </w:r>
      <w:r>
        <w:rPr>
          <w:rFonts w:hint="eastAsia" w:eastAsia="仿宋_GB2312" w:cs="Times New Roman"/>
          <w:color w:val="000000"/>
          <w:sz w:val="32"/>
          <w:szCs w:val="32"/>
          <w:lang w:eastAsia="zh-CN"/>
        </w:rPr>
        <w:t>，厕所粪污定期清掏用于农田施肥</w:t>
      </w:r>
      <w:r>
        <w:rPr>
          <w:rFonts w:hint="default" w:ascii="Times New Roman" w:hAnsi="Times New Roman" w:eastAsia="仿宋_GB2312" w:cs="Times New Roman"/>
          <w:color w:val="000000"/>
          <w:sz w:val="32"/>
          <w:szCs w:val="32"/>
        </w:rPr>
        <w:t>。一般固体废物暂存应满足《一般工业固体废物贮存和填埋污染控制标准》（GB18599 -2020）要求，危险废物暂存应满足《危险废物贮存污染控制标准》（GB18597-2023）</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本项目建成后主要污染物排放总量控制指标为：颗粒物0.</w:t>
      </w:r>
      <w:r>
        <w:rPr>
          <w:rFonts w:hint="eastAsia" w:eastAsia="仿宋_GB2312"/>
          <w:color w:val="000000"/>
          <w:sz w:val="32"/>
          <w:szCs w:val="32"/>
          <w:lang w:val="en-US" w:eastAsia="zh-CN"/>
        </w:rPr>
        <w:t>0205吨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颗粒物</w:t>
      </w:r>
      <w:r>
        <w:rPr>
          <w:rFonts w:hint="eastAsia" w:eastAsia="仿宋_GB2312"/>
          <w:color w:val="000000"/>
          <w:sz w:val="32"/>
          <w:szCs w:val="32"/>
          <w:lang w:val="en-US" w:eastAsia="zh-CN"/>
        </w:rPr>
        <w:t>从</w:t>
      </w:r>
      <w:r>
        <w:rPr>
          <w:rFonts w:hint="eastAsia" w:eastAsia="仿宋_GB2312"/>
          <w:color w:val="000000"/>
          <w:sz w:val="32"/>
          <w:szCs w:val="32"/>
        </w:rPr>
        <w:t>滑县王庄镇金豆环保节能建材厂减排削减量中倍量替代</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0"/>
        <w:textAlignment w:val="auto"/>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645"/>
        <w:textAlignment w:val="auto"/>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焦虎</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365209"/>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916237"/>
    <w:rsid w:val="20AD475D"/>
    <w:rsid w:val="20D94065"/>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8F32E5"/>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0845E2"/>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3A7B71"/>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2023-11-30T08:18:26Z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849E961008A44CEC96003A6D28E6046E_13</vt:lpwstr>
  </property>
</Properties>
</file>