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bookmarkStart w:id="0" w:name="_GoBack"/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33</w:t>
      </w:r>
      <w:r>
        <w:rPr>
          <w:rFonts w:ascii="Times New Roman" w:hAnsi="楷体" w:eastAsia="楷体" w:cs="Times New Roman"/>
          <w:sz w:val="32"/>
          <w:szCs w:val="32"/>
        </w:rPr>
        <w:t>号</w:t>
      </w:r>
      <w:bookmarkEnd w:id="0"/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河南省万盛肉制品有限公司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91410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526660944779G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地址：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安阳市滑县王庄镇小屯村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法定代表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邢海涛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25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2022年5至6月、2022年11月至2023年6月期间正常生产，期间未按照排污许可证要求建立环境管理台账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现场检查（勘察）笔录；现场勘查示意图；现场照片证据；营业执照复印件；法定代表人身份证复印件；授权委托书；受委托人身份证复印件；产品销售台账复印件；排污许可证复印件；执法证扫描件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上述行为违反了《排污许可管理条例》</w:t>
      </w:r>
      <w:r>
        <w:rPr>
          <w:rFonts w:hint="eastAsia" w:ascii="Times New Roman" w:hAnsi="Times New Roman" w:eastAsia="仿宋" w:cs="Times New Roman"/>
          <w:sz w:val="32"/>
          <w:szCs w:val="32"/>
        </w:rPr>
        <w:t>第二十一条第一款：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排污单位应当建立环境管理台账记录制度，按照排污许可证规定的格式、内容和频次，如实记录主要生产设施、污染防治设施运行情况以及污染物排放浓度、排放量。环境管理台账记录保存期限不得少于5年。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根据《中华人民共和国行政处罚法》第二十八条第一款和《</w:t>
      </w:r>
      <w:r>
        <w:rPr>
          <w:rFonts w:ascii="Times New Roman" w:hAnsi="Times New Roman" w:eastAsia="仿宋" w:cs="Times New Roman"/>
          <w:sz w:val="32"/>
          <w:szCs w:val="32"/>
        </w:rPr>
        <w:t>排污许可管理条例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三十七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一项：“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违反本条例规定，排污单位有下列行为之一的，由生态环境主管部门责令改正，处每次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千元以上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元以下的罚款；法律另有规定的，从其规定：（一）未建立环境管理台账记录制度，或者未按照排污许可证规定记录；”的规定，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2023年7月5日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wZjg3Zjc3YWMwNzQ2Y2U3YTZhODA5NmVmOGQifQ=="/>
  </w:docVars>
  <w:rsids>
    <w:rsidRoot w:val="12B83143"/>
    <w:rsid w:val="12B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2023-10-19T03:56:00Z</dcterms:created>
  <dc:creator>Administrator</dc:creator>
  <cp:lastModifiedBy>Administrator</cp:lastModifiedBy>
  <dcterms:modified xsi:type="dcterms:W3CDTF">2023-10-19T03:58:16Z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032CCA330F8043A483D337699408EAEB_11</vt:lpwstr>
  </property>
</Properties>
</file>