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bookmarkStart w:id="0" w:name="_GoBack"/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42</w:t>
      </w:r>
      <w:r>
        <w:rPr>
          <w:rFonts w:ascii="Times New Roman" w:hAnsi="楷体" w:eastAsia="楷体" w:cs="Times New Roman"/>
          <w:sz w:val="32"/>
          <w:szCs w:val="32"/>
        </w:rPr>
        <w:t>号</w:t>
      </w:r>
      <w:bookmarkEnd w:id="0"/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滑县华瑞门业有限公司：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91410526MA40FYLU81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地址：滑县老店镇长屯北街村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法定代表人：赵瑞丽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14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日对你单位进行了调查，发现你单位实施了以下环境违法行为：在从事产生含挥发生有机物废气的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烘干工序生产时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配套安装的光氧+活性炭吸附设施已开启，但光氧机内灯管均不亮，未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按照规定使用污染防治设施。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从事产生含挥发性有机物废气的生产和服务活动的录像、照片;未使用污染防治设施的录像;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环境影响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评估报告及评估意见书复印件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;现场检查（勘察）笔录;调查询问笔录;营业执照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法定代表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人身份证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;授权委托书;被授权人身份证;工业企业大气污染治理验收档案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;固定污染源排污登记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表及回执复印件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;企业职工名单;执法证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;统计上大中小微型企业划分办法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打印件及网站截图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;国家企业信用信息公示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系统截图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;复查整改意见书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中华人民共和国大气污染防治法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第四十五条：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产生含挥发性有机物废气的生产和服务活动，应当在密闭空间或者设备中进行，并按照规定安装、使用污染防治设施；无法密闭的，应当采取措施减少废气排放。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根据《中华人民共和国行政处罚法》第二十八条第一款和《中华人民共和国大气污染防治法》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一百零八</w:t>
      </w:r>
      <w:r>
        <w:rPr>
          <w:rFonts w:ascii="Times New Roman" w:hAnsi="Times New Roman" w:eastAsia="仿宋" w:cs="Times New Roman"/>
          <w:sz w:val="32"/>
          <w:szCs w:val="32"/>
        </w:rPr>
        <w:t>条第</w:t>
      </w:r>
      <w:r>
        <w:rPr>
          <w:rFonts w:hint="eastAsia" w:ascii="Times New Roman" w:hAnsi="Times New Roman" w:eastAsia="仿宋" w:cs="Times New Roman"/>
          <w:sz w:val="32"/>
          <w:szCs w:val="32"/>
        </w:rPr>
        <w:t>一项：“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违反本法规定，有下列行为之一的，由县级以上人民政府生态环境主管部门责令改正，处二万元以上二十万元以下的罚款；拒不改正的，责令停产整治：（一）产生含挥发性有机物废气的生产和服务活动，未在密闭空间或者设备中进行，未按照规定安装、使用污染防治设施，或者未采取减少废气排放措施的；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2023年8月22日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wZjg3Zjc3YWMwNzQ2Y2U3YTZhODA5NmVmOGQifQ=="/>
  </w:docVars>
  <w:rsids>
    <w:rsidRoot w:val="0A1D4969"/>
    <w:rsid w:val="0A1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2023-10-13T01:06:00Z</dcterms:created>
  <dc:creator>Administrator</dc:creator>
  <cp:lastModifiedBy>Administrator</cp:lastModifiedBy>
  <dcterms:modified xsi:type="dcterms:W3CDTF">2023-10-13T01:08:42Z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0A1D308830AC468E92C0D4156D9197E9_11</vt:lpwstr>
  </property>
</Properties>
</file>